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3241" w14:textId="0C725BA2" w:rsidR="0063163D" w:rsidRDefault="0063163D" w:rsidP="005106FB">
      <w:pPr>
        <w:jc w:val="both"/>
        <w:rPr>
          <w:b/>
          <w:bCs/>
          <w:lang w:val="en-US"/>
        </w:rPr>
      </w:pPr>
      <w:r w:rsidRPr="0063163D">
        <w:rPr>
          <w:b/>
          <w:bCs/>
          <w:noProof/>
        </w:rPr>
        <w:drawing>
          <wp:inline distT="0" distB="0" distL="0" distR="0" wp14:anchorId="602B8635" wp14:editId="2879FF65">
            <wp:extent cx="5400040" cy="4010660"/>
            <wp:effectExtent l="0" t="0" r="0" b="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4"/>
                    <a:stretch>
                      <a:fillRect/>
                    </a:stretch>
                  </pic:blipFill>
                  <pic:spPr>
                    <a:xfrm>
                      <a:off x="0" y="0"/>
                      <a:ext cx="5400040" cy="4010660"/>
                    </a:xfrm>
                    <a:prstGeom prst="rect">
                      <a:avLst/>
                    </a:prstGeom>
                  </pic:spPr>
                </pic:pic>
              </a:graphicData>
            </a:graphic>
          </wp:inline>
        </w:drawing>
      </w:r>
    </w:p>
    <w:p w14:paraId="1A321A30" w14:textId="77777777" w:rsidR="0063163D" w:rsidRDefault="0063163D" w:rsidP="005106FB">
      <w:pPr>
        <w:jc w:val="both"/>
        <w:rPr>
          <w:b/>
          <w:bCs/>
          <w:lang w:val="en-US"/>
        </w:rPr>
      </w:pPr>
    </w:p>
    <w:p w14:paraId="32A40CEA" w14:textId="632189F4" w:rsidR="00473C1C" w:rsidRDefault="00473C1C" w:rsidP="005106FB">
      <w:pPr>
        <w:jc w:val="both"/>
        <w:rPr>
          <w:color w:val="000000"/>
          <w:lang w:val="en-US"/>
        </w:rPr>
      </w:pPr>
      <w:r w:rsidRPr="006C046B">
        <w:rPr>
          <w:b/>
          <w:bCs/>
          <w:lang w:val="en-US"/>
        </w:rPr>
        <w:t xml:space="preserve">Supplementary Figure 1 </w:t>
      </w:r>
      <w:r w:rsidR="006C046B" w:rsidRPr="006C046B">
        <w:rPr>
          <w:b/>
          <w:bCs/>
          <w:lang w:val="en-US"/>
        </w:rPr>
        <w:t xml:space="preserve">- </w:t>
      </w:r>
      <w:r w:rsidR="006C046B" w:rsidRPr="006C046B">
        <w:rPr>
          <w:b/>
          <w:bCs/>
          <w:color w:val="000000"/>
          <w:lang w:val="en-US"/>
        </w:rPr>
        <w:t>Cellular</w:t>
      </w:r>
      <w:r w:rsidR="005106FB" w:rsidRPr="006C046B">
        <w:rPr>
          <w:b/>
          <w:bCs/>
          <w:color w:val="000000"/>
          <w:lang w:val="en-US"/>
        </w:rPr>
        <w:t xml:space="preserve"> viability analysis of blood peripheral cells upon treatment with </w:t>
      </w:r>
      <w:proofErr w:type="spellStart"/>
      <w:r w:rsidR="005106FB" w:rsidRPr="006C046B">
        <w:rPr>
          <w:b/>
          <w:bCs/>
          <w:color w:val="000000"/>
          <w:lang w:val="en-US"/>
        </w:rPr>
        <w:t>BromAc</w:t>
      </w:r>
      <w:proofErr w:type="spellEnd"/>
      <w:r w:rsidR="005106FB" w:rsidRPr="006C046B">
        <w:rPr>
          <w:b/>
          <w:bCs/>
          <w:vertAlign w:val="superscript"/>
          <w:lang w:val="en-US"/>
        </w:rPr>
        <w:sym w:font="Symbol" w:char="F0D2"/>
      </w:r>
      <w:r w:rsidR="005106FB" w:rsidRPr="006C046B">
        <w:rPr>
          <w:b/>
          <w:bCs/>
          <w:color w:val="000000"/>
          <w:lang w:val="en-US"/>
        </w:rPr>
        <w:t xml:space="preserve"> assessed by Flow Cytometry.</w:t>
      </w:r>
      <w:r w:rsidR="005106FB">
        <w:rPr>
          <w:color w:val="000000"/>
          <w:lang w:val="en-US"/>
        </w:rPr>
        <w:t xml:space="preserve"> Cell viability was measured after incubating cells in the presence of </w:t>
      </w:r>
      <w:proofErr w:type="spellStart"/>
      <w:r w:rsidR="005106FB">
        <w:rPr>
          <w:color w:val="000000"/>
          <w:lang w:val="en-US"/>
        </w:rPr>
        <w:t>BromAc</w:t>
      </w:r>
      <w:proofErr w:type="spellEnd"/>
      <w:r w:rsidR="005106FB" w:rsidRPr="005106FB">
        <w:rPr>
          <w:vertAlign w:val="superscript"/>
          <w:lang w:val="en-US"/>
        </w:rPr>
        <w:sym w:font="Symbol" w:char="F0D2"/>
      </w:r>
      <w:r w:rsidR="005106FB">
        <w:rPr>
          <w:color w:val="000000"/>
          <w:lang w:val="en-US"/>
        </w:rPr>
        <w:t xml:space="preserve"> up to 48 hours. Staining with viability dye Acqua505 was performed after incubation and data acquisition was carried out by flow cytometry. Graphs displaying </w:t>
      </w:r>
      <w:r w:rsidR="005106FB" w:rsidRPr="005106FB">
        <w:rPr>
          <w:color w:val="000000"/>
          <w:lang w:val="en-US"/>
        </w:rPr>
        <w:t>FSC vs</w:t>
      </w:r>
      <w:r w:rsidR="005106FB">
        <w:rPr>
          <w:color w:val="000000"/>
          <w:lang w:val="en-US"/>
        </w:rPr>
        <w:t xml:space="preserve"> time, followed by FSC vs</w:t>
      </w:r>
      <w:r w:rsidR="005106FB" w:rsidRPr="005106FB">
        <w:rPr>
          <w:color w:val="000000"/>
          <w:lang w:val="en-US"/>
        </w:rPr>
        <w:t xml:space="preserve"> SSC </w:t>
      </w:r>
      <w:proofErr w:type="spellStart"/>
      <w:r w:rsidR="005106FB">
        <w:rPr>
          <w:color w:val="000000"/>
          <w:lang w:val="en-US"/>
        </w:rPr>
        <w:t>pseudocolor</w:t>
      </w:r>
      <w:proofErr w:type="spellEnd"/>
      <w:r w:rsidR="005106FB" w:rsidRPr="005106FB">
        <w:rPr>
          <w:color w:val="000000"/>
          <w:lang w:val="en-US"/>
        </w:rPr>
        <w:t xml:space="preserve"> plots</w:t>
      </w:r>
      <w:r w:rsidR="005106FB">
        <w:rPr>
          <w:color w:val="000000"/>
          <w:lang w:val="en-US"/>
        </w:rPr>
        <w:t xml:space="preserve"> were prepared to select single cells. Within single cells, viability was assessed by drawing FSC vs Acqua505 fluorescence channel. Live cells were selected amongst the unstained our low intensity quadrant. Graphs are representative of 3 healthy donor samples. Percentages of live cells are expressed for </w:t>
      </w:r>
      <w:r w:rsidR="006C046B">
        <w:rPr>
          <w:color w:val="000000"/>
          <w:lang w:val="en-US"/>
        </w:rPr>
        <w:t>P</w:t>
      </w:r>
      <w:r w:rsidR="005106FB">
        <w:rPr>
          <w:color w:val="000000"/>
          <w:lang w:val="en-US"/>
        </w:rPr>
        <w:t>BS</w:t>
      </w:r>
      <w:r w:rsidR="006C046B">
        <w:rPr>
          <w:color w:val="000000"/>
          <w:lang w:val="en-US"/>
        </w:rPr>
        <w:t>-treated controls</w:t>
      </w:r>
      <w:r w:rsidR="005106FB">
        <w:rPr>
          <w:color w:val="000000"/>
          <w:lang w:val="en-US"/>
        </w:rPr>
        <w:t xml:space="preserve"> as well as </w:t>
      </w:r>
      <w:proofErr w:type="spellStart"/>
      <w:r w:rsidR="005106FB">
        <w:rPr>
          <w:color w:val="000000"/>
          <w:lang w:val="en-US"/>
        </w:rPr>
        <w:t>BromAc</w:t>
      </w:r>
      <w:proofErr w:type="spellEnd"/>
      <w:r w:rsidR="005106FB" w:rsidRPr="005106FB">
        <w:rPr>
          <w:vertAlign w:val="superscript"/>
          <w:lang w:val="en-US"/>
        </w:rPr>
        <w:sym w:font="Symbol" w:char="F0D2"/>
      </w:r>
      <w:r w:rsidR="006C046B">
        <w:rPr>
          <w:color w:val="000000"/>
          <w:lang w:val="en-US"/>
        </w:rPr>
        <w:t>-</w:t>
      </w:r>
      <w:r w:rsidR="005106FB">
        <w:rPr>
          <w:color w:val="000000"/>
          <w:lang w:val="en-US"/>
        </w:rPr>
        <w:t xml:space="preserve">treated samples. </w:t>
      </w:r>
    </w:p>
    <w:p w14:paraId="6EDDEA33" w14:textId="77777777" w:rsidR="005106FB" w:rsidRDefault="005106FB" w:rsidP="005106FB">
      <w:pPr>
        <w:jc w:val="both"/>
        <w:rPr>
          <w:b/>
          <w:bCs/>
          <w:lang w:val="en-US"/>
        </w:rPr>
      </w:pPr>
    </w:p>
    <w:p w14:paraId="2CCC024D" w14:textId="2A5F1C6D" w:rsidR="0063163D" w:rsidRDefault="0063163D" w:rsidP="005106FB">
      <w:pPr>
        <w:jc w:val="both"/>
        <w:rPr>
          <w:b/>
          <w:bCs/>
          <w:lang w:val="en-US"/>
        </w:rPr>
      </w:pPr>
      <w:r w:rsidRPr="0063163D">
        <w:rPr>
          <w:b/>
          <w:bCs/>
          <w:noProof/>
        </w:rPr>
        <w:lastRenderedPageBreak/>
        <w:drawing>
          <wp:inline distT="0" distB="0" distL="0" distR="0" wp14:anchorId="1DD24EED" wp14:editId="6EEE8683">
            <wp:extent cx="5400040" cy="3974465"/>
            <wp:effectExtent l="0" t="0" r="0" b="635"/>
            <wp:docPr id="2" name="Imagem 2" descr="Esquemát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Esquemático&#10;&#10;Descrição gerada automaticamente com confiança média"/>
                    <pic:cNvPicPr/>
                  </pic:nvPicPr>
                  <pic:blipFill>
                    <a:blip r:embed="rId5"/>
                    <a:stretch>
                      <a:fillRect/>
                    </a:stretch>
                  </pic:blipFill>
                  <pic:spPr>
                    <a:xfrm>
                      <a:off x="0" y="0"/>
                      <a:ext cx="5400040" cy="3974465"/>
                    </a:xfrm>
                    <a:prstGeom prst="rect">
                      <a:avLst/>
                    </a:prstGeom>
                  </pic:spPr>
                </pic:pic>
              </a:graphicData>
            </a:graphic>
          </wp:inline>
        </w:drawing>
      </w:r>
    </w:p>
    <w:p w14:paraId="6FE4B6E5" w14:textId="77777777" w:rsidR="0063163D" w:rsidRDefault="0063163D" w:rsidP="005106FB">
      <w:pPr>
        <w:jc w:val="both"/>
        <w:rPr>
          <w:b/>
          <w:bCs/>
          <w:lang w:val="en-US"/>
        </w:rPr>
      </w:pPr>
    </w:p>
    <w:p w14:paraId="433E7D57" w14:textId="22E361A0" w:rsidR="004602FE" w:rsidRDefault="00473C1C" w:rsidP="005106FB">
      <w:pPr>
        <w:jc w:val="both"/>
        <w:rPr>
          <w:lang w:val="en-US"/>
        </w:rPr>
      </w:pPr>
      <w:r w:rsidRPr="00473C1C">
        <w:rPr>
          <w:b/>
          <w:bCs/>
          <w:lang w:val="en-US"/>
        </w:rPr>
        <w:t xml:space="preserve">Supplementary Figure 2 - Magnitude of changes in cellular responses and soluble immune factors from healthy donors upon iSARS-CoV-2 stimuli and treatment with </w:t>
      </w:r>
      <w:proofErr w:type="spellStart"/>
      <w:r w:rsidRPr="00473C1C">
        <w:rPr>
          <w:b/>
          <w:bCs/>
          <w:lang w:val="en-US"/>
        </w:rPr>
        <w:t>BromAc</w:t>
      </w:r>
      <w:proofErr w:type="spellEnd"/>
      <w:r w:rsidRPr="00473C1C">
        <w:rPr>
          <w:b/>
          <w:bCs/>
          <w:vertAlign w:val="superscript"/>
          <w:lang w:val="en-US"/>
        </w:rPr>
        <w:sym w:font="Symbol" w:char="F0D2"/>
      </w:r>
      <w:r w:rsidRPr="00473C1C">
        <w:rPr>
          <w:b/>
          <w:bCs/>
          <w:lang w:val="en-US"/>
        </w:rPr>
        <w:t>.</w:t>
      </w:r>
      <w:r w:rsidRPr="00325F92">
        <w:rPr>
          <w:lang w:val="en-US"/>
        </w:rPr>
        <w:t xml:space="preserve"> The magnitude of changes in the</w:t>
      </w:r>
      <w:r>
        <w:rPr>
          <w:lang w:val="en-US"/>
        </w:rPr>
        <w:t xml:space="preserve"> cellular responses tested, the</w:t>
      </w:r>
      <w:r w:rsidRPr="00325F92">
        <w:rPr>
          <w:lang w:val="en-US"/>
        </w:rPr>
        <w:t xml:space="preserve"> levels of chemokines (CXCL8, CCL11, CCL3, CCL4, CCL2, CXCL10), pro-inflammatory cytokines (IL-1β, IL-6, TNF</w:t>
      </w:r>
      <w:r>
        <w:rPr>
          <w:lang w:val="en-US"/>
        </w:rPr>
        <w:t>-</w:t>
      </w:r>
      <w:r w:rsidRPr="00473C1C">
        <w:rPr>
          <w:rFonts w:ascii="Symbol" w:hAnsi="Symbol"/>
          <w:lang w:val="en-US"/>
        </w:rPr>
        <w:t>a</w:t>
      </w:r>
      <w:r w:rsidRPr="00325F92">
        <w:rPr>
          <w:lang w:val="en-US"/>
        </w:rPr>
        <w:t>, IL-12, IFN-</w:t>
      </w:r>
      <w:r>
        <w:rPr>
          <w:rFonts w:ascii="Symbol" w:hAnsi="Symbol"/>
          <w:lang w:val="en-US"/>
        </w:rPr>
        <w:t>g</w:t>
      </w:r>
      <w:r w:rsidRPr="00325F92">
        <w:rPr>
          <w:lang w:val="en-US"/>
        </w:rPr>
        <w:t>, IL-15, IL-17), regulatory cytokines (IL-1Ra, IL-4, IL-5, IL-9, IL-10, IL-13) and growth factors (FGF-basic, PDGF, VEGF, G-CSF, GM-CSF, IL-7 and IL-2) were calculated</w:t>
      </w:r>
      <w:r>
        <w:rPr>
          <w:lang w:val="en-US"/>
        </w:rPr>
        <w:t xml:space="preserve"> as the mean fold-change ratio of tubes stimulated with iSARS-CoV-2 over the PBS control (left panel, red bars) or the mean fold-change ratio of iSARS-CoV-2 over the tubes treated with </w:t>
      </w:r>
      <w:proofErr w:type="spellStart"/>
      <w:r>
        <w:rPr>
          <w:lang w:val="en-US"/>
        </w:rPr>
        <w:t>BromAc</w:t>
      </w:r>
      <w:proofErr w:type="spellEnd"/>
      <w:r w:rsidRPr="00473C1C">
        <w:rPr>
          <w:vertAlign w:val="superscript"/>
          <w:lang w:val="en-US"/>
        </w:rPr>
        <w:sym w:font="Symbol" w:char="F0D2"/>
      </w:r>
      <w:r>
        <w:rPr>
          <w:lang w:val="en-US"/>
        </w:rPr>
        <w:t xml:space="preserve"> in addition to iSARS-CoV-2 stimulation (right panel, green bars)</w:t>
      </w:r>
      <w:r w:rsidRPr="00325F92">
        <w:rPr>
          <w:lang w:val="en-US"/>
        </w:rPr>
        <w:t>.  Measurements of soluble mediators were carried by Luminex Bio-plex platform as described in material and methods section. The results are expressed as mean values and presented in bar chart format as ascendant fold change magnitude</w:t>
      </w:r>
      <w:r>
        <w:rPr>
          <w:lang w:val="en-US"/>
        </w:rPr>
        <w:t xml:space="preserve"> for </w:t>
      </w:r>
      <w:proofErr w:type="spellStart"/>
      <w:r>
        <w:rPr>
          <w:lang w:val="en-US"/>
        </w:rPr>
        <w:t>BromAc</w:t>
      </w:r>
      <w:proofErr w:type="spellEnd"/>
      <w:r w:rsidRPr="00473C1C">
        <w:rPr>
          <w:vertAlign w:val="superscript"/>
          <w:lang w:val="en-US"/>
        </w:rPr>
        <w:sym w:font="Symbol" w:char="F0D2"/>
      </w:r>
      <w:r>
        <w:rPr>
          <w:lang w:val="en-US"/>
        </w:rPr>
        <w:t xml:space="preserve"> treatment</w:t>
      </w:r>
      <w:r w:rsidRPr="00325F92">
        <w:rPr>
          <w:lang w:val="en-US"/>
        </w:rPr>
        <w:t xml:space="preserve">. The </w:t>
      </w:r>
      <w:r>
        <w:rPr>
          <w:lang w:val="en-US"/>
        </w:rPr>
        <w:t>panel highlights the fold-change</w:t>
      </w:r>
      <w:r w:rsidRPr="00325F92">
        <w:rPr>
          <w:lang w:val="en-US"/>
        </w:rPr>
        <w:t xml:space="preserve"> with decreased</w:t>
      </w:r>
      <w:r>
        <w:rPr>
          <w:lang w:val="en-US"/>
        </w:rPr>
        <w:t xml:space="preserve"> or increased</w:t>
      </w:r>
      <w:r w:rsidRPr="00325F92">
        <w:rPr>
          <w:lang w:val="en-US"/>
        </w:rPr>
        <w:t xml:space="preserve"> levels </w:t>
      </w:r>
      <w:r>
        <w:rPr>
          <w:lang w:val="en-US"/>
        </w:rPr>
        <w:t>which</w:t>
      </w:r>
      <w:r w:rsidRPr="00325F92">
        <w:rPr>
          <w:lang w:val="en-US"/>
        </w:rPr>
        <w:t xml:space="preserve"> were underscored </w:t>
      </w:r>
      <w:r>
        <w:rPr>
          <w:lang w:val="en-US"/>
        </w:rPr>
        <w:t>in the graphs</w:t>
      </w:r>
      <w:r w:rsidRPr="00325F92">
        <w:rPr>
          <w:lang w:val="en-US"/>
        </w:rPr>
        <w:t>.</w:t>
      </w:r>
    </w:p>
    <w:p w14:paraId="08250308" w14:textId="0EF1FD76" w:rsidR="0025306C" w:rsidRDefault="0025306C" w:rsidP="005106FB">
      <w:pPr>
        <w:jc w:val="both"/>
        <w:rPr>
          <w:lang w:val="en-US"/>
        </w:rPr>
      </w:pPr>
    </w:p>
    <w:p w14:paraId="74954A24" w14:textId="1E4A42B6" w:rsidR="0025306C" w:rsidRDefault="0025306C" w:rsidP="005106FB">
      <w:pPr>
        <w:jc w:val="both"/>
        <w:rPr>
          <w:lang w:val="en-US"/>
        </w:rPr>
      </w:pPr>
    </w:p>
    <w:p w14:paraId="21EE0EDE" w14:textId="44BD30D1" w:rsidR="0025306C" w:rsidRDefault="0025306C" w:rsidP="005106FB">
      <w:pPr>
        <w:jc w:val="both"/>
        <w:rPr>
          <w:lang w:val="en-US"/>
        </w:rPr>
      </w:pPr>
    </w:p>
    <w:p w14:paraId="2906976C" w14:textId="7CEBC75F" w:rsidR="0025306C" w:rsidRDefault="0025306C" w:rsidP="005106FB">
      <w:pPr>
        <w:jc w:val="both"/>
        <w:rPr>
          <w:lang w:val="en-US"/>
        </w:rPr>
      </w:pPr>
    </w:p>
    <w:p w14:paraId="7C4C901A" w14:textId="20413ABF" w:rsidR="0025306C" w:rsidRDefault="0025306C" w:rsidP="005106FB">
      <w:pPr>
        <w:jc w:val="both"/>
        <w:rPr>
          <w:lang w:val="en-US"/>
        </w:rPr>
      </w:pPr>
    </w:p>
    <w:p w14:paraId="01776A43" w14:textId="5D343AA5" w:rsidR="0025306C" w:rsidRDefault="0025306C" w:rsidP="005106FB">
      <w:pPr>
        <w:jc w:val="both"/>
        <w:rPr>
          <w:lang w:val="en-US"/>
        </w:rPr>
      </w:pPr>
    </w:p>
    <w:p w14:paraId="37BAAF86" w14:textId="0FEC75FC" w:rsidR="0025306C" w:rsidRDefault="0025306C" w:rsidP="005106FB">
      <w:pPr>
        <w:jc w:val="both"/>
        <w:rPr>
          <w:lang w:val="en-US"/>
        </w:rPr>
      </w:pPr>
    </w:p>
    <w:p w14:paraId="7D76F0E7" w14:textId="5704BC23" w:rsidR="0025306C" w:rsidRDefault="0025306C" w:rsidP="005106FB">
      <w:pPr>
        <w:jc w:val="both"/>
        <w:rPr>
          <w:lang w:val="en-US"/>
        </w:rPr>
      </w:pPr>
    </w:p>
    <w:p w14:paraId="6BB26C0B" w14:textId="36E7E053" w:rsidR="0025306C" w:rsidRDefault="0025306C" w:rsidP="005106FB">
      <w:pPr>
        <w:jc w:val="both"/>
        <w:rPr>
          <w:lang w:val="en-US"/>
        </w:rPr>
      </w:pPr>
    </w:p>
    <w:p w14:paraId="7895B394" w14:textId="22173665" w:rsidR="0025306C" w:rsidRDefault="0025306C" w:rsidP="005106FB">
      <w:pPr>
        <w:jc w:val="both"/>
        <w:rPr>
          <w:lang w:val="en-US"/>
        </w:rPr>
      </w:pPr>
    </w:p>
    <w:p w14:paraId="6F8E7D75" w14:textId="486FD742" w:rsidR="0025306C" w:rsidRDefault="0025306C" w:rsidP="005106FB">
      <w:pPr>
        <w:jc w:val="both"/>
        <w:rPr>
          <w:lang w:val="en-US"/>
        </w:rPr>
      </w:pPr>
    </w:p>
    <w:p w14:paraId="05A1CC3B" w14:textId="2B24B153" w:rsidR="0025306C" w:rsidRDefault="0025306C" w:rsidP="005106FB">
      <w:pPr>
        <w:jc w:val="both"/>
        <w:rPr>
          <w:lang w:val="en-US"/>
        </w:rPr>
      </w:pPr>
    </w:p>
    <w:p w14:paraId="39B39857" w14:textId="2B0B4F04" w:rsidR="0025306C" w:rsidRDefault="0025306C" w:rsidP="005106FB">
      <w:pPr>
        <w:jc w:val="both"/>
        <w:rPr>
          <w:lang w:val="en-US"/>
        </w:rPr>
      </w:pPr>
      <w:r w:rsidRPr="0025306C">
        <w:drawing>
          <wp:inline distT="0" distB="0" distL="0" distR="0" wp14:anchorId="38D01F90" wp14:editId="7D08C42E">
            <wp:extent cx="5400040" cy="4410075"/>
            <wp:effectExtent l="0" t="0" r="0" b="0"/>
            <wp:docPr id="3" name="Imagem 3"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abela&#10;&#10;Descrição gerada automaticamente"/>
                    <pic:cNvPicPr/>
                  </pic:nvPicPr>
                  <pic:blipFill>
                    <a:blip r:embed="rId6"/>
                    <a:stretch>
                      <a:fillRect/>
                    </a:stretch>
                  </pic:blipFill>
                  <pic:spPr>
                    <a:xfrm>
                      <a:off x="0" y="0"/>
                      <a:ext cx="5400040" cy="4410075"/>
                    </a:xfrm>
                    <a:prstGeom prst="rect">
                      <a:avLst/>
                    </a:prstGeom>
                  </pic:spPr>
                </pic:pic>
              </a:graphicData>
            </a:graphic>
          </wp:inline>
        </w:drawing>
      </w:r>
    </w:p>
    <w:p w14:paraId="6BE3216B" w14:textId="77777777" w:rsidR="0025306C" w:rsidRDefault="0025306C">
      <w:pPr>
        <w:rPr>
          <w:lang w:val="en-US"/>
        </w:rPr>
      </w:pPr>
      <w:r>
        <w:rPr>
          <w:lang w:val="en-US"/>
        </w:rPr>
        <w:br w:type="page"/>
      </w:r>
    </w:p>
    <w:p w14:paraId="18706625" w14:textId="6C6BAB42" w:rsidR="0025306C" w:rsidRDefault="0025306C" w:rsidP="005106FB">
      <w:pPr>
        <w:jc w:val="both"/>
        <w:rPr>
          <w:lang w:val="en-US"/>
        </w:rPr>
      </w:pPr>
      <w:r w:rsidRPr="0025306C">
        <w:lastRenderedPageBreak/>
        <w:drawing>
          <wp:inline distT="0" distB="0" distL="0" distR="0" wp14:anchorId="7F517FE9" wp14:editId="6383D78A">
            <wp:extent cx="5400040" cy="543115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5431155"/>
                    </a:xfrm>
                    <a:prstGeom prst="rect">
                      <a:avLst/>
                    </a:prstGeom>
                  </pic:spPr>
                </pic:pic>
              </a:graphicData>
            </a:graphic>
          </wp:inline>
        </w:drawing>
      </w:r>
    </w:p>
    <w:p w14:paraId="7995E97A" w14:textId="77777777" w:rsidR="0025306C" w:rsidRDefault="0025306C">
      <w:pPr>
        <w:rPr>
          <w:lang w:val="en-US"/>
        </w:rPr>
      </w:pPr>
      <w:r>
        <w:rPr>
          <w:lang w:val="en-US"/>
        </w:rPr>
        <w:br w:type="page"/>
      </w:r>
    </w:p>
    <w:p w14:paraId="2A1E6DEB" w14:textId="054F1A66" w:rsidR="0025306C" w:rsidRPr="00473C1C" w:rsidRDefault="0025306C" w:rsidP="005106FB">
      <w:pPr>
        <w:jc w:val="both"/>
        <w:rPr>
          <w:lang w:val="en-US"/>
        </w:rPr>
      </w:pPr>
      <w:r w:rsidRPr="0025306C">
        <w:lastRenderedPageBreak/>
        <w:drawing>
          <wp:inline distT="0" distB="0" distL="0" distR="0" wp14:anchorId="46B472F3" wp14:editId="4E2CE680">
            <wp:extent cx="5400040" cy="5114925"/>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5114925"/>
                    </a:xfrm>
                    <a:prstGeom prst="rect">
                      <a:avLst/>
                    </a:prstGeom>
                  </pic:spPr>
                </pic:pic>
              </a:graphicData>
            </a:graphic>
          </wp:inline>
        </w:drawing>
      </w:r>
    </w:p>
    <w:sectPr w:rsidR="0025306C" w:rsidRPr="00473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C"/>
    <w:rsid w:val="0025306C"/>
    <w:rsid w:val="004602FE"/>
    <w:rsid w:val="00473C1C"/>
    <w:rsid w:val="005106FB"/>
    <w:rsid w:val="0063163D"/>
    <w:rsid w:val="006C046B"/>
    <w:rsid w:val="00F201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A2C3EA1"/>
  <w15:chartTrackingRefBased/>
  <w15:docId w15:val="{FD7F3C1D-2B40-0547-924E-F1E2A4C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 Souza</dc:creator>
  <cp:keywords/>
  <dc:description/>
  <cp:lastModifiedBy>Ricardo de Souza</cp:lastModifiedBy>
  <cp:revision>4</cp:revision>
  <dcterms:created xsi:type="dcterms:W3CDTF">2023-11-05T15:57:00Z</dcterms:created>
  <dcterms:modified xsi:type="dcterms:W3CDTF">2023-11-06T23:44:00Z</dcterms:modified>
</cp:coreProperties>
</file>