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4EE8" w14:textId="6E316CD1" w:rsidR="00994A3D" w:rsidRPr="00994A3D" w:rsidRDefault="00654E8F" w:rsidP="0001436A">
      <w:pPr>
        <w:pStyle w:val="Heading1"/>
      </w:pPr>
      <w:r w:rsidRPr="00994A3D">
        <w:t>Supplementary Tables</w:t>
      </w:r>
    </w:p>
    <w:p w14:paraId="15B69D21" w14:textId="7B6ECFF1" w:rsidR="00C26CD2" w:rsidRPr="00FD3DD2" w:rsidRDefault="00C26CD2" w:rsidP="00C26CD2">
      <w:pPr>
        <w:spacing w:before="0" w:after="0"/>
        <w:jc w:val="both"/>
        <w:rPr>
          <w:rFonts w:eastAsia="Times New Roman" w:cs="Times New Roman"/>
          <w:szCs w:val="24"/>
          <w:lang w:eastAsia="pt-BR"/>
        </w:rPr>
      </w:pPr>
      <w:bookmarkStart w:id="0" w:name="_Hlk138175823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bookmarkEnd w:id="0"/>
      <w:r w:rsidRPr="00FD3DD2">
        <w:rPr>
          <w:rFonts w:eastAsia="Times New Roman" w:cs="Times New Roman"/>
          <w:color w:val="222222"/>
          <w:sz w:val="22"/>
          <w:shd w:val="clear" w:color="auto" w:fill="FFFFFF"/>
          <w:lang w:eastAsia="pt-BR"/>
        </w:rPr>
        <w:t xml:space="preserve">. </w:t>
      </w:r>
      <w:r w:rsidRPr="00FD3DD2">
        <w:rPr>
          <w:rFonts w:eastAsia="Times New Roman" w:cs="Times New Roman"/>
          <w:color w:val="00000A"/>
          <w:szCs w:val="24"/>
          <w:lang w:eastAsia="pt-BR"/>
        </w:rPr>
        <w:t>Search strategy for evidence in databases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8668"/>
      </w:tblGrid>
      <w:tr w:rsidR="00C26CD2" w:rsidRPr="00C26CD2" w14:paraId="623ED1C5" w14:textId="77777777" w:rsidTr="00C26CD2">
        <w:trPr>
          <w:trHeight w:val="329"/>
        </w:trPr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B6C6D2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A"/>
                <w:sz w:val="20"/>
                <w:szCs w:val="20"/>
                <w:lang w:val="pt-BR" w:eastAsia="pt-BR"/>
              </w:rPr>
              <w:t>Base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3F612E0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A"/>
                <w:sz w:val="20"/>
                <w:szCs w:val="20"/>
                <w:lang w:val="pt-BR" w:eastAsia="pt-BR"/>
              </w:rPr>
              <w:t>Search Strategy</w:t>
            </w:r>
          </w:p>
        </w:tc>
      </w:tr>
      <w:tr w:rsidR="00C26CD2" w:rsidRPr="00C26CD2" w14:paraId="5595B410" w14:textId="77777777" w:rsidTr="00C26CD2">
        <w:trPr>
          <w:trHeight w:val="720"/>
        </w:trPr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F026DD3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A"/>
                <w:sz w:val="20"/>
                <w:szCs w:val="20"/>
                <w:lang w:val="pt-BR" w:eastAsia="pt-BR"/>
              </w:rPr>
              <w:t>Medline</w:t>
            </w:r>
          </w:p>
          <w:p w14:paraId="3B3C09C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A"/>
                <w:sz w:val="20"/>
                <w:szCs w:val="20"/>
                <w:lang w:val="pt-BR" w:eastAsia="pt-BR"/>
              </w:rPr>
              <w:t>(via PubMed)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94FCDC5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color w:val="00000A"/>
                <w:sz w:val="20"/>
                <w:szCs w:val="20"/>
                <w:lang w:eastAsia="pt-BR"/>
              </w:rPr>
              <w:t>"Glycogen Storage Disease Type II"[Mesh] AND "alpha-Glucosidases"[Mesh] AND "humans"[</w:t>
            </w:r>
            <w:proofErr w:type="spellStart"/>
            <w:r w:rsidRPr="00FD3DD2">
              <w:rPr>
                <w:rFonts w:eastAsia="Times New Roman" w:cs="Times New Roman"/>
                <w:color w:val="00000A"/>
                <w:sz w:val="20"/>
                <w:szCs w:val="20"/>
                <w:lang w:eastAsia="pt-BR"/>
              </w:rPr>
              <w:t>MeSH</w:t>
            </w:r>
            <w:proofErr w:type="spellEnd"/>
            <w:r w:rsidRPr="00FD3DD2">
              <w:rPr>
                <w:rFonts w:eastAsia="Times New Roman" w:cs="Times New Roman"/>
                <w:color w:val="00000A"/>
                <w:sz w:val="20"/>
                <w:szCs w:val="20"/>
                <w:lang w:eastAsia="pt-BR"/>
              </w:rPr>
              <w:t>]</w:t>
            </w:r>
          </w:p>
        </w:tc>
      </w:tr>
      <w:tr w:rsidR="00C26CD2" w:rsidRPr="00C26CD2" w14:paraId="114FC34B" w14:textId="77777777" w:rsidTr="00C26CD2">
        <w:trPr>
          <w:trHeight w:val="474"/>
        </w:trPr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B29BE2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A"/>
                <w:sz w:val="20"/>
                <w:szCs w:val="20"/>
                <w:lang w:val="pt-BR" w:eastAsia="pt-BR"/>
              </w:rPr>
              <w:t>Embase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B71A18F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color w:val="00000A"/>
                <w:sz w:val="20"/>
                <w:szCs w:val="20"/>
                <w:lang w:eastAsia="pt-BR"/>
              </w:rPr>
              <w:t>'glycogen storage disease type 2'/exp AND 'recombinant glucan 1, 4 alpha glucosidase'/exp OR 'recombinant glucan 1,4 alpha glucosidase'</w:t>
            </w:r>
          </w:p>
        </w:tc>
      </w:tr>
    </w:tbl>
    <w:p w14:paraId="3C03CDA4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72E421C9" w14:textId="34F113FB" w:rsidR="00C26CD2" w:rsidRPr="00FD3DD2" w:rsidRDefault="00C26CD2" w:rsidP="00C26CD2">
      <w:pPr>
        <w:spacing w:before="0" w:after="0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2</w:t>
      </w:r>
      <w:r w:rsidRPr="00FD3DD2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.</w:t>
      </w:r>
      <w:r w:rsidRPr="00FD3DD2">
        <w:rPr>
          <w:rFonts w:eastAsia="Times New Roman" w:cs="Times New Roman"/>
          <w:b/>
          <w:bCs/>
          <w:i/>
          <w:iCs/>
          <w:color w:val="000000"/>
          <w:szCs w:val="24"/>
          <w:shd w:val="clear" w:color="auto" w:fill="FFFFFF"/>
          <w:lang w:eastAsia="pt-BR"/>
        </w:rPr>
        <w:t xml:space="preserve"> </w:t>
      </w:r>
      <w:r w:rsidRPr="00FD3DD2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>List of references excluded after reading the full text, according to the reason for exclusion.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7"/>
      </w:tblGrid>
      <w:tr w:rsidR="00C26CD2" w:rsidRPr="00C26CD2" w14:paraId="44506A3B" w14:textId="77777777" w:rsidTr="00C26CD2">
        <w:trPr>
          <w:trHeight w:val="3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7019F7D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Study design</w:t>
            </w:r>
          </w:p>
        </w:tc>
      </w:tr>
      <w:tr w:rsidR="00C26CD2" w:rsidRPr="00C26CD2" w14:paraId="43D45CE2" w14:textId="77777777" w:rsidTr="00C26CD2">
        <w:trPr>
          <w:trHeight w:val="1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C0841E2" w14:textId="77777777" w:rsidR="00C26CD2" w:rsidRPr="00FD3D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Napolitano F, Bruno G, Terracciano C, Franzese G, Palomba NP, Scotto di Carlo F, Signoriello E, De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Blasiis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P, Navarro S,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Gialluisi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A, Melone MAB,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Sampaolo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S, Esposito T. Rare Variants in Autophagy and Non-Autophagy Genes in Late-Onset Pompe Disease: Suggestions of Their Disease-Modifying Role in Two Italian Families. Int J Mol Sci. 2021 Mar 31;22(7):3625.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: 10.3390/ijms22073625. PMID: 33807278; PMCID: PMC8036926.</w:t>
            </w:r>
          </w:p>
        </w:tc>
      </w:tr>
      <w:tr w:rsidR="00C26CD2" w:rsidRPr="00C26CD2" w14:paraId="18380382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4FC2584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Population</w:t>
            </w:r>
          </w:p>
        </w:tc>
      </w:tr>
      <w:tr w:rsidR="00C26CD2" w:rsidRPr="00C26CD2" w14:paraId="5C13CB90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7EB61CD" w14:textId="77777777" w:rsidR="00C26CD2" w:rsidRPr="00FD3D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Stockton DW,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Kishnani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P, van der Ploeg A, Llerena J Jr,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Boentert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M, Roberts M, Byrne BJ, Araujo R, Maruti SS, Thibault N, Verhulst K, Berger KI. Respiratory function during enzyme replacement therapy in late-onset Pompe disease: longitudinal course, prognostic factors, and the impact of time from diagnosis to treatment start. J Neurol. 2020 Oct;267(10):3038-3053.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: 10.1007/s00415-020-09936-8.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Epub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2020 Jun 10. PMID: 32524257; PMCID: PMC7501128.</w:t>
            </w:r>
          </w:p>
        </w:tc>
      </w:tr>
      <w:tr w:rsidR="00C26CD2" w:rsidRPr="00C26CD2" w14:paraId="745FB426" w14:textId="77777777" w:rsidTr="00C26CD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E754832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Kuperus E,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Kruijshaar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ME, Wens SCA, de Vries JM,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Favejee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MM, van der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Meijden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JC, Rizopoulos D, Brusse E, van Doorn PA, van der Ploeg AT, van der Beek NAME. Long-term benefit of enzyme replacement therapy in Pompe disease: A 5-year prospective study.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Neurology. 2017 Dec 5;89(23):2365-2373. doi: 10.1212/WNL.0000000000004711. Epub 2017 Nov 8. PMID: 29117951.</w:t>
            </w:r>
          </w:p>
        </w:tc>
      </w:tr>
      <w:tr w:rsidR="00C26CD2" w:rsidRPr="00C26CD2" w14:paraId="0B828E82" w14:textId="77777777" w:rsidTr="00C26CD2">
        <w:trPr>
          <w:trHeight w:val="1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68F1E1A" w14:textId="77777777" w:rsidR="00C26CD2" w:rsidRPr="00FD3D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Nagura H,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Hokugo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J, Ueda K. Long-Term Observation of the Safety and Effectiveness of Enzyme Replacement Therapy in Japanese Patients with Pompe Disease: Results From the Post-marketing Surveillance. Neurol Ther. 2019 Dec;8(2):397-409.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: 10.1007/s40120-019-00157-4.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Epub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2019 Sep 26. PMID: 31559584; PMCID: PMC6858897.</w:t>
            </w:r>
          </w:p>
        </w:tc>
      </w:tr>
      <w:tr w:rsidR="00C26CD2" w:rsidRPr="00C26CD2" w14:paraId="1E48796E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2AA1DA82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Bar-Yoseph R, Mandel H, Mainzer G, Gur M, Tal G,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Shalloufeh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G,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Bentur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L. Cardiopulmonary exercise test to quantify enzyme replacement response in pediatric Pompe disease.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Pediatr Pulmonol. 2018 Mar;53(3):366-373. doi: 10.1002/ppul.23830. Epub 2018 Jan 22. PMID: 29356433.</w:t>
            </w:r>
          </w:p>
        </w:tc>
      </w:tr>
      <w:tr w:rsidR="00C26CD2" w:rsidRPr="00C26CD2" w14:paraId="5D1DDE1F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674062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Language </w:t>
            </w:r>
          </w:p>
        </w:tc>
      </w:tr>
      <w:tr w:rsidR="00C26CD2" w:rsidRPr="00C26CD2" w14:paraId="54294D6B" w14:textId="77777777" w:rsidTr="00C26CD2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DDF2207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Grosz Z, Várdi KV, Molnár JM. Tapasztalataink Pompe-betegségben terhesség alatt alkalmazott enzimpótló kezeléssel és az irodalom áttekintése [Pompe disease treated with enzyme replacement therapy in pregnancy]. Ideggyogy Sz. 2020 Sep 30;73(9-10):339-344. Hungarian. doi: 10.18071/isz.73.0339. PMID: 33035415.</w:t>
            </w:r>
          </w:p>
        </w:tc>
      </w:tr>
      <w:tr w:rsidR="00C26CD2" w:rsidRPr="00C26CD2" w14:paraId="45BA6CCB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F8BEAC5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Nicolino M.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L'alglucosidase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alpha, premier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traitement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pour la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maladie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de Pompe [Clinical development of acid alpha-glucosidase for the treatment of Pompe disease].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Presse Med. 2007 Mar;36 Spec No 1:1S100-7. French. PMID: 17546777.</w:t>
            </w:r>
          </w:p>
        </w:tc>
      </w:tr>
      <w:tr w:rsidR="00C26CD2" w:rsidRPr="00C26CD2" w14:paraId="5D7BAEE9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BEC90CC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 xml:space="preserve">Bereznai B,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Trauninger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A, György I, Szakszon K, Almássy Z, Pál E,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Herczegfalvi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Várdi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Visy K, Illés Z, Molnár MJ. Pompe-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kór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fenotípusvariációi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kórlefolyása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és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az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enzimpótló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kezelés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eredményei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: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hazai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tapasztalatok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[Clinical manifestations, course and outcome of enzyme replacement therapy in Hungarian patients with Pompe's disease].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Orv Hetil. 2011 Sep 25;152(39):1569-75. Hungarian. doi: 10.1556/OH.2011.29184. PMID: 21920843.</w:t>
            </w:r>
          </w:p>
        </w:tc>
      </w:tr>
      <w:tr w:rsidR="00C26CD2" w:rsidRPr="00C26CD2" w14:paraId="1B2E8CB2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CF20173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Intervention</w:t>
            </w:r>
          </w:p>
        </w:tc>
      </w:tr>
      <w:tr w:rsidR="00C26CD2" w:rsidRPr="00C26CD2" w14:paraId="798802BF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3D83C23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Flotats-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Bastardas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M, Hahn A. New Therapeutics Options for Pediatric Neuromuscular Disorders.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Front Pediatr. 2020 Nov 23;8:583877. doi: 10.3389/fped.2020.583877. PMID: 33330280; PMCID: PMC7719776.</w:t>
            </w:r>
          </w:p>
        </w:tc>
      </w:tr>
      <w:tr w:rsidR="00C26CD2" w:rsidRPr="00C26CD2" w14:paraId="7A0E8860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DE5923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Byrne, B., Colan, S.,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Kishnani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, P., Foster, M., Sparks, S., Gibson, J., . . 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 xml:space="preserve">Wang, R. (2022). </w:t>
            </w: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Cardiac responses in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paediatric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Pompe disease in the ADVANCE patient cohort.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Cardiology in the Young, 32(3), 364-373. doi:10.1017/S1047951121002079</w:t>
            </w:r>
          </w:p>
        </w:tc>
      </w:tr>
      <w:tr w:rsidR="00C26CD2" w:rsidRPr="00C26CD2" w14:paraId="0B775C2C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1A92C409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Klinge L, Straub V, Neudorf U, Schaper J,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Bosbach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T,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Görlinger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K,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Wallot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M, Richards S, Voit T. Safety and efficacy of recombinant acid alpha-glucosidase (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rhGAA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) in patients with classical infantile Pompe disease: results of a phase II clinical trial.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Neuromuscul Disord. 2005 Jan;15(1):24-31. doi: 10.1016/j.nmd.2004.10.009. Epub 2004 Nov 26. PMID: 15639117.</w:t>
            </w:r>
          </w:p>
        </w:tc>
      </w:tr>
      <w:tr w:rsidR="00C26CD2" w:rsidRPr="00C26CD2" w14:paraId="136FC9D3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D17C1B9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pt-BR" w:eastAsia="pt-BR"/>
              </w:rPr>
              <w:t>Outcome</w:t>
            </w:r>
          </w:p>
        </w:tc>
      </w:tr>
      <w:tr w:rsidR="00C26CD2" w:rsidRPr="00C26CD2" w14:paraId="5113CC8E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29E619E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van Gelder CM, Hoogeveen-Westerveld M, Kroos MA, Plug I, van der Ploeg AT,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Reuser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AJ. Enzyme therapy and immune response in relation to CRIM status: the Dutch experience in classic infantile Pompe disease.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J Inherit Metab Dis. 2015 Mar;38(2):305-14. doi: 10.1007/s10545-014-9707-6. Epub 2014 Apr 9. PMID: 24715333; PMCID: PMC4341007.</w:t>
            </w:r>
          </w:p>
        </w:tc>
      </w:tr>
      <w:tr w:rsidR="00C26CD2" w:rsidRPr="00C26CD2" w14:paraId="014593A3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F9B3B79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McDowell R, Li JS, Benjamin DK Jr, Morgan C, Becker A,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Kishnani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PS, Kanter RJ. Arrhythmias in patients receiving enzyme replacement therapy for infantile Pompe disease.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Genet Med. 2008 Oct;10(10):758-62. doi: 10.1097/GIM.0b013e318183722f. PMID: 18813140; PMCID: PMC3612889.</w:t>
            </w:r>
          </w:p>
        </w:tc>
      </w:tr>
      <w:tr w:rsidR="00C26CD2" w:rsidRPr="00C26CD2" w14:paraId="03497176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653D7F4C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Chien YH, Lee NC, Peng SF, Hwu WL. Brain development in infantile-onset Pompe disease treated by enzyme replacement therapy.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Pediatr Res. 2006 Sep;60(3):349-52. doi: 10.1203/01.pdr.0000233014.84318.4e. Epub 2006 Jul 20. PMID: 16857770.</w:t>
            </w:r>
          </w:p>
        </w:tc>
      </w:tr>
      <w:tr w:rsidR="00C26CD2" w:rsidRPr="00C26CD2" w14:paraId="159ADF91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33927B8F" w14:textId="77777777" w:rsidR="00C26CD2" w:rsidRPr="00FD3D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Yang CC, Chien YH, Lee NC, Chiang SC, Lin SP, Kuo YT, Chen SS, Jong YJ, Hwu WL. Rapid progressive course of later-onset Pompe disease in Chinese patients. Mol Genet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Metab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. 2011 Nov;104(3):284-8.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doi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: 10.1016/j.ymgme.2011.06.010.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Epub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2011 Jun 22. PMID: 21757382.</w:t>
            </w:r>
          </w:p>
        </w:tc>
      </w:tr>
      <w:tr w:rsidR="00C26CD2" w:rsidRPr="00C26CD2" w14:paraId="4197B1AB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17F7425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Schneider I, Hanisch F, Müller T, Schmidt B,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Zierz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S. Respiratory function in late-onset Pompe disease patients receiving long-term enzyme replacement therapy for more than 48 months.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Wien Med Wochenschr. 2013 Jan;163(1-2):40-4. doi: 10.1007/s10354-012-0153-5. Epub 2012 Nov 19. PMID: 23160972.</w:t>
            </w:r>
          </w:p>
        </w:tc>
      </w:tr>
      <w:tr w:rsidR="00C26CD2" w:rsidRPr="00C26CD2" w14:paraId="39283137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7387BB45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Schneider I, Hanisch F, Müller T, Schmidt B,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Zierz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S. Respiratory function in late-onset Pompe disease patients receiving long-term enzyme replacement therapy for more than 48 months.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Wien Med Wochenschr. 2013 Jan;163(1-2):40-4. doi: 10.1007/s10354-012-0153-5. Epub 2012 Nov 19. PMID: 23160972.</w:t>
            </w:r>
          </w:p>
        </w:tc>
      </w:tr>
      <w:tr w:rsidR="00C26CD2" w:rsidRPr="00C26CD2" w14:paraId="2D8B2E84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55F4DB3A" w14:textId="3EB48FB8" w:rsidR="00C26CD2" w:rsidRPr="00FD3DD2" w:rsidRDefault="00FC676B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Abstract referring to an article already included</w:t>
            </w:r>
          </w:p>
        </w:tc>
      </w:tr>
      <w:tr w:rsidR="00C26CD2" w:rsidRPr="00C26CD2" w14:paraId="21A7A9C0" w14:textId="77777777" w:rsidTr="00C26CD2">
        <w:trPr>
          <w:trHeight w:val="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14:paraId="4F844DC0" w14:textId="77777777" w:rsidR="00C26CD2" w:rsidRPr="00C26CD2" w:rsidRDefault="00C26CD2" w:rsidP="00C26CD2">
            <w:pPr>
              <w:spacing w:before="0" w:after="0"/>
              <w:jc w:val="both"/>
              <w:rPr>
                <w:rFonts w:eastAsia="Times New Roman" w:cs="Times New Roman"/>
                <w:sz w:val="20"/>
                <w:szCs w:val="20"/>
                <w:lang w:val="pt-BR" w:eastAsia="pt-BR"/>
              </w:rPr>
            </w:pP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Thurberg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BL, Carlier P, Kissel JT,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Schoser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B, Pestronk A,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Barohn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RJ,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Goker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-Alpan O, Mozaffar T, Pena LD, Simmons Z, Straub V, Young P, Shafi R, Bjartmar C, van der Ploeg A. A Phase 4 Prospective Study in Patients with Adult Pompe Disease Treated with </w:t>
            </w:r>
            <w:proofErr w:type="spellStart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Alglucosidase</w:t>
            </w:r>
            <w:proofErr w:type="spellEnd"/>
            <w:r w:rsidRPr="00FD3DD2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 xml:space="preserve"> Alfa. </w:t>
            </w:r>
            <w:r w:rsidRPr="00C26CD2">
              <w:rPr>
                <w:rFonts w:eastAsia="Times New Roman" w:cs="Times New Roman"/>
                <w:color w:val="000000"/>
                <w:sz w:val="20"/>
                <w:szCs w:val="20"/>
                <w:lang w:val="pt-BR" w:eastAsia="pt-BR"/>
              </w:rPr>
              <w:t>J Neuromuscul Dis. 2015;2(s1):S72-S73. PMID: 27858658.</w:t>
            </w:r>
          </w:p>
        </w:tc>
      </w:tr>
    </w:tbl>
    <w:p w14:paraId="3827ECEA" w14:textId="77777777" w:rsidR="00C26CD2" w:rsidRPr="00C26CD2" w:rsidRDefault="00C26CD2" w:rsidP="00C26CD2">
      <w:pPr>
        <w:spacing w:before="0" w:after="0"/>
        <w:rPr>
          <w:rFonts w:eastAsia="Times New Roman" w:cs="Times New Roman"/>
          <w:szCs w:val="24"/>
          <w:lang w:val="pt-BR" w:eastAsia="pt-BR"/>
        </w:rPr>
      </w:pPr>
    </w:p>
    <w:p w14:paraId="6EB88F64" w14:textId="77777777" w:rsidR="00C26CD2" w:rsidRPr="00C26C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val="pt-BR" w:eastAsia="pt-BR"/>
        </w:rPr>
      </w:pPr>
    </w:p>
    <w:p w14:paraId="3961ECFC" w14:textId="4176A469" w:rsidR="00C26CD2" w:rsidRPr="00FD3DD2" w:rsidRDefault="00C26CD2" w:rsidP="00C26CD2">
      <w:pPr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3</w:t>
      </w:r>
      <w:r w:rsidRPr="00FD3DD2">
        <w:rPr>
          <w:rFonts w:eastAsia="Times New Roman" w:cs="Times New Roman"/>
          <w:color w:val="00000A"/>
          <w:szCs w:val="24"/>
          <w:lang w:eastAsia="pt-BR"/>
        </w:rPr>
        <w:t xml:space="preserve">. 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Evaluation of the effect of Enzyme Replacement Therapy in left ventricular mass associated with Early Onset Pompe Disease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1131"/>
        <w:gridCol w:w="1237"/>
        <w:gridCol w:w="1396"/>
        <w:gridCol w:w="1276"/>
        <w:gridCol w:w="1588"/>
        <w:gridCol w:w="1909"/>
      </w:tblGrid>
      <w:tr w:rsidR="00C26CD2" w:rsidRPr="00C26CD2" w14:paraId="42977341" w14:textId="77777777" w:rsidTr="00C26CD2">
        <w:trPr>
          <w:trHeight w:val="20"/>
        </w:trPr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CCD4A8C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lastRenderedPageBreak/>
              <w:t>Study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AB1D63E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Patients (n); &gt;12m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374EC41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7984A62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Basal period</w:t>
            </w:r>
          </w:p>
          <w:p w14:paraId="286A8A7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A4EAA42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Post ERT</w:t>
            </w:r>
          </w:p>
          <w:p w14:paraId="56E67433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mean (SD)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204BAA4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ERT Effect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A7917EB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Methodological limitations</w:t>
            </w:r>
          </w:p>
        </w:tc>
      </w:tr>
      <w:tr w:rsidR="00C26CD2" w:rsidRPr="00C26CD2" w14:paraId="2D75C362" w14:textId="77777777" w:rsidTr="00C26CD2">
        <w:trPr>
          <w:trHeight w:val="20"/>
        </w:trPr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72D5922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(2006)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1C142FF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 (4 fem); 1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E33FBB7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B4C7579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266.9 ± 64.4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435C35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83.7 ± 25.3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635080A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Average improvement rate of 68.7%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B82369B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open study, no evaluation before and after ERT.</w:t>
            </w:r>
          </w:p>
        </w:tc>
      </w:tr>
      <w:tr w:rsidR="00C26CD2" w:rsidRPr="00C26CD2" w14:paraId="400C53D3" w14:textId="77777777" w:rsidTr="00C26CD2">
        <w:trPr>
          <w:trHeight w:val="20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D54FBC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(2007)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609D90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 (7 fem);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8974FB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59889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193.4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9D9E6AB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86.8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72F17C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FA6E0D5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open study, no evaluation before and after ERT.</w:t>
            </w:r>
          </w:p>
        </w:tc>
      </w:tr>
      <w:tr w:rsidR="00C26CD2" w:rsidRPr="00C26CD2" w14:paraId="1899D9B5" w14:textId="77777777" w:rsidTr="00C26CD2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33F896A7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B845B4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256FDB4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(Z score)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E4FD122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7.1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716F107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3.3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6294DC5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49994932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7DA91AF2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141C6B9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Levine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(2008)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3719C79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 (4 fem); 1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88C8BB3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2D81F48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191 (range 157 – 565)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834CB0C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87 (range 54 – 124)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C5E668D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p &lt; 0.001 (mean change)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C90E4E0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  <w:tr w:rsidR="00C26CD2" w:rsidRPr="00C26CD2" w14:paraId="4FC44873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B7BB13F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34B9721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 (7 fem); 0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5F18D4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(Z score)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EC5B0C9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7.1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11C00B0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2.0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A532877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4456D6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no evaluation before and after ERT.</w:t>
            </w:r>
          </w:p>
        </w:tc>
      </w:tr>
      <w:tr w:rsidR="00C26CD2" w:rsidRPr="00C26CD2" w14:paraId="50CD77D6" w14:textId="77777777" w:rsidTr="00C26CD2">
        <w:trPr>
          <w:trHeight w:val="20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81C5585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Nicolino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2099ED1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21 (11 fem); NA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61E870D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(Z score)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C2FD05E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6.5±2.6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1598D6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0.9±0.8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392676F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% variation after TRE =5.3%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296DDF2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  <w:tr w:rsidR="00C26CD2" w:rsidRPr="00C26CD2" w14:paraId="0F6D9282" w14:textId="77777777" w:rsidTr="00C26CD2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757B2E4C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AC067C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8173AE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3F8943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193.8±98.5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81D23D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53.1±13.9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36B549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% variation after TRE = -62.7%</w:t>
            </w:r>
          </w:p>
        </w:tc>
        <w:tc>
          <w:tcPr>
            <w:tcW w:w="0" w:type="auto"/>
            <w:vMerge/>
            <w:vAlign w:val="center"/>
            <w:hideMark/>
          </w:tcPr>
          <w:p w14:paraId="0798E3F3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7C5058F4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99A45A9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Barker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(2010)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E6F6CB1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 (NA); 0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3A9855E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6E0A11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69.9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84FA61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1862AA9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pt-BR"/>
              </w:rPr>
              <w:t>p= N.S.</w:t>
            </w:r>
          </w:p>
          <w:p w14:paraId="731F83E9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pt-BR"/>
              </w:rPr>
              <w:t>(mean change)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B147EC7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small sample size.</w:t>
            </w:r>
          </w:p>
        </w:tc>
      </w:tr>
      <w:tr w:rsidR="00C26CD2" w:rsidRPr="00C26CD2" w14:paraId="446410C1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1717F7A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 xml:space="preserve">et al. 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(2011)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A344874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9 (3 fem); 0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CC81E0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A9F5242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156.5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23666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72.5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21C2848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p&lt;0.01</w:t>
            </w:r>
          </w:p>
          <w:p w14:paraId="5D4201BC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(mean change)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8497040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  <w:tr w:rsidR="00C26CD2" w:rsidRPr="00C26CD2" w14:paraId="6965060E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DE39D38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Chien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(2015)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01356C5" w14:textId="6856F21E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 (NA);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0F48CD8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0CC2D08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132.4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E881C4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67.2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9C731C3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CD05D2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no evaluation before and after ERT.</w:t>
            </w:r>
          </w:p>
        </w:tc>
      </w:tr>
      <w:tr w:rsidR="00C26CD2" w:rsidRPr="00C26CD2" w14:paraId="54F66A9F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A62CD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lastRenderedPageBreak/>
              <w:t xml:space="preserve">van Gelder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(2016)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9130134" w14:textId="29BA3A2F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 (4 fem);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9222492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DE1D878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normal in 3/4 patients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C3A4EDB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normal in 4/4 patients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3F00A8A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AD127F3" w14:textId="77777777" w:rsidR="00C26CD2" w:rsidRPr="00FD3DD2" w:rsidRDefault="00C26CD2" w:rsidP="00C26CD2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No pre and post ERT evaluation, small sample size.</w:t>
            </w:r>
          </w:p>
        </w:tc>
      </w:tr>
      <w:tr w:rsidR="00AD1E79" w:rsidRPr="00C26CD2" w14:paraId="767D4AA4" w14:textId="77777777" w:rsidTr="002B5B15">
        <w:trPr>
          <w:trHeight w:val="20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B4B3E71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van Capelle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(2018)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A76EBC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14 (7 fem);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4FFB89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1719D6D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226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EB10C60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70.8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934BE67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7960A4" w14:textId="77777777" w:rsidR="00AD1E79" w:rsidRPr="00FD3DD2" w:rsidRDefault="00AD1E79" w:rsidP="002B5B15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no evaluation before and after ERT.</w:t>
            </w:r>
          </w:p>
        </w:tc>
      </w:tr>
      <w:tr w:rsidR="00AD1E79" w:rsidRPr="00C26CD2" w14:paraId="0105465B" w14:textId="77777777" w:rsidTr="00AD1E79">
        <w:trPr>
          <w:trHeight w:val="1078"/>
        </w:trPr>
        <w:tc>
          <w:tcPr>
            <w:tcW w:w="0" w:type="auto"/>
            <w:vMerge/>
            <w:vAlign w:val="center"/>
            <w:hideMark/>
          </w:tcPr>
          <w:p w14:paraId="3FA57854" w14:textId="77777777" w:rsidR="00AD1E79" w:rsidRPr="00FD3DD2" w:rsidRDefault="00AD1E79" w:rsidP="002B5B15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060701" w14:textId="77777777" w:rsidR="00AD1E79" w:rsidRPr="00FD3DD2" w:rsidRDefault="00AD1E79" w:rsidP="002B5B15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4479F0E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(Z score)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AADD94B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A75D9BA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0.3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62E9959" w14:textId="77777777" w:rsidR="00AD1E79" w:rsidRPr="00C26CD2" w:rsidRDefault="00AD1E79" w:rsidP="002B5B15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vMerge/>
            <w:vAlign w:val="center"/>
            <w:hideMark/>
          </w:tcPr>
          <w:p w14:paraId="04BDD0F0" w14:textId="77777777" w:rsidR="00AD1E79" w:rsidRPr="00C26CD2" w:rsidRDefault="00AD1E79" w:rsidP="002B5B15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AD1E79" w:rsidRPr="00AD1E79" w14:paraId="6F8FFF53" w14:textId="77777777" w:rsidTr="00BB1A51">
        <w:trPr>
          <w:trHeight w:val="20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465952" w14:textId="50A693C2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b/>
                <w:bCs/>
                <w:color w:val="222222"/>
                <w:szCs w:val="24"/>
                <w:shd w:val="clear" w:color="auto" w:fill="FFFFFF"/>
              </w:rPr>
              <w:t xml:space="preserve">Zhu </w:t>
            </w:r>
            <w:r w:rsidRPr="00AD1E79">
              <w:rPr>
                <w:b/>
                <w:bCs/>
                <w:i/>
                <w:iCs/>
                <w:color w:val="222222"/>
                <w:szCs w:val="24"/>
                <w:shd w:val="clear" w:color="auto" w:fill="FFFFFF"/>
              </w:rPr>
              <w:t xml:space="preserve">et al. </w:t>
            </w:r>
            <w:r w:rsidRPr="00AD1E79">
              <w:rPr>
                <w:b/>
                <w:bCs/>
                <w:color w:val="222222"/>
                <w:szCs w:val="24"/>
                <w:shd w:val="clear" w:color="auto" w:fill="FFFFFF"/>
              </w:rPr>
              <w:t>(2022)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DD87D6" w14:textId="1C94359C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 (6 fem);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B10FE8" w14:textId="77777777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(g/m²)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7BC1816" w14:textId="4DCFC181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color w:val="222222"/>
                <w:szCs w:val="24"/>
                <w:shd w:val="clear" w:color="auto" w:fill="FFFFFF"/>
              </w:rPr>
              <w:t>298.02 ± 178.43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5F4F7E7" w14:textId="15652AB0" w:rsidR="00AD1E79" w:rsidRPr="00AD1E79" w:rsidRDefault="00E3404D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>
              <w:rPr>
                <w:color w:val="222222"/>
                <w:sz w:val="22"/>
                <w:shd w:val="clear" w:color="auto" w:fill="FFFFFF"/>
              </w:rPr>
              <w:t>70.59 ± 39.93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1D7590D" w14:textId="77777777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7FEC10" w14:textId="6BB8809A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rPr>
                <w:rFonts w:eastAsia="Times New Roman" w:cs="Times New Roman"/>
                <w:szCs w:val="24"/>
                <w:lang w:eastAsia="pt-BR"/>
              </w:rPr>
            </w:pPr>
            <w:r w:rsidRPr="00AD1E79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  <w:tr w:rsidR="00AD1E79" w:rsidRPr="00AD1E79" w14:paraId="609C1287" w14:textId="77777777" w:rsidTr="00AD1E79">
        <w:trPr>
          <w:trHeight w:val="1078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0242F803" w14:textId="77777777" w:rsidR="00AD1E79" w:rsidRPr="00AD1E79" w:rsidRDefault="00AD1E79" w:rsidP="00BB1A51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5E312B15" w14:textId="77777777" w:rsidR="00AD1E79" w:rsidRPr="00AD1E79" w:rsidRDefault="00AD1E79" w:rsidP="00BB1A51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F4EB3FA" w14:textId="77777777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mass (Z score)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95B4527" w14:textId="01AE87A6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color w:val="222222"/>
                <w:szCs w:val="24"/>
                <w:shd w:val="clear" w:color="auto" w:fill="FFFFFF"/>
              </w:rPr>
              <w:t>16.63 ± 5.17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78C003" w14:textId="5D45191C" w:rsidR="00AD1E79" w:rsidRPr="00AD1E79" w:rsidRDefault="00E3404D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>
              <w:rPr>
                <w:color w:val="222222"/>
                <w:sz w:val="22"/>
                <w:shd w:val="clear" w:color="auto" w:fill="FFFFFF"/>
              </w:rPr>
              <w:t>4.30 ± 2.78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C6AFA93" w14:textId="77777777" w:rsidR="00AD1E79" w:rsidRPr="00AD1E79" w:rsidRDefault="00AD1E79" w:rsidP="00BB1A51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AD1E79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7F1B97D0" w14:textId="77777777" w:rsidR="00AD1E79" w:rsidRPr="00AD1E79" w:rsidRDefault="00AD1E79" w:rsidP="00BB1A51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</w:tbl>
    <w:p w14:paraId="2D91F0E3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*&gt;12m=number of patients older than 12 months. Fem=female. SD=standard deviation. ERT=Enzyme Replacement Therapy. C=control. CI=confidence interval. LV=left ventricular. NA=not available.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br/>
      </w:r>
    </w:p>
    <w:p w14:paraId="52D300BE" w14:textId="4176889B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bookmarkStart w:id="1" w:name="_Hlk138176017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4</w:t>
      </w:r>
      <w:bookmarkEnd w:id="1"/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. Evaluation of the effect of Enzyme Replacement Therapy on myocardial function assessed with LV ejection fraction in patients with early Pompe Disease.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1294"/>
        <w:gridCol w:w="1383"/>
        <w:gridCol w:w="1144"/>
        <w:gridCol w:w="724"/>
        <w:gridCol w:w="1392"/>
        <w:gridCol w:w="2632"/>
      </w:tblGrid>
      <w:tr w:rsidR="00C26CD2" w:rsidRPr="00C26CD2" w14:paraId="4596CA88" w14:textId="77777777" w:rsidTr="00C26CD2">
        <w:trPr>
          <w:trHeight w:val="20"/>
        </w:trPr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3D04F6B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Study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9837FE7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Patients (n); &gt;12m*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CEBE6C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Outcome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A6C1897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Basal period</w:t>
            </w:r>
          </w:p>
          <w:p w14:paraId="5FF82D4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µ±sd (%)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EEEB1A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After ERT</w:t>
            </w:r>
          </w:p>
          <w:p w14:paraId="3621FC8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µ±sd (%)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0E0BA7A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ERT Effect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85EBD73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Methodological limitations</w:t>
            </w:r>
          </w:p>
        </w:tc>
      </w:tr>
      <w:tr w:rsidR="00C26CD2" w:rsidRPr="00C26CD2" w14:paraId="6B4EAFA5" w14:textId="77777777" w:rsidTr="00C26CD2">
        <w:trPr>
          <w:trHeight w:val="20"/>
        </w:trPr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E4908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 xml:space="preserve">et al. 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(2007)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88A18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 (7 fem); 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7AA34E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ejection fraction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BD435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51.2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2CE036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54.9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4655E3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FDCF924" w14:textId="77777777" w:rsidR="00C26CD2" w:rsidRPr="00FD3DD2" w:rsidRDefault="00C26CD2" w:rsidP="00C26CD2">
            <w:pPr>
              <w:shd w:val="clear" w:color="auto" w:fill="FFFFFF"/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open study, no pre- and post-ERT evaluation.</w:t>
            </w:r>
          </w:p>
        </w:tc>
      </w:tr>
      <w:tr w:rsidR="00C26CD2" w:rsidRPr="00C26CD2" w14:paraId="227B937D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B5376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Nicolino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71BBBB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21 (11 fem); NA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FC5B8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shortening fraction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54F346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35.6±12.1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A9A842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43.8</w:t>
            </w:r>
          </w:p>
          <w:p w14:paraId="74CD78A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±6.5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999A0D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101010"/>
                <w:szCs w:val="24"/>
                <w:shd w:val="clear" w:color="auto" w:fill="FFFFFF"/>
                <w:lang w:val="pt-BR" w:eastAsia="pt-BR"/>
              </w:rPr>
              <w:t>% variation after TRE = 30.4%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5BD192C" w14:textId="77777777" w:rsidR="00C26CD2" w:rsidRPr="00FD3DD2" w:rsidRDefault="00C26CD2" w:rsidP="00C26CD2">
            <w:pPr>
              <w:shd w:val="clear" w:color="auto" w:fill="FFFFFF"/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  <w:tr w:rsidR="00C26CD2" w:rsidRPr="00C26CD2" w14:paraId="69F7D0C4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9D5E87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Barker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(2010)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E44171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 (NA);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535A82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ejection fraction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680330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F33B95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E591D5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p=0.69</w:t>
            </w: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 xml:space="preserve"> (mean change)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BC83076" w14:textId="77777777" w:rsidR="00C26CD2" w:rsidRPr="00FD3DD2" w:rsidRDefault="00C26CD2" w:rsidP="00C26CD2">
            <w:pPr>
              <w:shd w:val="clear" w:color="auto" w:fill="FFFFFF"/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small sample size.</w:t>
            </w:r>
          </w:p>
        </w:tc>
      </w:tr>
      <w:tr w:rsidR="00C26CD2" w:rsidRPr="00C26CD2" w14:paraId="75597403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310EE5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(2011)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B94FC44" w14:textId="27C0BD29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9 (3 fem);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9E831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ejection fraction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516C5C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73.1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5AED37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72.4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EF24F9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not significant p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0E4673E" w14:textId="77777777" w:rsidR="00C26CD2" w:rsidRPr="00FD3DD2" w:rsidRDefault="00C26CD2" w:rsidP="00C26CD2">
            <w:pPr>
              <w:shd w:val="clear" w:color="auto" w:fill="FFFFFF"/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</w:t>
            </w:r>
          </w:p>
        </w:tc>
      </w:tr>
      <w:tr w:rsidR="00C26CD2" w:rsidRPr="00C26CD2" w14:paraId="2896D210" w14:textId="77777777" w:rsidTr="00E3404D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3C483A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Chien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. (2009)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4FBCBE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 (3 fem);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AC9364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LV ejection fraction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4341CD5" w14:textId="241C8CC8" w:rsidR="00C26CD2" w:rsidRPr="00C26CD2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NA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E42E588" w14:textId="4B8DFE09" w:rsidR="00C26CD2" w:rsidRPr="00C26CD2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NA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76C573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No change from baseline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259C2E6" w14:textId="77777777" w:rsidR="00C26CD2" w:rsidRPr="00FD3DD2" w:rsidRDefault="00C26CD2" w:rsidP="00C26CD2">
            <w:pPr>
              <w:shd w:val="clear" w:color="auto" w:fill="FFFFFF"/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Open study, no pre- and post-ERT evaluation</w:t>
            </w:r>
          </w:p>
        </w:tc>
      </w:tr>
      <w:tr w:rsidR="00E3404D" w:rsidRPr="00E3404D" w14:paraId="715FE34C" w14:textId="77777777" w:rsidTr="00C26CD2">
        <w:trPr>
          <w:trHeight w:val="20"/>
        </w:trPr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4D4339F5" w14:textId="6935AC9A" w:rsidR="00E3404D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</w:pPr>
            <w:r w:rsidRPr="00E3404D">
              <w:rPr>
                <w:b/>
                <w:bCs/>
                <w:color w:val="222222"/>
                <w:szCs w:val="24"/>
                <w:shd w:val="clear" w:color="auto" w:fill="FFFFFF"/>
              </w:rPr>
              <w:t xml:space="preserve">Zhu </w:t>
            </w:r>
            <w:r w:rsidRPr="00E3404D">
              <w:rPr>
                <w:b/>
                <w:bCs/>
                <w:i/>
                <w:iCs/>
                <w:color w:val="222222"/>
                <w:szCs w:val="24"/>
                <w:shd w:val="clear" w:color="auto" w:fill="FFFFFF"/>
              </w:rPr>
              <w:t xml:space="preserve">et al. </w:t>
            </w:r>
            <w:r w:rsidRPr="00E3404D">
              <w:rPr>
                <w:b/>
                <w:bCs/>
                <w:color w:val="222222"/>
                <w:szCs w:val="24"/>
                <w:shd w:val="clear" w:color="auto" w:fill="FFFFFF"/>
              </w:rPr>
              <w:t>(2022)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7134A31" w14:textId="5630C349" w:rsidR="00E3404D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</w:pP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 (6 fem); 0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A11F9A4" w14:textId="69803948" w:rsidR="00E3404D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</w:pPr>
            <w:r w:rsidRPr="00E3404D">
              <w:rPr>
                <w:color w:val="222222"/>
                <w:szCs w:val="24"/>
                <w:shd w:val="clear" w:color="auto" w:fill="FFFFFF"/>
              </w:rPr>
              <w:t>LV ejection fraction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0EA2D921" w14:textId="713DE22B" w:rsidR="00E3404D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</w:pPr>
            <w:r w:rsidRPr="00E3404D">
              <w:rPr>
                <w:color w:val="222222"/>
                <w:szCs w:val="24"/>
                <w:shd w:val="clear" w:color="auto" w:fill="FFFFFF"/>
              </w:rPr>
              <w:t>57.9±13.3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18708495" w14:textId="21576E79" w:rsidR="00E3404D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</w:pP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NA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2F9B0772" w14:textId="3235CB36" w:rsidR="00E3404D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</w:pP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NA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</w:tcPr>
          <w:p w14:paraId="6979668B" w14:textId="2EC0FC29" w:rsidR="00E3404D" w:rsidRPr="00E3404D" w:rsidRDefault="00E3404D" w:rsidP="00C26CD2">
            <w:pPr>
              <w:shd w:val="clear" w:color="auto" w:fill="FFFFFF"/>
              <w:spacing w:before="0" w:after="0"/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</w:pP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 xml:space="preserve">Absence of a control group, open study, no </w:t>
            </w: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lastRenderedPageBreak/>
              <w:t>pre- and post-ERT evaluation.</w:t>
            </w:r>
          </w:p>
        </w:tc>
      </w:tr>
    </w:tbl>
    <w:p w14:paraId="3D0587DB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lastRenderedPageBreak/>
        <w:t>*&gt;12m=</w:t>
      </w:r>
      <w:r w:rsidRPr="00FD3D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FD3DD2">
        <w:rPr>
          <w:rFonts w:eastAsia="Times New Roman" w:cs="Times New Roman"/>
          <w:color w:val="222222"/>
          <w:szCs w:val="24"/>
          <w:lang w:eastAsia="pt-BR"/>
        </w:rPr>
        <w:t>number of patients older than 12 months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. Fem=female. SD=standard deviation. ERT=Enzyme Replacement Therapy. CI=confidence interval. LV=left ventricular. NA=not available.</w:t>
      </w:r>
    </w:p>
    <w:p w14:paraId="1839A072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75CCFE9E" w14:textId="12A5ABA8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bookmarkStart w:id="2" w:name="_Hlk138176030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5</w:t>
      </w:r>
      <w:bookmarkEnd w:id="2"/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. Evaluation of Time to Start Ventilatory Support in patients with early Pompe Disease.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269"/>
        <w:gridCol w:w="1885"/>
        <w:gridCol w:w="1440"/>
        <w:gridCol w:w="1838"/>
        <w:gridCol w:w="2131"/>
      </w:tblGrid>
      <w:tr w:rsidR="00C26CD2" w:rsidRPr="00C26CD2" w14:paraId="14E9ED30" w14:textId="77777777" w:rsidTr="00C26CD2">
        <w:trPr>
          <w:trHeight w:val="20"/>
        </w:trPr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450DEFF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Study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87B02F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Patients (n); &gt;12m*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7EC2DC" w14:textId="350E30AA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I or pre ERT</w:t>
            </w:r>
          </w:p>
          <w:p w14:paraId="2F0625D9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(mean)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E6CAF4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C or after ERT (mean)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604B34E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ERT Effect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D5F87CF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Methodological limitations</w:t>
            </w:r>
          </w:p>
        </w:tc>
      </w:tr>
      <w:tr w:rsidR="00C26CD2" w:rsidRPr="00C26CD2" w14:paraId="368CAC5E" w14:textId="77777777" w:rsidTr="00C26CD2">
        <w:trPr>
          <w:trHeight w:val="20"/>
        </w:trPr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D3D0DD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(2006)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A4A102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 (4 female); 1 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659C66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SV= 8 patients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D1C9C3C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11.3 months for IV (n=1); NIV or SV: n=5; 2 deaths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DA25C3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8B8D9E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group, open study.</w:t>
            </w:r>
          </w:p>
        </w:tc>
      </w:tr>
      <w:tr w:rsidR="00C26CD2" w:rsidRPr="00C26CD2" w14:paraId="34444133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DBD5B2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(2007)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5DD7A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 (7 female);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F280E1E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I: Between 9.1 and 15 months for IV (n=3); between 7.8 and 14.8 for NIV (n=3); SV: n=12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EB281EB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C: Between 4 and 16 months for IV or NIV.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12EF93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Survival without IV or NIV (Kaplan-Meier): 66.7% (44.9% to 88.4%).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1BEC4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Open study.</w:t>
            </w:r>
          </w:p>
        </w:tc>
      </w:tr>
      <w:tr w:rsidR="00C26CD2" w:rsidRPr="00C26CD2" w14:paraId="11811EEE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986207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9982E0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 (7 female);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E2A903F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I: Between 9.1 and 29.6 months for IV (n=9); SV: n=9.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1EC823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C: Between 4 and 16 months for IV or NIV.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94CAD88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Survival without IV (Kaplan-Meier): 49.4% (26% to 72.8%).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DAA18A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</w:tr>
      <w:tr w:rsidR="00C26CD2" w:rsidRPr="00C26CD2" w14:paraId="3FDAE90A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18C5CE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Nicolino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  <w:p w14:paraId="20D454C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</w:p>
          <w:p w14:paraId="0CC5D1E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C1262D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21 (11 female); NA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8657B8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840220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669E1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HR: 0.421 (0.202-0.876); p=0.0207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ECCBF7C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  <w:tr w:rsidR="00C26CD2" w:rsidRPr="00C26CD2" w14:paraId="04142B45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C2AFB2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Chien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. (2009)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F2BF5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 cases (3 female); 1 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6A27BB1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I: 40 months (full follow-up)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26FF30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C: 8 to 18 months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BCBBA3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p=0.008 (mean difference)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1B4E72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Small sample size.</w:t>
            </w:r>
          </w:p>
        </w:tc>
      </w:tr>
      <w:tr w:rsidR="00C26CD2" w:rsidRPr="00C26CD2" w14:paraId="3667B531" w14:textId="77777777" w:rsidTr="00C26CD2">
        <w:trPr>
          <w:trHeight w:val="2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4CCABB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Chien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(2015)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AE4676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 (NA); 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76048D6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I: 63 months (full follow-up)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3D7393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C: 8 to 42 months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2BA0BF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 xml:space="preserve">p&lt;0.001 </w:t>
            </w:r>
            <w:r w:rsidRPr="00C26CD2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val="pt-BR" w:eastAsia="pt-BR"/>
              </w:rPr>
              <w:t>(mean difference)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66972D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</w:tr>
      <w:tr w:rsidR="00C26CD2" w:rsidRPr="00C26CD2" w14:paraId="10169509" w14:textId="77777777" w:rsidTr="00FD3DD2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39EE1C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van Capelle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(2018)</w:t>
            </w:r>
          </w:p>
          <w:p w14:paraId="41488C5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73D123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14 (7 female); 0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CF19B2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BDB1890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21.6 months for VI; NIV or SV=9.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F4A38E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751794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group.</w:t>
            </w:r>
          </w:p>
        </w:tc>
      </w:tr>
    </w:tbl>
    <w:p w14:paraId="4D602EF2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*&gt;12m=</w:t>
      </w:r>
      <w:r w:rsidRPr="00FD3DD2">
        <w:rPr>
          <w:rFonts w:eastAsia="Times New Roman" w:cs="Times New Roman"/>
          <w:color w:val="000000"/>
          <w:szCs w:val="24"/>
          <w:lang w:eastAsia="pt-BR"/>
        </w:rPr>
        <w:t xml:space="preserve"> </w:t>
      </w:r>
      <w:r w:rsidRPr="00FD3DD2">
        <w:rPr>
          <w:rFonts w:eastAsia="Times New Roman" w:cs="Times New Roman"/>
          <w:color w:val="222222"/>
          <w:szCs w:val="24"/>
          <w:lang w:eastAsia="pt-BR"/>
        </w:rPr>
        <w:t>number of patients older than 12 months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 xml:space="preserve">. I=intervention. SD=standard deviation. ERT=Enzyme Replacement Therapy. C=control. CI=confidence interval. SV=survival. IV=invasive ventilation. NIV=non-invasive </w:t>
      </w:r>
      <w:r w:rsidRPr="00FD3DD2">
        <w:rPr>
          <w:rFonts w:eastAsia="Times New Roman" w:cs="Times New Roman"/>
          <w:color w:val="000000"/>
          <w:szCs w:val="24"/>
          <w:shd w:val="clear" w:color="auto" w:fill="FFFFFF"/>
          <w:lang w:eastAsia="pt-BR"/>
        </w:rPr>
        <w:t xml:space="preserve">ventilation. HR=hazard ratio. 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NA=not available.</w:t>
      </w:r>
    </w:p>
    <w:p w14:paraId="7DF5C7FC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59061917" w14:textId="16D07A5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6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. Evaluation of the effect of Enzyme Replacement Therapy for early Pompe disease on psychomotor development using the MDI scale in early PD.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1207"/>
        <w:gridCol w:w="1731"/>
        <w:gridCol w:w="1816"/>
        <w:gridCol w:w="3389"/>
      </w:tblGrid>
      <w:tr w:rsidR="00C26CD2" w:rsidRPr="00C26CD2" w14:paraId="552F9832" w14:textId="77777777" w:rsidTr="00C26CD2">
        <w:trPr>
          <w:trHeight w:val="1265"/>
        </w:trPr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9FD5BA6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Study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7B1D667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Patients (n)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C7B2B39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Pre ERT</w:t>
            </w:r>
          </w:p>
          <w:p w14:paraId="0C360293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n or µ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F0D8537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After ERT</w:t>
            </w:r>
          </w:p>
          <w:p w14:paraId="14BC5138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eastAsia="pt-BR"/>
              </w:rPr>
              <w:t>n or µ</w:t>
            </w:r>
          </w:p>
        </w:tc>
        <w:tc>
          <w:tcPr>
            <w:tcW w:w="0" w:type="auto"/>
            <w:tcBorders>
              <w:top w:val="single" w:sz="4" w:space="0" w:color="7F7F7F"/>
              <w:bottom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7849AB4" w14:textId="77777777" w:rsidR="00C26CD2" w:rsidRPr="00C26CD2" w:rsidRDefault="00C26CD2" w:rsidP="00C26CD2">
            <w:pPr>
              <w:shd w:val="clear" w:color="auto" w:fill="FFFFFF"/>
              <w:spacing w:before="0" w:after="0"/>
              <w:ind w:left="100" w:right="10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Methodological limitations</w:t>
            </w:r>
          </w:p>
        </w:tc>
      </w:tr>
      <w:tr w:rsidR="00C26CD2" w:rsidRPr="00C26CD2" w14:paraId="53EB1A09" w14:textId="77777777" w:rsidTr="00C26CD2">
        <w:trPr>
          <w:trHeight w:val="1520"/>
        </w:trPr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DEEA7D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lastRenderedPageBreak/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(2007)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7A95EE8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17 (NA); 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7AAE3E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Data not available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1F5741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9/17 (53%) normal MDI (85 to 115)</w:t>
            </w:r>
          </w:p>
          <w:p w14:paraId="6073CDD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4/17 (23%) slightly late (70-84)</w:t>
            </w:r>
          </w:p>
          <w:p w14:paraId="55AD1E2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4/17 (23%) significantly late (&lt;69)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D6B9975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group; open study; without adequate pre and post ERT evaluation.</w:t>
            </w:r>
          </w:p>
        </w:tc>
      </w:tr>
      <w:tr w:rsidR="00C26CD2" w:rsidRPr="00C26CD2" w14:paraId="0113D396" w14:textId="77777777" w:rsidTr="00C26CD2">
        <w:trPr>
          <w:trHeight w:val="2375"/>
        </w:trPr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52A0E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Spiridigliozi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(2012)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5F3FC1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16 (NA); 0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C1AB221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MDI score adjusted/not adjusted:</w:t>
            </w:r>
          </w:p>
          <w:p w14:paraId="0730898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- Good answer (n=12): 86.3/80.1</w:t>
            </w:r>
          </w:p>
          <w:p w14:paraId="6C1915AC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- Partial answer (n=4): 60.8/60.8</w:t>
            </w:r>
          </w:p>
          <w:p w14:paraId="19615D9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 Total (n=16): 79.9/75.3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74F8E11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MDI score adjusted/not adjusted:</w:t>
            </w:r>
          </w:p>
          <w:p w14:paraId="520A0ED2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- Good answer (n=13): 89.8/84.7</w:t>
            </w:r>
          </w:p>
          <w:p w14:paraId="66E776AA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- Partial answer (n=3): 52.3/51.3</w:t>
            </w:r>
          </w:p>
          <w:p w14:paraId="58C0329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- Total (n=16): 82.8/78.4</w:t>
            </w:r>
          </w:p>
        </w:tc>
        <w:tc>
          <w:tcPr>
            <w:tcW w:w="0" w:type="auto"/>
            <w:tcBorders>
              <w:bottom w:val="single" w:sz="4" w:space="0" w:color="7F7F7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060EA92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Absence of a control group; without adequate pre and post ERT evaluation.</w:t>
            </w:r>
          </w:p>
        </w:tc>
      </w:tr>
    </w:tbl>
    <w:p w14:paraId="70A8CE39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ERT=Enzyme Replacement Therapy. MDI=mental development index. NA=not available.</w:t>
      </w:r>
    </w:p>
    <w:p w14:paraId="16FC4B69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67E5ACF8" w14:textId="1F058F8B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bookmarkStart w:id="3" w:name="_Hlk138176062"/>
      <w:bookmarkStart w:id="4" w:name="_Hlk138176102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bookmarkEnd w:id="3"/>
      <w:r>
        <w:rPr>
          <w:rFonts w:cs="Times New Roman"/>
          <w:b/>
          <w:szCs w:val="24"/>
        </w:rPr>
        <w:t>7</w:t>
      </w:r>
      <w:bookmarkEnd w:id="4"/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. Safety assessment of Enzyme Replacement Therapy for patients with Early Onset Pompe Disease</w:t>
      </w:r>
    </w:p>
    <w:tbl>
      <w:tblPr>
        <w:tblW w:w="0" w:type="auto"/>
        <w:tblBorders>
          <w:top w:val="single" w:sz="4" w:space="0" w:color="7F7F7F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3468"/>
        <w:gridCol w:w="1462"/>
        <w:gridCol w:w="1437"/>
        <w:gridCol w:w="1505"/>
      </w:tblGrid>
      <w:tr w:rsidR="00C26CD2" w:rsidRPr="00C26CD2" w14:paraId="4B411294" w14:textId="77777777" w:rsidTr="00E3404D">
        <w:trPr>
          <w:trHeight w:val="503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1299E4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Study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4A9F11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Intervention (IV alglucosidase alfa)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693F85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Outcome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5AA354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Total patients (n)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DCA0C2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>Number of Events</w:t>
            </w:r>
          </w:p>
        </w:tc>
      </w:tr>
      <w:tr w:rsidR="00C26CD2" w:rsidRPr="00C26CD2" w14:paraId="109B055A" w14:textId="77777777" w:rsidTr="00E3404D">
        <w:trPr>
          <w:trHeight w:val="635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A728C8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(2006)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78541C7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Initial phase: 10 mg/kg/</w:t>
            </w:r>
            <w:proofErr w:type="spellStart"/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wk</w:t>
            </w:r>
            <w:proofErr w:type="spellEnd"/>
          </w:p>
          <w:p w14:paraId="0E392E03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Extension phase: 10-20 mg/kg/</w:t>
            </w:r>
            <w:proofErr w:type="spellStart"/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wk</w:t>
            </w:r>
            <w:proofErr w:type="spellEnd"/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 xml:space="preserve"> or 20 mg/kg/2 </w:t>
            </w:r>
            <w:proofErr w:type="spellStart"/>
            <w:r w:rsidRPr="00FD3D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eastAsia="pt-BR"/>
              </w:rPr>
              <w:t>wk</w:t>
            </w:r>
            <w:proofErr w:type="spellEnd"/>
          </w:p>
          <w:p w14:paraId="42A6DDD7" w14:textId="77777777" w:rsidR="00C26CD2" w:rsidRPr="00FD3D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699562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SAE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38ACFD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F5525E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0</w:t>
            </w:r>
          </w:p>
        </w:tc>
      </w:tr>
      <w:tr w:rsidR="00C26CD2" w:rsidRPr="00C26CD2" w14:paraId="4DF24E7D" w14:textId="77777777" w:rsidTr="00E3404D">
        <w:trPr>
          <w:trHeight w:val="635"/>
        </w:trPr>
        <w:tc>
          <w:tcPr>
            <w:tcW w:w="0" w:type="auto"/>
            <w:vMerge/>
            <w:vAlign w:val="center"/>
            <w:hideMark/>
          </w:tcPr>
          <w:p w14:paraId="262914A8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0A2509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D3B7FF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Patients with 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EAA162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E21B38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7</w:t>
            </w:r>
          </w:p>
        </w:tc>
      </w:tr>
      <w:tr w:rsidR="00C26CD2" w:rsidRPr="00C26CD2" w14:paraId="231FD95B" w14:textId="77777777" w:rsidTr="00E3404D">
        <w:trPr>
          <w:trHeight w:val="635"/>
        </w:trPr>
        <w:tc>
          <w:tcPr>
            <w:tcW w:w="0" w:type="auto"/>
            <w:vMerge/>
            <w:vAlign w:val="center"/>
            <w:hideMark/>
          </w:tcPr>
          <w:p w14:paraId="63B9ED92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EDBE3E9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4C354B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Ab+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4968A2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E3E326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8</w:t>
            </w:r>
          </w:p>
        </w:tc>
      </w:tr>
      <w:tr w:rsidR="00C26CD2" w:rsidRPr="00C26CD2" w14:paraId="687037E6" w14:textId="77777777" w:rsidTr="00E3404D">
        <w:trPr>
          <w:trHeight w:val="425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7E2464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(2007)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EAF2A4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20-40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0F58B6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Death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6F1F5A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B6A4F4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</w:t>
            </w:r>
          </w:p>
        </w:tc>
      </w:tr>
      <w:tr w:rsidR="00C26CD2" w:rsidRPr="00C26CD2" w14:paraId="0552370D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341D5BFB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5E7576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3CD226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SAE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FAECBC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FCB4CE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0</w:t>
            </w:r>
          </w:p>
        </w:tc>
      </w:tr>
      <w:tr w:rsidR="00C26CD2" w:rsidRPr="00C26CD2" w14:paraId="2FDC35F2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3E16AE3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271CB3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284BDE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975BCE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4DBD08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164</w:t>
            </w:r>
          </w:p>
        </w:tc>
      </w:tr>
      <w:tr w:rsidR="00C26CD2" w:rsidRPr="00C26CD2" w14:paraId="13419A25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2E0E497A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258883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BF2F67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patients with 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2E5E3D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863445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11</w:t>
            </w:r>
          </w:p>
        </w:tc>
      </w:tr>
      <w:tr w:rsidR="00C26CD2" w:rsidRPr="00C26CD2" w14:paraId="75D2BAD8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56C33D81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B1B6352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4BDF20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Ab +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5FA6A4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2CB218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16</w:t>
            </w:r>
          </w:p>
        </w:tc>
      </w:tr>
      <w:tr w:rsidR="00C26CD2" w:rsidRPr="00C26CD2" w14:paraId="017E6F2E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3056D94B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EDAF09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04C51E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AEEF99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CE9D43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41</w:t>
            </w:r>
          </w:p>
        </w:tc>
      </w:tr>
      <w:tr w:rsidR="00C26CD2" w:rsidRPr="00C26CD2" w14:paraId="64790503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6A7BE6F1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E579D6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23F850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9DEAE3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ECD491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123</w:t>
            </w:r>
          </w:p>
        </w:tc>
      </w:tr>
      <w:tr w:rsidR="00C26CD2" w:rsidRPr="00C26CD2" w14:paraId="58C9B13B" w14:textId="77777777" w:rsidTr="00E3404D">
        <w:trPr>
          <w:trHeight w:val="425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1C23D4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Kishnani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3B48F1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20-40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0E1A90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SAE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C1EB60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139283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0</w:t>
            </w:r>
          </w:p>
        </w:tc>
      </w:tr>
      <w:tr w:rsidR="00C26CD2" w:rsidRPr="00C26CD2" w14:paraId="1C26375F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4CA1150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AB16DC9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3CD9E9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24A209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0D1D00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224</w:t>
            </w:r>
          </w:p>
        </w:tc>
      </w:tr>
      <w:tr w:rsidR="00C26CD2" w:rsidRPr="00C26CD2" w14:paraId="55983F56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0126EC0A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39FBC5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47CA0F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patients with 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C38E8D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E4985A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11</w:t>
            </w:r>
          </w:p>
        </w:tc>
      </w:tr>
      <w:tr w:rsidR="00C26CD2" w:rsidRPr="00C26CD2" w14:paraId="6A956A9B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4CC2BBE1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5AE8752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38A33C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Ab +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7F1FF3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18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9D990D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16</w:t>
            </w:r>
          </w:p>
        </w:tc>
      </w:tr>
      <w:tr w:rsidR="00C26CD2" w:rsidRPr="00C26CD2" w14:paraId="5457A428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01279D7F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7D1B4C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31207F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5C999A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2196C2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47</w:t>
            </w:r>
          </w:p>
        </w:tc>
      </w:tr>
      <w:tr w:rsidR="00C26CD2" w:rsidRPr="00C26CD2" w14:paraId="239523BE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41417A28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7F8326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7B1E25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E4536C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052CD27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177</w:t>
            </w:r>
          </w:p>
        </w:tc>
      </w:tr>
      <w:tr w:rsidR="00C26CD2" w:rsidRPr="00C26CD2" w14:paraId="25830C76" w14:textId="77777777" w:rsidTr="00E3404D">
        <w:trPr>
          <w:trHeight w:val="470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B88E9F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Chien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(2015)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E83AC0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C6C3EF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Ab +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FB89E8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8A6E3E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9</w:t>
            </w:r>
          </w:p>
        </w:tc>
      </w:tr>
      <w:tr w:rsidR="00C26CD2" w:rsidRPr="00C26CD2" w14:paraId="465D0623" w14:textId="77777777" w:rsidTr="00E3404D">
        <w:trPr>
          <w:trHeight w:val="425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F81CD0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Nicolino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(2009)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1A36E4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20-40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5CB0A8A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9601B10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6FB00DD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42</w:t>
            </w:r>
          </w:p>
        </w:tc>
      </w:tr>
      <w:tr w:rsidR="00C26CD2" w:rsidRPr="00C26CD2" w14:paraId="6549A041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79C13D1C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52578F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2F5AA25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Patients with 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58D12D3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0180A22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11</w:t>
            </w:r>
          </w:p>
        </w:tc>
      </w:tr>
      <w:tr w:rsidR="00C26CD2" w:rsidRPr="00C26CD2" w14:paraId="49EC29E6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5495B8A6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D9ACBF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FC4D93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Death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DCD741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21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DEC364E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6</w:t>
            </w:r>
          </w:p>
        </w:tc>
      </w:tr>
      <w:tr w:rsidR="00C26CD2" w:rsidRPr="00C26CD2" w14:paraId="7D0C323B" w14:textId="77777777" w:rsidTr="00E3404D">
        <w:trPr>
          <w:trHeight w:val="425"/>
        </w:trPr>
        <w:tc>
          <w:tcPr>
            <w:tcW w:w="0" w:type="auto"/>
            <w:vMerge/>
            <w:vAlign w:val="center"/>
            <w:hideMark/>
          </w:tcPr>
          <w:p w14:paraId="0410350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CFD4B0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C1F6124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Ab +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ADE8FFF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7471561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19</w:t>
            </w:r>
          </w:p>
        </w:tc>
      </w:tr>
      <w:tr w:rsidR="00C26CD2" w:rsidRPr="00C26CD2" w14:paraId="2CA9279F" w14:textId="77777777" w:rsidTr="00E3404D">
        <w:trPr>
          <w:trHeight w:val="635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7EFF559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Barker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shd w:val="clear" w:color="auto" w:fill="FFFFFF"/>
                <w:lang w:val="pt-BR" w:eastAsia="pt-BR"/>
              </w:rPr>
              <w:t>et al.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shd w:val="clear" w:color="auto" w:fill="FFFFFF"/>
                <w:lang w:val="pt-BR" w:eastAsia="pt-BR"/>
              </w:rPr>
              <w:t xml:space="preserve"> (2010)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BA4312C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Unspecified dose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4FF36A8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Ab +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DE0A46B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E109176" w14:textId="77777777" w:rsidR="00C26CD2" w:rsidRPr="00C26CD2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10</w:t>
            </w:r>
          </w:p>
        </w:tc>
      </w:tr>
      <w:tr w:rsidR="00E3404D" w:rsidRPr="00C26CD2" w14:paraId="28EF2335" w14:textId="77777777" w:rsidTr="00E3404D">
        <w:trPr>
          <w:trHeight w:val="635"/>
        </w:trPr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DEF2ACC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bookmarkStart w:id="5" w:name="_Hlk147736727"/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 xml:space="preserve">Van Kooten </w:t>
            </w:r>
            <w:r w:rsidRPr="00C26CD2">
              <w:rPr>
                <w:rFonts w:eastAsia="Times New Roman" w:cs="Times New Roman"/>
                <w:b/>
                <w:bCs/>
                <w:i/>
                <w:iCs/>
                <w:color w:val="222222"/>
                <w:szCs w:val="24"/>
                <w:lang w:val="pt-BR" w:eastAsia="pt-BR"/>
              </w:rPr>
              <w:t>et al</w:t>
            </w:r>
            <w:r w:rsidRPr="00C26CD2">
              <w:rPr>
                <w:rFonts w:eastAsia="Times New Roman" w:cs="Times New Roman"/>
                <w:b/>
                <w:bCs/>
                <w:color w:val="222222"/>
                <w:szCs w:val="24"/>
                <w:lang w:val="pt-BR" w:eastAsia="pt-BR"/>
              </w:rPr>
              <w:t>., (2022)</w:t>
            </w:r>
          </w:p>
        </w:tc>
        <w:tc>
          <w:tcPr>
            <w:tcW w:w="0" w:type="auto"/>
            <w:vMerge w:val="restart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B49A375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310A70E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Patients with 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0E59F20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22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4165CB3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</w:t>
            </w:r>
          </w:p>
        </w:tc>
      </w:tr>
      <w:tr w:rsidR="00E3404D" w:rsidRPr="00C26CD2" w14:paraId="1F32BB72" w14:textId="77777777" w:rsidTr="00E3404D">
        <w:trPr>
          <w:trHeight w:val="635"/>
        </w:trPr>
        <w:tc>
          <w:tcPr>
            <w:tcW w:w="0" w:type="auto"/>
            <w:vMerge/>
            <w:vAlign w:val="center"/>
            <w:hideMark/>
          </w:tcPr>
          <w:p w14:paraId="79267C78" w14:textId="77777777" w:rsidR="00E3404D" w:rsidRPr="00C26CD2" w:rsidRDefault="00E3404D" w:rsidP="00BB1A51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820E17" w14:textId="77777777" w:rsidR="00E3404D" w:rsidRPr="00C26CD2" w:rsidRDefault="00E3404D" w:rsidP="00BB1A51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C6363FF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BFFE6BC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4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3437D83" w14:textId="77777777" w:rsidR="00E3404D" w:rsidRPr="00C26CD2" w:rsidRDefault="00E3404D" w:rsidP="00BB1A51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59</w:t>
            </w:r>
          </w:p>
        </w:tc>
      </w:tr>
      <w:tr w:rsidR="00C26CD2" w:rsidRPr="00E3404D" w14:paraId="355AF3FA" w14:textId="77777777" w:rsidTr="00E3404D">
        <w:trPr>
          <w:trHeight w:val="635"/>
        </w:trPr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061CABD" w14:textId="1D60EE2E" w:rsidR="00C26CD2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E3404D">
              <w:rPr>
                <w:b/>
                <w:bCs/>
                <w:color w:val="222222"/>
                <w:szCs w:val="24"/>
                <w:shd w:val="clear" w:color="auto" w:fill="FFFFFF"/>
              </w:rPr>
              <w:t xml:space="preserve">Zhu </w:t>
            </w:r>
            <w:r w:rsidRPr="00E3404D">
              <w:rPr>
                <w:b/>
                <w:bCs/>
                <w:i/>
                <w:iCs/>
                <w:color w:val="222222"/>
                <w:szCs w:val="24"/>
                <w:shd w:val="clear" w:color="auto" w:fill="FFFFFF"/>
              </w:rPr>
              <w:t>et al</w:t>
            </w:r>
            <w:r w:rsidRPr="00E3404D">
              <w:rPr>
                <w:b/>
                <w:bCs/>
                <w:color w:val="222222"/>
                <w:szCs w:val="24"/>
                <w:shd w:val="clear" w:color="auto" w:fill="FFFFFF"/>
              </w:rPr>
              <w:t>. (2022)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2AB958A" w14:textId="77777777" w:rsidR="00C26CD2" w:rsidRPr="00E3404D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20 mg/kg/2 week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B94CA17" w14:textId="77777777" w:rsidR="00C26CD2" w:rsidRPr="00E3404D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E3404D">
              <w:rPr>
                <w:rFonts w:eastAsia="Times New Roman" w:cs="Times New Roman"/>
                <w:color w:val="222222"/>
                <w:szCs w:val="24"/>
                <w:shd w:val="clear" w:color="auto" w:fill="FFFFFF"/>
                <w:lang w:val="pt-BR" w:eastAsia="pt-BR"/>
              </w:rPr>
              <w:t>Patients with IAR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619B10A" w14:textId="31F4F05F" w:rsidR="00C26CD2" w:rsidRPr="00E3404D" w:rsidRDefault="00E3404D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E3404D">
              <w:rPr>
                <w:rFonts w:eastAsia="Times New Roman" w:cs="Times New Roman"/>
                <w:szCs w:val="24"/>
                <w:lang w:val="pt-BR" w:eastAsia="pt-BR"/>
              </w:rPr>
              <w:t>10</w:t>
            </w:r>
          </w:p>
        </w:tc>
        <w:tc>
          <w:tcPr>
            <w:tcW w:w="0" w:type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2A9C0EC" w14:textId="1CB64AD9" w:rsidR="00C26CD2" w:rsidRPr="00E3404D" w:rsidRDefault="00C26CD2" w:rsidP="00C26CD2">
            <w:pPr>
              <w:shd w:val="clear" w:color="auto" w:fill="FFFFFF"/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</w:tbl>
    <w:bookmarkEnd w:id="5"/>
    <w:p w14:paraId="18D06373" w14:textId="77777777" w:rsidR="0012496D" w:rsidRDefault="00C26CD2" w:rsidP="00C26CD2">
      <w:pPr>
        <w:shd w:val="clear" w:color="auto" w:fill="FFFFFF"/>
        <w:spacing w:before="0" w:after="0"/>
        <w:ind w:firstLine="700"/>
        <w:jc w:val="both"/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</w:pPr>
      <w:r w:rsidRPr="00FD3DD2">
        <w:rPr>
          <w:rFonts w:eastAsia="Times New Roman" w:cs="Times New Roman"/>
          <w:color w:val="222222"/>
          <w:szCs w:val="24"/>
          <w:lang w:eastAsia="pt-BR"/>
        </w:rPr>
        <w:t>IV=intravenous. AE=adverse event. SAE=serious adverse event. IAR=infusion-associated reaction. Ab+=p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resence of anti-</w:t>
      </w:r>
      <w:proofErr w:type="spellStart"/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alglucosidase</w:t>
      </w:r>
      <w:proofErr w:type="spellEnd"/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 xml:space="preserve"> alfa antibodies.</w:t>
      </w:r>
    </w:p>
    <w:p w14:paraId="1AEB1B99" w14:textId="0D83E429" w:rsidR="00C26CD2" w:rsidRPr="00FD3DD2" w:rsidRDefault="00C26CD2" w:rsidP="00C26CD2">
      <w:pPr>
        <w:shd w:val="clear" w:color="auto" w:fill="FFFFFF"/>
        <w:spacing w:before="0" w:after="0"/>
        <w:ind w:firstLine="700"/>
        <w:jc w:val="both"/>
        <w:rPr>
          <w:rFonts w:eastAsia="Times New Roman" w:cs="Times New Roman"/>
          <w:szCs w:val="24"/>
          <w:lang w:eastAsia="pt-BR"/>
        </w:rPr>
      </w:pPr>
    </w:p>
    <w:p w14:paraId="488E8BEE" w14:textId="002C7119" w:rsidR="00C26CD2" w:rsidRPr="00FD3DD2" w:rsidRDefault="00B36F37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bookmarkStart w:id="6" w:name="_Hlk138176123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8</w:t>
      </w:r>
      <w:bookmarkEnd w:id="6"/>
      <w:r w:rsidR="00C26CD2"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 xml:space="preserve">. </w:t>
      </w:r>
      <w:proofErr w:type="spellStart"/>
      <w:r w:rsidR="00C26CD2"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>GRADEpro</w:t>
      </w:r>
      <w:proofErr w:type="spellEnd"/>
      <w:r w:rsidR="00C26CD2"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 xml:space="preserve"> Certainty assessment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588"/>
        <w:gridCol w:w="1002"/>
        <w:gridCol w:w="916"/>
        <w:gridCol w:w="898"/>
        <w:gridCol w:w="864"/>
        <w:gridCol w:w="712"/>
        <w:gridCol w:w="646"/>
        <w:gridCol w:w="976"/>
        <w:gridCol w:w="646"/>
        <w:gridCol w:w="612"/>
        <w:gridCol w:w="976"/>
      </w:tblGrid>
      <w:tr w:rsidR="00C26CD2" w:rsidRPr="00C26CD2" w14:paraId="1AE87AFB" w14:textId="77777777" w:rsidTr="00C26CD2">
        <w:trPr>
          <w:tblHeader/>
        </w:trPr>
        <w:tc>
          <w:tcPr>
            <w:tcW w:w="0" w:type="auto"/>
            <w:gridSpan w:val="12"/>
            <w:tcBorders>
              <w:bottom w:val="single" w:sz="12" w:space="0" w:color="FFFFF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F9B1104" w14:textId="77777777" w:rsidR="00C26CD2" w:rsidRPr="00FD3DD2" w:rsidRDefault="00C26CD2" w:rsidP="00C26CD2">
            <w:pPr>
              <w:numPr>
                <w:ilvl w:val="0"/>
                <w:numId w:val="21"/>
              </w:numPr>
              <w:spacing w:before="0" w:after="0"/>
              <w:ind w:left="720" w:hanging="36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Alglucosidase</w:t>
            </w:r>
            <w:proofErr w:type="spellEnd"/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 xml:space="preserve"> alfa compared to placebo or natural history for Early Onset Pompe Disease</w:t>
            </w:r>
          </w:p>
        </w:tc>
      </w:tr>
      <w:tr w:rsidR="00C26CD2" w:rsidRPr="00C26CD2" w14:paraId="514FF016" w14:textId="77777777" w:rsidTr="00C26CD2">
        <w:trPr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3C2AF52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Certainty assessment</w:t>
            </w:r>
          </w:p>
        </w:tc>
        <w:tc>
          <w:tcPr>
            <w:tcW w:w="0" w:type="auto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ECCC93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Summary of findings</w:t>
            </w:r>
          </w:p>
        </w:tc>
      </w:tr>
      <w:tr w:rsidR="00C26CD2" w:rsidRPr="00C26CD2" w14:paraId="1CFCF3C0" w14:textId="77777777" w:rsidTr="00C26CD2"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2BA632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Participants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br/>
              <w:t>(studies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lastRenderedPageBreak/>
              <w:t>)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br/>
              <w:t>Follow-up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37B4708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lastRenderedPageBreak/>
              <w:t>Risk of bias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B60D2A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Inconsistency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C7E2BDA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Indirectness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F654CA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Imprecision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C3A38E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Publication bias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20A68D8D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Overall certai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lastRenderedPageBreak/>
              <w:t>nty of evidence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0912F91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lastRenderedPageBreak/>
              <w:t>Study event rates (%)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CDAA33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Relative effec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lastRenderedPageBreak/>
              <w:t>t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br/>
              <w:t>(95% CI)</w:t>
            </w:r>
          </w:p>
        </w:tc>
        <w:tc>
          <w:tcPr>
            <w:tcW w:w="0" w:type="auto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7AB56BF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lastRenderedPageBreak/>
              <w:t>Anticipated absolute effects</w:t>
            </w:r>
          </w:p>
        </w:tc>
      </w:tr>
      <w:tr w:rsidR="00C26CD2" w:rsidRPr="00C26CD2" w14:paraId="2984D502" w14:textId="77777777" w:rsidTr="00C26CD2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F1FC59F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0ED396E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7C1148A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253DDB69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117067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7B60BDDA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960493C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DE65226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FFFFFF"/>
                <w:szCs w:val="24"/>
                <w:lang w:eastAsia="pt-BR"/>
              </w:rPr>
              <w:t>With placebo or natural history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7EA3CF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With alglucosidase alfa</w:t>
            </w: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032B729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4A98665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FFFFFF"/>
                <w:szCs w:val="24"/>
                <w:lang w:eastAsia="pt-BR"/>
              </w:rPr>
              <w:t>Risk with placebo or natural history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3695BD1D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FFFFFF"/>
                <w:szCs w:val="24"/>
                <w:lang w:eastAsia="pt-BR"/>
              </w:rPr>
              <w:t xml:space="preserve">Risk difference with </w:t>
            </w:r>
            <w:proofErr w:type="spellStart"/>
            <w:r w:rsidRPr="00FD3DD2">
              <w:rPr>
                <w:rFonts w:eastAsia="Times New Roman" w:cs="Times New Roman"/>
                <w:b/>
                <w:bCs/>
                <w:color w:val="FFFFFF"/>
                <w:szCs w:val="24"/>
                <w:lang w:eastAsia="pt-BR"/>
              </w:rPr>
              <w:t>alglucosidase</w:t>
            </w:r>
            <w:proofErr w:type="spellEnd"/>
            <w:r w:rsidRPr="00FD3DD2">
              <w:rPr>
                <w:rFonts w:eastAsia="Times New Roman" w:cs="Times New Roman"/>
                <w:b/>
                <w:bCs/>
                <w:color w:val="FFFFFF"/>
                <w:szCs w:val="24"/>
                <w:lang w:eastAsia="pt-BR"/>
              </w:rPr>
              <w:t xml:space="preserve"> alfa</w:t>
            </w:r>
          </w:p>
        </w:tc>
      </w:tr>
      <w:tr w:rsidR="00C26CD2" w:rsidRPr="00C26CD2" w14:paraId="7459828A" w14:textId="77777777" w:rsidTr="00C26CD2">
        <w:tc>
          <w:tcPr>
            <w:tcW w:w="0" w:type="auto"/>
            <w:gridSpan w:val="12"/>
            <w:tcBorders>
              <w:top w:val="single" w:sz="12" w:space="0" w:color="FFFFFF"/>
              <w:bottom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7EC6E8A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General Survival</w:t>
            </w:r>
          </w:p>
        </w:tc>
      </w:tr>
      <w:tr w:rsidR="00C26CD2" w:rsidRPr="00C26CD2" w14:paraId="64B9694E" w14:textId="77777777" w:rsidTr="00C26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8F1E33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207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(2 observational studies)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2A785C8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FC435B4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very 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54D1162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not serious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8A0B205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not serious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7DA465A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publication bias strongly suspected</w:t>
            </w: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br/>
              <w:t xml:space="preserve">very strong </w:t>
            </w:r>
            <w:proofErr w:type="spellStart"/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association</w:t>
            </w:r>
            <w:r w:rsidRPr="00FD3DD2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BC9D10D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ascii="Cambria Math" w:eastAsia="Times New Roman" w:hAnsi="Cambria Math" w:cs="Cambria Math"/>
                <w:color w:val="000000"/>
                <w:szCs w:val="24"/>
                <w:lang w:val="pt-BR" w:eastAsia="pt-BR"/>
              </w:rPr>
              <w:t>⨁⨁◯◯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86597F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141/168 (83.9%)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C84D4E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11/39 (28.2%)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EE93FE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HR 0.10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(0.03 to 0.41)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5460092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839 per 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90D7F4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672 fewer per 1.000</w:t>
            </w: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br/>
              <w:t>(from 786 fewer to 312 fewer)</w:t>
            </w:r>
          </w:p>
        </w:tc>
      </w:tr>
      <w:tr w:rsidR="00C26CD2" w:rsidRPr="00C26CD2" w14:paraId="6963A28E" w14:textId="77777777" w:rsidTr="00C26CD2">
        <w:tc>
          <w:tcPr>
            <w:tcW w:w="0" w:type="auto"/>
            <w:gridSpan w:val="12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809C1FC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Ventilation-Free Survival</w:t>
            </w:r>
          </w:p>
        </w:tc>
      </w:tr>
      <w:tr w:rsidR="00C26CD2" w:rsidRPr="00C26CD2" w14:paraId="2C5ECAA9" w14:textId="77777777" w:rsidTr="00C26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E6022C4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207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(2 observational studies)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9227260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98A970D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very 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4D1C72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not serious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ED31A7D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not serious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3ABDAAA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publication bias strongly suspected</w:t>
            </w: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br/>
              <w:t xml:space="preserve">very strong </w:t>
            </w:r>
            <w:proofErr w:type="spellStart"/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association</w:t>
            </w:r>
            <w:r w:rsidRPr="00FD3DD2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g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2F0A0E0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ascii="Cambria Math" w:eastAsia="Times New Roman" w:hAnsi="Cambria Math" w:cs="Cambria Math"/>
                <w:color w:val="000000"/>
                <w:szCs w:val="24"/>
                <w:lang w:val="pt-BR" w:eastAsia="pt-BR"/>
              </w:rPr>
              <w:t>⨁⨁◯◯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Low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458612D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161/168 (95.8%)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D94F735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23/39 (59.0%)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6DC806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000000"/>
                <w:szCs w:val="24"/>
                <w:lang w:val="pt-BR" w:eastAsia="pt-BR"/>
              </w:rPr>
              <w:t>HR 0.20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(0.04 to 0.89)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436A239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958 per 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EFA1E08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488 fewer per 1.000</w:t>
            </w: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br/>
              <w:t>(from 839 fewer to 17 fewer)</w:t>
            </w:r>
          </w:p>
        </w:tc>
      </w:tr>
    </w:tbl>
    <w:p w14:paraId="4B91803F" w14:textId="77777777" w:rsidR="00C26CD2" w:rsidRPr="00FD3DD2" w:rsidRDefault="00C26CD2" w:rsidP="00C26CD2">
      <w:pPr>
        <w:spacing w:before="0" w:after="0"/>
        <w:rPr>
          <w:rFonts w:eastAsia="Times New Roman" w:cs="Times New Roman"/>
          <w:szCs w:val="24"/>
          <w:lang w:eastAsia="pt-BR"/>
        </w:rPr>
      </w:pPr>
      <w:r w:rsidRPr="00FD3DD2">
        <w:rPr>
          <w:rFonts w:eastAsia="Times New Roman" w:cs="Times New Roman"/>
          <w:szCs w:val="24"/>
          <w:lang w:eastAsia="pt-BR"/>
        </w:rPr>
        <w:br/>
      </w:r>
      <w:r w:rsidRPr="00FD3DD2">
        <w:rPr>
          <w:rFonts w:eastAsia="Times New Roman" w:cs="Times New Roman"/>
          <w:color w:val="000000"/>
          <w:szCs w:val="24"/>
          <w:lang w:eastAsia="pt-B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924"/>
        <w:gridCol w:w="1487"/>
        <w:gridCol w:w="1354"/>
        <w:gridCol w:w="1327"/>
        <w:gridCol w:w="1622"/>
        <w:gridCol w:w="1386"/>
        <w:gridCol w:w="106"/>
      </w:tblGrid>
      <w:tr w:rsidR="00C26CD2" w:rsidRPr="00C26CD2" w14:paraId="049E94DB" w14:textId="77777777" w:rsidTr="00C26CD2">
        <w:trPr>
          <w:tblHeader/>
        </w:trPr>
        <w:tc>
          <w:tcPr>
            <w:tcW w:w="0" w:type="auto"/>
            <w:gridSpan w:val="8"/>
            <w:tcBorders>
              <w:bottom w:val="single" w:sz="12" w:space="0" w:color="FFFFFF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7F1DC56" w14:textId="77777777" w:rsidR="00C26CD2" w:rsidRPr="00FD3DD2" w:rsidRDefault="00C26CD2" w:rsidP="00C26CD2">
            <w:pPr>
              <w:numPr>
                <w:ilvl w:val="0"/>
                <w:numId w:val="23"/>
              </w:numPr>
              <w:spacing w:before="0" w:after="0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proofErr w:type="spellStart"/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lastRenderedPageBreak/>
              <w:t>Alglucosidase</w:t>
            </w:r>
            <w:proofErr w:type="spellEnd"/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 xml:space="preserve"> alfa compared to placebo or natural history for Early Onset Pompe Disease</w:t>
            </w:r>
          </w:p>
        </w:tc>
      </w:tr>
      <w:tr w:rsidR="00C26CD2" w:rsidRPr="00C26CD2" w14:paraId="3F315A44" w14:textId="77777777" w:rsidTr="00C26CD2">
        <w:trPr>
          <w:tblHeader/>
        </w:trPr>
        <w:tc>
          <w:tcPr>
            <w:tcW w:w="0" w:type="auto"/>
            <w:gridSpan w:val="7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2C13F38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Certainty assessment</w:t>
            </w:r>
          </w:p>
        </w:tc>
        <w:tc>
          <w:tcPr>
            <w:tcW w:w="0" w:type="auto"/>
            <w:vAlign w:val="center"/>
            <w:hideMark/>
          </w:tcPr>
          <w:p w14:paraId="5AA320E2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1572705F" w14:textId="77777777" w:rsidTr="00C26CD2">
        <w:trPr>
          <w:trHeight w:val="450"/>
        </w:trPr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360A63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Participants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br/>
              <w:t>(studies)</w:t>
            </w: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br/>
              <w:t>Follow-up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0DD558B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Risk of bias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4CB8F198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Inconsistency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E1925E3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Indirectness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5CF7537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Imprecision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12D0B3A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Publication bias</w:t>
            </w:r>
          </w:p>
        </w:tc>
        <w:tc>
          <w:tcPr>
            <w:tcW w:w="0" w:type="auto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2F5496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6B8893A9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b/>
                <w:bCs/>
                <w:color w:val="FFFFFF"/>
                <w:szCs w:val="24"/>
                <w:lang w:val="pt-BR" w:eastAsia="pt-BR"/>
              </w:rPr>
              <w:t>Overall certainty of evidence</w:t>
            </w:r>
          </w:p>
        </w:tc>
        <w:tc>
          <w:tcPr>
            <w:tcW w:w="0" w:type="auto"/>
            <w:vAlign w:val="center"/>
            <w:hideMark/>
          </w:tcPr>
          <w:p w14:paraId="7195A89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39194F64" w14:textId="77777777" w:rsidTr="00C26CD2"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624D9E30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6BA81AF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4C0E0624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510E7EA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41E8665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216987A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07E43440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  <w:tc>
          <w:tcPr>
            <w:tcW w:w="0" w:type="auto"/>
            <w:tcBorders>
              <w:left w:val="single" w:sz="12" w:space="0" w:color="FFFFFF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14:paraId="58B52A01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09BEB876" w14:textId="77777777" w:rsidTr="00C26CD2">
        <w:tc>
          <w:tcPr>
            <w:tcW w:w="0" w:type="auto"/>
            <w:gridSpan w:val="8"/>
            <w:tcBorders>
              <w:top w:val="single" w:sz="12" w:space="0" w:color="FFFFFF"/>
              <w:bottom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B077FCE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Cardiomyopathy (follow-up: median 36 months; assessed with: LV mass (Z score and g/m²))</w:t>
            </w:r>
          </w:p>
        </w:tc>
      </w:tr>
      <w:tr w:rsidR="00C26CD2" w:rsidRPr="00C26CD2" w14:paraId="1F78A8DD" w14:textId="77777777" w:rsidTr="00C26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4B74A4D" w14:textId="1BFE54A4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</w:t>
            </w:r>
            <w:r w:rsidR="00052415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(1</w:t>
            </w:r>
            <w:r w:rsidR="00052415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 observational studies)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6AA5818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0026EC1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very 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85FBA61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B7DF407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A0793C0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publication bias strongly suspected</w:t>
            </w: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br/>
              <w:t xml:space="preserve">strong </w:t>
            </w:r>
            <w:proofErr w:type="spellStart"/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association</w:t>
            </w:r>
            <w:r w:rsidRPr="00FD3DD2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FBBF31B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ascii="Cambria Math" w:eastAsia="Times New Roman" w:hAnsi="Cambria Math" w:cs="Cambria Math"/>
                <w:color w:val="000000"/>
                <w:szCs w:val="24"/>
                <w:lang w:val="pt-BR" w:eastAsia="pt-BR"/>
              </w:rPr>
              <w:t>⨁◯◯◯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Very low</w:t>
            </w:r>
          </w:p>
        </w:tc>
        <w:tc>
          <w:tcPr>
            <w:tcW w:w="0" w:type="auto"/>
            <w:vAlign w:val="center"/>
            <w:hideMark/>
          </w:tcPr>
          <w:p w14:paraId="786A4226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6A8494E8" w14:textId="77777777" w:rsidTr="00C26CD2">
        <w:tc>
          <w:tcPr>
            <w:tcW w:w="0" w:type="auto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2F2DFE7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Myocardial Function (follow-up: median 30.3 months; assessed with: LV Ejection fraction)</w:t>
            </w:r>
          </w:p>
        </w:tc>
      </w:tr>
      <w:tr w:rsidR="00C26CD2" w:rsidRPr="00C26CD2" w14:paraId="04BCFA8A" w14:textId="77777777" w:rsidTr="00C26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B516903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59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(5 observational studies)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368508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F9A884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66BF0AD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05FCFC9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573A564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publication bias strongly suspected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09CDA6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ascii="Cambria Math" w:eastAsia="Times New Roman" w:hAnsi="Cambria Math" w:cs="Cambria Math"/>
                <w:color w:val="000000"/>
                <w:szCs w:val="24"/>
                <w:lang w:val="pt-BR" w:eastAsia="pt-BR"/>
              </w:rPr>
              <w:t>⨁◯◯◯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Very low</w:t>
            </w:r>
          </w:p>
        </w:tc>
        <w:tc>
          <w:tcPr>
            <w:tcW w:w="0" w:type="auto"/>
            <w:vAlign w:val="center"/>
            <w:hideMark/>
          </w:tcPr>
          <w:p w14:paraId="2C744D0F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2ECD6BA3" w14:textId="77777777" w:rsidTr="00C26CD2">
        <w:tc>
          <w:tcPr>
            <w:tcW w:w="0" w:type="auto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60E43B8D" w14:textId="541F5A3A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proofErr w:type="spellStart"/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Neuropsychomotor</w:t>
            </w:r>
            <w:proofErr w:type="spellEnd"/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 xml:space="preserve"> development (follow-up: median 15.5 months; assessed with: Mental development index)</w:t>
            </w:r>
          </w:p>
        </w:tc>
      </w:tr>
      <w:tr w:rsidR="00C26CD2" w:rsidRPr="00C26CD2" w14:paraId="1B1C6479" w14:textId="77777777" w:rsidTr="00C26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9A716C5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33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(2 observational studies)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A215324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very 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B7F622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very 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0E60082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2AE62DB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1713270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publication bias strongly suspected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54CE001A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ascii="Cambria Math" w:eastAsia="Times New Roman" w:hAnsi="Cambria Math" w:cs="Cambria Math"/>
                <w:color w:val="000000"/>
                <w:szCs w:val="24"/>
                <w:lang w:val="pt-BR" w:eastAsia="pt-BR"/>
              </w:rPr>
              <w:t>⨁◯◯◯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Very low</w:t>
            </w:r>
          </w:p>
        </w:tc>
        <w:tc>
          <w:tcPr>
            <w:tcW w:w="0" w:type="auto"/>
            <w:vAlign w:val="center"/>
            <w:hideMark/>
          </w:tcPr>
          <w:p w14:paraId="7DE6D23D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  <w:tr w:rsidR="00C26CD2" w:rsidRPr="00C26CD2" w14:paraId="68B92332" w14:textId="77777777" w:rsidTr="00C26CD2">
        <w:tc>
          <w:tcPr>
            <w:tcW w:w="0" w:type="auto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B47489B" w14:textId="77777777" w:rsidR="00C26CD2" w:rsidRPr="00FD3D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Safety (follow-up: median 36 months; assessed with: Adverse events)</w:t>
            </w:r>
          </w:p>
        </w:tc>
      </w:tr>
      <w:tr w:rsidR="00C26CD2" w:rsidRPr="00C26CD2" w14:paraId="17E68BD4" w14:textId="77777777" w:rsidTr="00C26CD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1881A8B" w14:textId="730C9A06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1</w:t>
            </w:r>
            <w:r w:rsidR="00052415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2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8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(</w:t>
            </w:r>
            <w:r w:rsidR="00052415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9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 xml:space="preserve"> observational studies)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7D6F171E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very 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9D6C4D3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F498DEC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33D6643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t>serious</w:t>
            </w:r>
            <w:r w:rsidRPr="00C26CD2">
              <w:rPr>
                <w:rFonts w:eastAsia="Times New Roman" w:cs="Times New Roman"/>
                <w:color w:val="000000"/>
                <w:szCs w:val="24"/>
                <w:vertAlign w:val="superscript"/>
                <w:lang w:val="pt-BR" w:eastAsia="pt-BR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42CF3E6A" w14:textId="77777777" w:rsidR="00C26CD2" w:rsidRPr="00FD3D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pt-BR"/>
              </w:rPr>
            </w:pP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publication bias strongly </w:t>
            </w:r>
            <w:proofErr w:type="spellStart"/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suspected</w:t>
            </w:r>
            <w:r w:rsidRPr="00FD3DD2">
              <w:rPr>
                <w:rFonts w:eastAsia="Times New Roman" w:cs="Times New Roman"/>
                <w:color w:val="000000"/>
                <w:szCs w:val="24"/>
                <w:vertAlign w:val="superscript"/>
                <w:lang w:eastAsia="pt-BR"/>
              </w:rPr>
              <w:t>e</w:t>
            </w:r>
            <w:proofErr w:type="spellEnd"/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t>;</w:t>
            </w:r>
            <w:r w:rsidRPr="00FD3DD2">
              <w:rPr>
                <w:rFonts w:eastAsia="Times New Roman" w:cs="Times New Roman"/>
                <w:color w:val="000000"/>
                <w:szCs w:val="24"/>
                <w:lang w:eastAsia="pt-BR"/>
              </w:rPr>
              <w:br/>
              <w:t>dose response gradient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14:paraId="239A3756" w14:textId="77777777" w:rsidR="00C26CD2" w:rsidRPr="00C26CD2" w:rsidRDefault="00C26CD2" w:rsidP="00C26CD2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pt-BR" w:eastAsia="pt-BR"/>
              </w:rPr>
            </w:pPr>
            <w:r w:rsidRPr="00C26CD2">
              <w:rPr>
                <w:rFonts w:ascii="Cambria Math" w:eastAsia="Times New Roman" w:hAnsi="Cambria Math" w:cs="Cambria Math"/>
                <w:color w:val="000000"/>
                <w:szCs w:val="24"/>
                <w:lang w:val="pt-BR" w:eastAsia="pt-BR"/>
              </w:rPr>
              <w:t>⨁◯◯◯</w:t>
            </w:r>
            <w:r w:rsidRPr="00C26CD2">
              <w:rPr>
                <w:rFonts w:eastAsia="Times New Roman" w:cs="Times New Roman"/>
                <w:color w:val="000000"/>
                <w:szCs w:val="24"/>
                <w:lang w:val="pt-BR" w:eastAsia="pt-BR"/>
              </w:rPr>
              <w:br/>
              <w:t>Very low</w:t>
            </w:r>
          </w:p>
        </w:tc>
        <w:tc>
          <w:tcPr>
            <w:tcW w:w="0" w:type="auto"/>
            <w:vAlign w:val="center"/>
            <w:hideMark/>
          </w:tcPr>
          <w:p w14:paraId="6E499503" w14:textId="77777777" w:rsidR="00C26CD2" w:rsidRPr="00C26CD2" w:rsidRDefault="00C26CD2" w:rsidP="00C26CD2">
            <w:pPr>
              <w:spacing w:before="0" w:after="0"/>
              <w:rPr>
                <w:rFonts w:eastAsia="Times New Roman" w:cs="Times New Roman"/>
                <w:szCs w:val="24"/>
                <w:lang w:val="pt-BR" w:eastAsia="pt-BR"/>
              </w:rPr>
            </w:pPr>
          </w:p>
        </w:tc>
      </w:tr>
    </w:tbl>
    <w:p w14:paraId="028F01B0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t xml:space="preserve">S6.a) Studies evaluated by hazard ratio. b) Studies evaluated in a narrative way. </w:t>
      </w:r>
      <w:r w:rsidRPr="00FD3DD2">
        <w:rPr>
          <w:rFonts w:eastAsia="Times New Roman" w:cs="Times New Roman"/>
          <w:color w:val="222222"/>
          <w:szCs w:val="24"/>
          <w:lang w:eastAsia="pt-BR"/>
        </w:rPr>
        <w:t xml:space="preserve">CI: confidence interval; HR: hazard Ratio. Explanations: </w:t>
      </w:r>
      <w:r w:rsidRPr="00FD3DD2">
        <w:rPr>
          <w:rFonts w:eastAsia="Times New Roman" w:cs="Times New Roman"/>
          <w:color w:val="000000"/>
          <w:szCs w:val="24"/>
          <w:lang w:eastAsia="pt-BR"/>
        </w:rPr>
        <w:t>a. Open studies without control group; b. High heterogeneity between studies, without controlling for confounding; c. Data from secondary outcomes; d. No measure of effect assessed; e. Data obtained with manufacturer support; f. No controlling for confounding</w:t>
      </w:r>
      <w:r w:rsidRPr="00FD3DD2">
        <w:rPr>
          <w:rFonts w:eastAsia="Times New Roman" w:cs="Times New Roman"/>
          <w:color w:val="222222"/>
          <w:szCs w:val="24"/>
          <w:lang w:eastAsia="pt-BR"/>
        </w:rPr>
        <w:t xml:space="preserve">; g. not paired </w:t>
      </w:r>
      <w:proofErr w:type="gramStart"/>
      <w:r w:rsidRPr="00FD3DD2">
        <w:rPr>
          <w:rFonts w:eastAsia="Times New Roman" w:cs="Times New Roman"/>
          <w:color w:val="222222"/>
          <w:szCs w:val="24"/>
          <w:lang w:eastAsia="pt-BR"/>
        </w:rPr>
        <w:t>controls,</w:t>
      </w:r>
      <w:proofErr w:type="gramEnd"/>
      <w:r w:rsidRPr="00FD3DD2">
        <w:rPr>
          <w:rFonts w:eastAsia="Times New Roman" w:cs="Times New Roman"/>
          <w:color w:val="222222"/>
          <w:szCs w:val="24"/>
          <w:lang w:eastAsia="pt-BR"/>
        </w:rPr>
        <w:t xml:space="preserve"> data obtained with manufacturer support.</w:t>
      </w:r>
      <w:r w:rsidRPr="00FD3DD2">
        <w:rPr>
          <w:rFonts w:eastAsia="Times New Roman" w:cs="Times New Roman"/>
          <w:color w:val="222222"/>
          <w:szCs w:val="24"/>
          <w:shd w:val="clear" w:color="auto" w:fill="FFFFFF"/>
          <w:lang w:eastAsia="pt-BR"/>
        </w:rPr>
        <w:br/>
      </w:r>
    </w:p>
    <w:p w14:paraId="43405CDB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173725F0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39B733A4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4444F10C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23E0245D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68DFD6CE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6E408090" w14:textId="77777777" w:rsidR="00C26CD2" w:rsidRPr="00FD3DD2" w:rsidRDefault="00C26CD2" w:rsidP="00C26CD2">
      <w:pPr>
        <w:shd w:val="clear" w:color="auto" w:fill="FFFFFF"/>
        <w:spacing w:before="0" w:after="0"/>
        <w:jc w:val="both"/>
        <w:rPr>
          <w:rFonts w:eastAsia="Times New Roman" w:cs="Times New Roman"/>
          <w:szCs w:val="24"/>
          <w:lang w:eastAsia="pt-BR"/>
        </w:rPr>
      </w:pPr>
    </w:p>
    <w:p w14:paraId="3B020E77" w14:textId="04EAF271" w:rsidR="00994A3D" w:rsidRPr="00C26CD2" w:rsidRDefault="00994A3D" w:rsidP="00C26CD2">
      <w:pPr>
        <w:keepNext/>
        <w:spacing w:before="0" w:after="0"/>
        <w:rPr>
          <w:rFonts w:cs="Times New Roman"/>
          <w:b/>
          <w:szCs w:val="24"/>
        </w:rPr>
      </w:pPr>
      <w:r w:rsidRPr="00C26CD2">
        <w:rPr>
          <w:rFonts w:cs="Times New Roman"/>
          <w:szCs w:val="24"/>
        </w:rPr>
        <w:lastRenderedPageBreak/>
        <w:t xml:space="preserve"> </w:t>
      </w:r>
    </w:p>
    <w:p w14:paraId="58F1AED1" w14:textId="77777777" w:rsidR="00DE23E8" w:rsidRPr="00C26CD2" w:rsidRDefault="00DE23E8" w:rsidP="00C26CD2">
      <w:pPr>
        <w:spacing w:before="0" w:after="0"/>
        <w:rPr>
          <w:rFonts w:cs="Times New Roman"/>
          <w:szCs w:val="24"/>
        </w:rPr>
      </w:pPr>
    </w:p>
    <w:sectPr w:rsidR="00DE23E8" w:rsidRPr="00C26CD2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CDA43" w14:textId="77777777" w:rsidR="00E308C0" w:rsidRDefault="00E308C0" w:rsidP="00117666">
      <w:pPr>
        <w:spacing w:after="0"/>
      </w:pPr>
      <w:r>
        <w:separator/>
      </w:r>
    </w:p>
  </w:endnote>
  <w:endnote w:type="continuationSeparator" w:id="0">
    <w:p w14:paraId="4BE84DC9" w14:textId="77777777" w:rsidR="00E308C0" w:rsidRDefault="00E308C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EF0C3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F0C3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EF0C3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F0C3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8C37" w14:textId="77777777" w:rsidR="00E308C0" w:rsidRDefault="00E308C0" w:rsidP="00117666">
      <w:pPr>
        <w:spacing w:after="0"/>
      </w:pPr>
      <w:r>
        <w:separator/>
      </w:r>
    </w:p>
  </w:footnote>
  <w:footnote w:type="continuationSeparator" w:id="0">
    <w:p w14:paraId="7FD9CB11" w14:textId="77777777" w:rsidR="00E308C0" w:rsidRDefault="00E308C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EF0C3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EF0C3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AC32B1"/>
    <w:multiLevelType w:val="hybridMultilevel"/>
    <w:tmpl w:val="CCD244FA"/>
    <w:lvl w:ilvl="0" w:tplc="AE72F69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250AA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60B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85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14E8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6D2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9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827B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66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EE0853"/>
    <w:multiLevelType w:val="multilevel"/>
    <w:tmpl w:val="1D1C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5624B"/>
    <w:multiLevelType w:val="multilevel"/>
    <w:tmpl w:val="6A1050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7"/>
  </w:num>
  <w:num w:numId="3" w16cid:durableId="615480040">
    <w:abstractNumId w:val="2"/>
  </w:num>
  <w:num w:numId="4" w16cid:durableId="1566183234">
    <w:abstractNumId w:val="8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9"/>
  </w:num>
  <w:num w:numId="8" w16cid:durableId="1559510671">
    <w:abstractNumId w:val="9"/>
  </w:num>
  <w:num w:numId="9" w16cid:durableId="1734543462">
    <w:abstractNumId w:val="9"/>
  </w:num>
  <w:num w:numId="10" w16cid:durableId="708839681">
    <w:abstractNumId w:val="9"/>
  </w:num>
  <w:num w:numId="11" w16cid:durableId="2046978920">
    <w:abstractNumId w:val="9"/>
  </w:num>
  <w:num w:numId="12" w16cid:durableId="2124614653">
    <w:abstractNumId w:val="9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199509716">
    <w:abstractNumId w:val="5"/>
  </w:num>
  <w:num w:numId="21" w16cid:durableId="337006590">
    <w:abstractNumId w:val="5"/>
    <w:lvlOverride w:ilvl="0">
      <w:lvl w:ilvl="0">
        <w:numFmt w:val="lowerLetter"/>
        <w:lvlText w:val="%1."/>
        <w:lvlJc w:val="left"/>
      </w:lvl>
    </w:lvlOverride>
  </w:num>
  <w:num w:numId="22" w16cid:durableId="583758399">
    <w:abstractNumId w:val="6"/>
  </w:num>
  <w:num w:numId="23" w16cid:durableId="611209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415"/>
    <w:rsid w:val="00052A14"/>
    <w:rsid w:val="00077D53"/>
    <w:rsid w:val="00105FD9"/>
    <w:rsid w:val="00117666"/>
    <w:rsid w:val="0012496D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13EF2"/>
    <w:rsid w:val="004216EA"/>
    <w:rsid w:val="00447801"/>
    <w:rsid w:val="00452E9C"/>
    <w:rsid w:val="004735C8"/>
    <w:rsid w:val="004961FF"/>
    <w:rsid w:val="00517A89"/>
    <w:rsid w:val="005250F2"/>
    <w:rsid w:val="00593EEA"/>
    <w:rsid w:val="005A5EEE"/>
    <w:rsid w:val="005B5338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A5D68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AD1E79"/>
    <w:rsid w:val="00B1671E"/>
    <w:rsid w:val="00B25EB8"/>
    <w:rsid w:val="00B354E1"/>
    <w:rsid w:val="00B36F37"/>
    <w:rsid w:val="00B37F4D"/>
    <w:rsid w:val="00C06D99"/>
    <w:rsid w:val="00C26CD2"/>
    <w:rsid w:val="00C52A7B"/>
    <w:rsid w:val="00C56BAF"/>
    <w:rsid w:val="00C679AA"/>
    <w:rsid w:val="00C75972"/>
    <w:rsid w:val="00CC0A3A"/>
    <w:rsid w:val="00CD066B"/>
    <w:rsid w:val="00CE4FEE"/>
    <w:rsid w:val="00CF0CF5"/>
    <w:rsid w:val="00DB59C3"/>
    <w:rsid w:val="00DC259A"/>
    <w:rsid w:val="00DE23E8"/>
    <w:rsid w:val="00E308C0"/>
    <w:rsid w:val="00E3404D"/>
    <w:rsid w:val="00E52377"/>
    <w:rsid w:val="00E64E17"/>
    <w:rsid w:val="00E866C9"/>
    <w:rsid w:val="00EA3D3C"/>
    <w:rsid w:val="00EF0C3E"/>
    <w:rsid w:val="00F46900"/>
    <w:rsid w:val="00F61D89"/>
    <w:rsid w:val="00FC676B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sonormal0">
    <w:name w:val="msonormal"/>
    <w:basedOn w:val="Normal"/>
    <w:rsid w:val="00C26CD2"/>
    <w:pPr>
      <w:spacing w:before="100" w:beforeAutospacing="1" w:after="100" w:afterAutospacing="1"/>
    </w:pPr>
    <w:rPr>
      <w:rFonts w:eastAsia="Times New Roman" w:cs="Times New Roman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4924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10</Pages>
  <Words>2389</Words>
  <Characters>13619</Characters>
  <Application>Microsoft Office Word</Application>
  <DocSecurity>0</DocSecurity>
  <Lines>113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Stefan Podsiadly</cp:lastModifiedBy>
  <cp:revision>2</cp:revision>
  <cp:lastPrinted>2013-10-03T12:51:00Z</cp:lastPrinted>
  <dcterms:created xsi:type="dcterms:W3CDTF">2024-01-17T15:33:00Z</dcterms:created>
  <dcterms:modified xsi:type="dcterms:W3CDTF">2024-01-17T15:33:00Z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