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59F7" w14:textId="3B32C7D1" w:rsidR="00C8014F" w:rsidRPr="00CA0095" w:rsidRDefault="00CA0095">
      <w:pPr>
        <w:pStyle w:val="a3"/>
        <w:keepNext/>
        <w:rPr>
          <w:rFonts w:ascii="Times New Roman" w:hAnsi="Times New Roman" w:cs="Times New Roman"/>
          <w:b/>
          <w:bCs/>
        </w:rPr>
      </w:pPr>
      <w:r w:rsidRPr="00CA0095">
        <w:rPr>
          <w:rFonts w:ascii="Times New Roman" w:hAnsi="Times New Roman" w:cs="Times New Roman" w:hint="eastAsia"/>
          <w:b/>
          <w:bCs/>
        </w:rPr>
        <w:t>S</w:t>
      </w:r>
      <w:r w:rsidRPr="00CA0095">
        <w:rPr>
          <w:rFonts w:ascii="Times New Roman" w:hAnsi="Times New Roman" w:cs="Times New Roman"/>
          <w:b/>
          <w:bCs/>
        </w:rPr>
        <w:t>upplementary T</w:t>
      </w:r>
      <w:r w:rsidR="003D2EAE">
        <w:rPr>
          <w:rFonts w:ascii="Times New Roman" w:hAnsi="Times New Roman" w:cs="Times New Roman"/>
          <w:b/>
          <w:bCs/>
        </w:rPr>
        <w:t>4</w:t>
      </w:r>
      <w:r w:rsidR="00000000" w:rsidRPr="00CA0095">
        <w:rPr>
          <w:rFonts w:ascii="Times New Roman" w:hAnsi="Times New Roman" w:cs="Times New Roman"/>
          <w:b/>
          <w:bCs/>
        </w:rPr>
        <w:t xml:space="preserve"> Multivariate cox regression analyses for multiple mortality in non-traumatic </w:t>
      </w:r>
      <w:r w:rsidR="006B259C" w:rsidRPr="00CA0095">
        <w:rPr>
          <w:rFonts w:ascii="Times New Roman" w:hAnsi="Times New Roman" w:cs="Times New Roman"/>
          <w:b/>
          <w:bCs/>
        </w:rPr>
        <w:t>SAH</w:t>
      </w:r>
      <w:r w:rsidR="00000000" w:rsidRPr="00CA0095">
        <w:rPr>
          <w:rFonts w:ascii="Times New Roman" w:hAnsi="Times New Roman" w:cs="Times New Roman"/>
          <w:b/>
          <w:bCs/>
        </w:rPr>
        <w:t xml:space="preserve"> patients.</w:t>
      </w:r>
    </w:p>
    <w:tbl>
      <w:tblPr>
        <w:tblW w:w="10134" w:type="dxa"/>
        <w:tblBorders>
          <w:top w:val="single" w:sz="4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496"/>
        <w:gridCol w:w="906"/>
        <w:gridCol w:w="1559"/>
        <w:gridCol w:w="1005"/>
        <w:gridCol w:w="1559"/>
        <w:gridCol w:w="1054"/>
      </w:tblGrid>
      <w:tr w:rsidR="00C8014F" w:rsidRPr="0010747D" w14:paraId="66C5D008" w14:textId="77777777">
        <w:trPr>
          <w:trHeight w:val="310"/>
        </w:trPr>
        <w:tc>
          <w:tcPr>
            <w:tcW w:w="2555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156D3711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Exposure</w:t>
            </w:r>
          </w:p>
        </w:tc>
        <w:tc>
          <w:tcPr>
            <w:tcW w:w="2402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E654F4" w14:textId="77777777" w:rsidR="00C8014F" w:rsidRPr="0010747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Non-adjust model</w:t>
            </w:r>
          </w:p>
        </w:tc>
        <w:tc>
          <w:tcPr>
            <w:tcW w:w="2564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455DCF3" w14:textId="77777777" w:rsidR="00C8014F" w:rsidRPr="0010747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I</w:t>
            </w:r>
          </w:p>
        </w:tc>
        <w:tc>
          <w:tcPr>
            <w:tcW w:w="2613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0A149E" w14:textId="77777777" w:rsidR="00C8014F" w:rsidRPr="0010747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Model II</w:t>
            </w:r>
          </w:p>
        </w:tc>
      </w:tr>
      <w:tr w:rsidR="00C8014F" w:rsidRPr="0010747D" w14:paraId="19CBF926" w14:textId="77777777">
        <w:trPr>
          <w:trHeight w:val="378"/>
        </w:trPr>
        <w:tc>
          <w:tcPr>
            <w:tcW w:w="2555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DCAAC8E" w14:textId="77777777" w:rsidR="00C8014F" w:rsidRPr="0010747D" w:rsidRDefault="00C801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34AA1C5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HR (95% CI)</w:t>
            </w:r>
          </w:p>
        </w:tc>
        <w:tc>
          <w:tcPr>
            <w:tcW w:w="90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12CE8C6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-value</w:t>
            </w:r>
          </w:p>
        </w:tc>
        <w:tc>
          <w:tcPr>
            <w:tcW w:w="155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2EA9E1E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HR (95% CI)</w:t>
            </w:r>
          </w:p>
        </w:tc>
        <w:tc>
          <w:tcPr>
            <w:tcW w:w="100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DC0A27C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-value</w:t>
            </w:r>
          </w:p>
        </w:tc>
        <w:tc>
          <w:tcPr>
            <w:tcW w:w="155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62267B17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HR (95% CI)</w:t>
            </w:r>
          </w:p>
        </w:tc>
        <w:tc>
          <w:tcPr>
            <w:tcW w:w="105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94CFE7D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-value</w:t>
            </w:r>
          </w:p>
        </w:tc>
      </w:tr>
      <w:tr w:rsidR="00C8014F" w:rsidRPr="0010747D" w14:paraId="4C46BC3D" w14:textId="77777777">
        <w:trPr>
          <w:trHeight w:val="280"/>
        </w:trPr>
        <w:tc>
          <w:tcPr>
            <w:tcW w:w="1013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21E479" w14:textId="77777777" w:rsidR="00C8014F" w:rsidRPr="0010747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24h mortality</w:t>
            </w:r>
          </w:p>
        </w:tc>
      </w:tr>
      <w:tr w:rsidR="00C8014F" w:rsidRPr="0010747D" w14:paraId="411D4A7D" w14:textId="77777777">
        <w:trPr>
          <w:trHeight w:val="278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B05889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Bicarbonate quartiles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415A96" w14:textId="77777777" w:rsidR="00C8014F" w:rsidRPr="0010747D" w:rsidRDefault="00C801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3CE5AA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4374F0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E9EE49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672ADB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E3E037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8014F" w:rsidRPr="0010747D" w14:paraId="421FAD68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BBF7335" w14:textId="32D5C35A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Q1(≤20</w:t>
            </w:r>
            <w:r w:rsidR="00B01362"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B01362"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B3765F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(Ref)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D0E43D" w14:textId="77777777" w:rsidR="00C8014F" w:rsidRPr="0010747D" w:rsidRDefault="00C801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D0EE2B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(Ref)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4DEB1E" w14:textId="77777777" w:rsidR="00C8014F" w:rsidRPr="0010747D" w:rsidRDefault="00C801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41D5B6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(Ref)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B06BAE" w14:textId="77777777" w:rsidR="00C8014F" w:rsidRPr="0010747D" w:rsidRDefault="00C801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C8014F" w:rsidRPr="0010747D" w14:paraId="75E78DB1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4C354A" w14:textId="7135053F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Q2(21-22</w:t>
            </w:r>
            <w:r w:rsidR="00B01362"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B01362"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A52ECE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 (0.12~0.77)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013CEB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8B0A65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 (0.11~0.75)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1A8475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1584616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 (0.08~0.7)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857BB5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</w:tr>
      <w:tr w:rsidR="00C8014F" w:rsidRPr="0010747D" w14:paraId="60A28AC0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33AF51" w14:textId="08EED94F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Q3(23-25</w:t>
            </w:r>
            <w:r w:rsidR="00B01362"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B01362"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D9A58C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 (0.07~0.44)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B0ADA6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9027F36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 (0.06~0.45)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D72683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ED5F03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 (0.06~0.48)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62AD63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C8014F" w:rsidRPr="0010747D" w14:paraId="634BF3A9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6B1D525" w14:textId="70BD1621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Q4(≥26</w:t>
            </w:r>
            <w:r w:rsidR="00B01362"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B01362"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4ACDC5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 (0.09~0.59)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C4FCE5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26C09F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 (0.09~0.63)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4B86F19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8AFC08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 (0.08~0.7)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F39299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</w:tr>
      <w:tr w:rsidR="00C8014F" w:rsidRPr="0010747D" w14:paraId="513C3023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CF92CD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for trend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3FBEB3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 (0.39~0.76)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83DF87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22F352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 (0.39~0.78)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6DD49E2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684CAE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 (0.38~0.83)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6526010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</w:tr>
      <w:tr w:rsidR="00C8014F" w:rsidRPr="0010747D" w14:paraId="6D406F5D" w14:textId="77777777">
        <w:trPr>
          <w:trHeight w:val="351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D0F95E5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Bicarbonate (per 1 increases)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F62A3D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 (0.75~0.89)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BF3AE7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439A77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0.81 (0.74~0.89)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89AC4F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A42DD1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 (0.75~0.92)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7E599B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C8014F" w:rsidRPr="0010747D" w14:paraId="1D367EB6" w14:textId="77777777">
        <w:trPr>
          <w:trHeight w:val="280"/>
        </w:trPr>
        <w:tc>
          <w:tcPr>
            <w:tcW w:w="10134" w:type="dxa"/>
            <w:gridSpan w:val="7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FD3DBE" w14:textId="77777777" w:rsidR="00C8014F" w:rsidRPr="0010747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48h mortality</w:t>
            </w:r>
          </w:p>
        </w:tc>
      </w:tr>
      <w:tr w:rsidR="00C8014F" w:rsidRPr="0010747D" w14:paraId="36731E9A" w14:textId="77777777">
        <w:trPr>
          <w:trHeight w:val="343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A7DA0B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Bicarbonate quartiles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64AE3E" w14:textId="77777777" w:rsidR="00C8014F" w:rsidRPr="0010747D" w:rsidRDefault="00C801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7D369F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A55126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26DB0B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AE36B3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7534B1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1362" w:rsidRPr="0010747D" w14:paraId="3B03B03E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969CB8A" w14:textId="614589A4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Q1(≤20</w:t>
            </w:r>
            <w:r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B265EA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(Ref)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FCBAB7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93F038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(Ref)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738A35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89E274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(Ref)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C155C1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01362" w:rsidRPr="0010747D" w14:paraId="07544304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8D2047" w14:textId="76EDF302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Q2(21-22</w:t>
            </w:r>
            <w:r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1C10E6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 (0.2~0.81)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C0F781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4E419A8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 (0.19~0.79)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DB91D5F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1A88919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 (0.2~0.99)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A057C7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0.047</w:t>
            </w:r>
          </w:p>
        </w:tc>
      </w:tr>
      <w:tr w:rsidR="00B01362" w:rsidRPr="0010747D" w14:paraId="42F291BE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9B9C23" w14:textId="41A4CD5A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Q3(23-25</w:t>
            </w:r>
            <w:r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C1C095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 (0.07~0.34)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605F41C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D72CA29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 (0.07~0.34)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C267A0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0E5211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 (0.08~0.49)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6F5A93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B01362" w:rsidRPr="0010747D" w14:paraId="4F28D4BC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CE05C7" w14:textId="022F4F3C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Q4(≥26</w:t>
            </w:r>
            <w:r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0C0A8BD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 (0.1~0.49)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1647D5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CE82E2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 (0.11~0.55)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7FDD0A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4F804F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 (0.15~0.85)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FA0899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C8014F" w:rsidRPr="0010747D" w14:paraId="4AF6EB96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761393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for trend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D9E218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0.53 (0.4~0.69)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C37794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CF3FD5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 (0.41~0.71)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D0AAC5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33F99E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 (0.46~0.86)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FC091F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</w:tr>
      <w:tr w:rsidR="00C8014F" w:rsidRPr="0010747D" w14:paraId="42F9184E" w14:textId="77777777">
        <w:trPr>
          <w:trHeight w:val="321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B8C6F5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Bicarbonate (per 1 increases)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4B5B3AB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 (0.77~0.88)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BA7AF7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20C3963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 (0.76~0.88)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0254C4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67AE02E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 (0.8~0.95)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2F74403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C8014F" w:rsidRPr="0010747D" w14:paraId="7E690BA0" w14:textId="77777777">
        <w:trPr>
          <w:trHeight w:val="280"/>
        </w:trPr>
        <w:tc>
          <w:tcPr>
            <w:tcW w:w="10134" w:type="dxa"/>
            <w:gridSpan w:val="7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2653C8" w14:textId="77777777" w:rsidR="00C8014F" w:rsidRPr="0010747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7-day mortality</w:t>
            </w:r>
          </w:p>
        </w:tc>
      </w:tr>
      <w:tr w:rsidR="00C8014F" w:rsidRPr="0010747D" w14:paraId="33CCBF1C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EFEF84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Bicarbonate quartiles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C44E20" w14:textId="77777777" w:rsidR="00C8014F" w:rsidRPr="0010747D" w:rsidRDefault="00C801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F62427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BD5AFD4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C732AE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F00ECF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74ED9F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1362" w:rsidRPr="0010747D" w14:paraId="79F23EB2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CC608D" w14:textId="18F5F495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Q1(≤20</w:t>
            </w:r>
            <w:r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A0D0B9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(Ref)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741854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D64786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(Ref)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82C703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195DB5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(Ref)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2CDB9F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01362" w:rsidRPr="0010747D" w14:paraId="5DADC420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5C2DFF" w14:textId="64DA7154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Q2(21-22</w:t>
            </w:r>
            <w:r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45D68E1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 (0.32~0.99)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8D4006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DE208B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 (0.31~0.97)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93196F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43A638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0.73 (0.39~1.38)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4C8597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0.328</w:t>
            </w:r>
          </w:p>
        </w:tc>
      </w:tr>
      <w:tr w:rsidR="00B01362" w:rsidRPr="0010747D" w14:paraId="3E7165CA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49EA65" w14:textId="0040A2B5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Q3(23-25</w:t>
            </w:r>
            <w:r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4B21EAD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 (0.11~0.39)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4FA198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F740BF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 (0.1~0.39)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7BDB3E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96BD08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 (0.14~0.61)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DE97C6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B01362" w:rsidRPr="0010747D" w14:paraId="46B92458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5ACE93" w14:textId="278F40C2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Q4(≥26</w:t>
            </w:r>
            <w:r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9B3AF39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 (0.11~0.44)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560508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0BF053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 (0.12~0.49)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D0F9A10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961F98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0.38 (0.17~0.83)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46E481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</w:tr>
      <w:tr w:rsidR="00C8014F" w:rsidRPr="0010747D" w14:paraId="6876CCBE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B42AFF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for trend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E2491C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 (0.43~0.68)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1B9429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0FAC54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 (0.43~0.69)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52FEA3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FF9141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0.66 (0.51~0.85)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741C85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C8014F" w:rsidRPr="0010747D" w14:paraId="2C0BCF18" w14:textId="77777777">
        <w:trPr>
          <w:trHeight w:val="305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99783B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Bicarbonate (per 1 increases)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A635CB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 (0.78~0.88)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6A75BA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333744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 (0.78~0.88)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DBE53F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9F68EE8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 (0.83~0.95)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2D54D85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C8014F" w:rsidRPr="0010747D" w14:paraId="1CAAACF2" w14:textId="77777777">
        <w:trPr>
          <w:trHeight w:val="280"/>
        </w:trPr>
        <w:tc>
          <w:tcPr>
            <w:tcW w:w="10134" w:type="dxa"/>
            <w:gridSpan w:val="7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149526" w14:textId="77777777" w:rsidR="00C8014F" w:rsidRPr="0010747D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In-hospital mortality</w:t>
            </w:r>
          </w:p>
        </w:tc>
      </w:tr>
      <w:tr w:rsidR="00C8014F" w:rsidRPr="0010747D" w14:paraId="58DD2762" w14:textId="77777777">
        <w:trPr>
          <w:trHeight w:val="261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AB98718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Bicarbonate quartiles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8092FD" w14:textId="77777777" w:rsidR="00C8014F" w:rsidRPr="0010747D" w:rsidRDefault="00C8014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93C3A2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C501E2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E60163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ECFF4FA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F5F5A2" w14:textId="77777777" w:rsidR="00C8014F" w:rsidRPr="0010747D" w:rsidRDefault="00C8014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1362" w:rsidRPr="0010747D" w14:paraId="46A78560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3CCB25" w14:textId="4168AF82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Q1(≤20</w:t>
            </w:r>
            <w:r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4A1D8A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(Ref)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05BFB77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3CAF73F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(Ref)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7BFEC2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BE92E46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(Ref)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A0E614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01362" w:rsidRPr="0010747D" w14:paraId="2F9B5AEE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3B4943C" w14:textId="765536EA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Q2(21-22</w:t>
            </w:r>
            <w:r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1A78BE6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 (0.41~1.16)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AEE90B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0.159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2F39D1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 (0.41~1.16)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C9D347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0.157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BB2827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0.95 (0.53~1.67)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004673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0.846</w:t>
            </w:r>
          </w:p>
        </w:tc>
      </w:tr>
      <w:tr w:rsidR="00B01362" w:rsidRPr="0010747D" w14:paraId="5D94F475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FC3C4B" w14:textId="3ACDB13E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Q3(23-25</w:t>
            </w:r>
            <w:r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A1EF4C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 (0.2~0.57)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661FBC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3DC4312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0.31 (0.18~0.54)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05BFDE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9E4F35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 (0.28~0.9)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51A0DC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0.022</w:t>
            </w:r>
          </w:p>
        </w:tc>
      </w:tr>
      <w:tr w:rsidR="00B01362" w:rsidRPr="0010747D" w14:paraId="0B8EA8C9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7312DB" w14:textId="514632FC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Q4(≥26</w:t>
            </w:r>
            <w:r w:rsidRPr="00B013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mEq/L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A73A0A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 (0.22~0.67)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6A93B5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4B16D2E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 (0.24~0.74)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B66329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0719DA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 (0.37~1.27)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7780A3" w14:textId="77777777" w:rsidR="00B01362" w:rsidRPr="0010747D" w:rsidRDefault="00B01362" w:rsidP="00B0136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0.23</w:t>
            </w:r>
          </w:p>
        </w:tc>
      </w:tr>
      <w:tr w:rsidR="00C8014F" w:rsidRPr="0010747D" w14:paraId="6679208D" w14:textId="77777777">
        <w:trPr>
          <w:trHeight w:val="280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EDEA01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for trend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37110B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 (0.57~0.82)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957D08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4EA71ED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 (0.57~0.83)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2158A7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752EA6B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 (0.67~1.01)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2F7C624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C8014F" w:rsidRPr="0010747D" w14:paraId="0391CFFC" w14:textId="77777777">
        <w:trPr>
          <w:trHeight w:val="303"/>
        </w:trPr>
        <w:tc>
          <w:tcPr>
            <w:tcW w:w="2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E2BA62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Bicarbonate (per 1 increases)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815106D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 (0.84~0.93)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2402BB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89B7AB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 (0.84~0.93)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57FF27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7E44173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 (0.89~1)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AAFC127" w14:textId="77777777" w:rsidR="00C8014F" w:rsidRPr="0010747D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74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0.045</w:t>
            </w:r>
          </w:p>
        </w:tc>
      </w:tr>
    </w:tbl>
    <w:p w14:paraId="2B667F42" w14:textId="77777777" w:rsidR="009D2A83" w:rsidRPr="00597DEC" w:rsidRDefault="009D2A83" w:rsidP="009D2A83">
      <w:pPr>
        <w:rPr>
          <w:rFonts w:ascii="Times New Roman" w:hAnsi="Times New Roman" w:cs="Times New Roman"/>
          <w:sz w:val="18"/>
          <w:szCs w:val="18"/>
        </w:rPr>
      </w:pPr>
      <w:r w:rsidRPr="00597DEC">
        <w:rPr>
          <w:rFonts w:ascii="Times New Roman" w:hAnsi="Times New Roman" w:cs="Times New Roman"/>
          <w:sz w:val="18"/>
          <w:szCs w:val="18"/>
        </w:rPr>
        <w:t>Non-adjusted: no covariates were adjusted.</w:t>
      </w:r>
    </w:p>
    <w:p w14:paraId="162CDAE6" w14:textId="77777777" w:rsidR="009D2A83" w:rsidRPr="00597DEC" w:rsidRDefault="009D2A83" w:rsidP="009D2A83">
      <w:pPr>
        <w:rPr>
          <w:rFonts w:ascii="Times New Roman" w:hAnsi="Times New Roman" w:cs="Times New Roman"/>
          <w:sz w:val="18"/>
          <w:szCs w:val="18"/>
        </w:rPr>
      </w:pPr>
      <w:r w:rsidRPr="00597DEC">
        <w:rPr>
          <w:rFonts w:ascii="Times New Roman" w:hAnsi="Times New Roman" w:cs="Times New Roman"/>
          <w:sz w:val="18"/>
          <w:szCs w:val="18"/>
        </w:rPr>
        <w:t>Model I: adjusted for age, sex, and ethnicity.</w:t>
      </w:r>
    </w:p>
    <w:p w14:paraId="51D66DD0" w14:textId="77777777" w:rsidR="009D2A83" w:rsidRPr="00597DEC" w:rsidRDefault="009D2A83" w:rsidP="009D2A83">
      <w:pPr>
        <w:rPr>
          <w:rFonts w:ascii="Times New Roman" w:hAnsi="Times New Roman" w:cs="Times New Roman"/>
          <w:sz w:val="18"/>
          <w:szCs w:val="18"/>
        </w:rPr>
      </w:pPr>
      <w:r w:rsidRPr="00597DEC">
        <w:rPr>
          <w:rFonts w:ascii="Times New Roman" w:hAnsi="Times New Roman" w:cs="Times New Roman"/>
          <w:sz w:val="18"/>
          <w:szCs w:val="18"/>
        </w:rPr>
        <w:t xml:space="preserve">Model II: adjusted for age, sex, ethnicity, heart rate, RR, sepsis, Hemoglobin, Platelets, Charlson comorbidity index, Cr, endovascular </w:t>
      </w:r>
      <w:proofErr w:type="gramStart"/>
      <w:r w:rsidRPr="00597DEC">
        <w:rPr>
          <w:rFonts w:ascii="Times New Roman" w:hAnsi="Times New Roman" w:cs="Times New Roman"/>
          <w:sz w:val="18"/>
          <w:szCs w:val="18"/>
        </w:rPr>
        <w:t>therapy</w:t>
      </w:r>
      <w:proofErr w:type="gramEnd"/>
      <w:r w:rsidRPr="00597DEC">
        <w:rPr>
          <w:rFonts w:ascii="Times New Roman" w:hAnsi="Times New Roman" w:cs="Times New Roman"/>
          <w:sz w:val="18"/>
          <w:szCs w:val="18"/>
        </w:rPr>
        <w:t xml:space="preserve"> and GCS.</w:t>
      </w:r>
    </w:p>
    <w:p w14:paraId="2A3FB09C" w14:textId="77777777" w:rsidR="009D2A83" w:rsidRPr="00597DEC" w:rsidRDefault="009D2A83" w:rsidP="009D2A83">
      <w:pPr>
        <w:rPr>
          <w:rFonts w:ascii="Times New Roman" w:hAnsi="Times New Roman" w:cs="Times New Roman"/>
          <w:sz w:val="18"/>
          <w:szCs w:val="18"/>
        </w:rPr>
      </w:pPr>
      <w:r w:rsidRPr="00597DEC">
        <w:rPr>
          <w:rFonts w:ascii="Times New Roman" w:hAnsi="Times New Roman" w:cs="Times New Roman"/>
          <w:sz w:val="18"/>
          <w:szCs w:val="18"/>
        </w:rPr>
        <w:t>RR, respiratory rate; Cr, Creatinine; GCS, Glasgow coma score; HR, hazard ratio; CI, confidence interval; Ref, reference.</w:t>
      </w:r>
    </w:p>
    <w:p w14:paraId="686727A9" w14:textId="77777777" w:rsidR="009D2A83" w:rsidRDefault="009D2A83" w:rsidP="009D2A83"/>
    <w:p w14:paraId="0BE4AFB8" w14:textId="77777777" w:rsidR="00C8014F" w:rsidRPr="009D2A83" w:rsidRDefault="00C8014F"/>
    <w:sectPr w:rsidR="00C8014F" w:rsidRPr="009D2A8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EDD2" w14:textId="77777777" w:rsidR="0038409E" w:rsidRDefault="0038409E" w:rsidP="006B259C">
      <w:r>
        <w:separator/>
      </w:r>
    </w:p>
  </w:endnote>
  <w:endnote w:type="continuationSeparator" w:id="0">
    <w:p w14:paraId="75CB2962" w14:textId="77777777" w:rsidR="0038409E" w:rsidRDefault="0038409E" w:rsidP="006B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FDFC" w14:textId="77777777" w:rsidR="0038409E" w:rsidRDefault="0038409E" w:rsidP="006B259C">
      <w:r>
        <w:separator/>
      </w:r>
    </w:p>
  </w:footnote>
  <w:footnote w:type="continuationSeparator" w:id="0">
    <w:p w14:paraId="7EE3568E" w14:textId="77777777" w:rsidR="0038409E" w:rsidRDefault="0038409E" w:rsidP="006B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D5"/>
    <w:rsid w:val="0006388F"/>
    <w:rsid w:val="000A67EF"/>
    <w:rsid w:val="000D7331"/>
    <w:rsid w:val="0010747D"/>
    <w:rsid w:val="002403D1"/>
    <w:rsid w:val="0038409E"/>
    <w:rsid w:val="003D2EAE"/>
    <w:rsid w:val="00600DCD"/>
    <w:rsid w:val="006B259C"/>
    <w:rsid w:val="00755BCF"/>
    <w:rsid w:val="009007F1"/>
    <w:rsid w:val="00946118"/>
    <w:rsid w:val="009D2A83"/>
    <w:rsid w:val="00AC1639"/>
    <w:rsid w:val="00B01362"/>
    <w:rsid w:val="00C8014F"/>
    <w:rsid w:val="00CA0095"/>
    <w:rsid w:val="00E30856"/>
    <w:rsid w:val="00E62C9D"/>
    <w:rsid w:val="00FD13D5"/>
    <w:rsid w:val="7775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89C55"/>
  <w15:docId w15:val="{C2075107-64D2-4443-B8CC-2DF77C6D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hint="eastAsia"/>
      <w:b/>
      <w:bCs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33</cp:revision>
  <dcterms:created xsi:type="dcterms:W3CDTF">2023-09-29T09:20:00Z</dcterms:created>
  <dcterms:modified xsi:type="dcterms:W3CDTF">2023-10-05T11:53:00Z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