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48"/>
          <w:szCs w:val="48"/>
        </w:rPr>
      </w:pPr>
      <w:r>
        <w:rPr>
          <w:rFonts w:hint="default" w:ascii="Times New Roman" w:hAnsi="Times New Roman" w:cs="Times New Roman"/>
          <w:sz w:val="48"/>
          <w:szCs w:val="48"/>
        </w:rPr>
        <w:t>Supplementary material</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Supplementary information for materials and methods</w:t>
      </w:r>
    </w:p>
    <w:p>
      <w:pPr>
        <w:numPr>
          <w:numId w:val="0"/>
        </w:numPr>
        <w:spacing w:line="360" w:lineRule="auto"/>
        <w:rPr>
          <w:rFonts w:ascii="Times New Roman" w:hAnsi="Times New Roman" w:cs="Times New Roman"/>
          <w:sz w:val="24"/>
          <w:szCs w:val="24"/>
        </w:rPr>
      </w:pPr>
      <w:r>
        <w:rPr>
          <w:rFonts w:ascii="Times New Roman" w:hAnsi="Times New Roman" w:cs="Times New Roman"/>
          <w:b/>
          <w:bCs/>
          <w:sz w:val="24"/>
          <w:szCs w:val="24"/>
        </w:rPr>
        <w:t>Sequencing of rats’s feces</w:t>
      </w:r>
    </w:p>
    <w:p>
      <w:pPr>
        <w:rPr>
          <w:rFonts w:ascii="Times New Roman" w:hAnsi="Times New Roman" w:cs="Times New Roman"/>
          <w:b/>
          <w:bCs/>
          <w:sz w:val="24"/>
          <w:szCs w:val="24"/>
        </w:rPr>
      </w:pPr>
      <w:r>
        <w:rPr>
          <w:rFonts w:ascii="Times New Roman" w:hAnsi="Times New Roman" w:cs="Times New Roman"/>
          <w:b/>
          <w:bCs/>
          <w:sz w:val="24"/>
          <w:szCs w:val="24"/>
        </w:rPr>
        <w:t>1. Kits and Instruments</w:t>
      </w:r>
    </w:p>
    <w:p>
      <w:pPr>
        <w:rPr>
          <w:rFonts w:ascii="Times New Roman" w:hAnsi="Times New Roman" w:cs="Times New Roman"/>
          <w:b/>
          <w:bCs/>
          <w:sz w:val="24"/>
          <w:szCs w:val="24"/>
        </w:rPr>
      </w:pPr>
      <w:r>
        <w:rPr>
          <w:rFonts w:ascii="Times New Roman" w:hAnsi="Times New Roman" w:cs="Times New Roman"/>
          <w:b/>
          <w:bCs/>
          <w:sz w:val="24"/>
          <w:szCs w:val="24"/>
        </w:rPr>
        <w:t>1.1. Kits</w:t>
      </w:r>
    </w:p>
    <w:tbl>
      <w:tblPr>
        <w:tblStyle w:val="5"/>
        <w:tblW w:w="0" w:type="auto"/>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2841"/>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Borders>
              <w:top w:val="single" w:color="auto" w:sz="12" w:space="0"/>
              <w:bottom w:val="single" w:color="auto" w:sz="8" w:space="0"/>
            </w:tcBorders>
          </w:tcPr>
          <w:p>
            <w:pPr>
              <w:ind w:left="120" w:hanging="120"/>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Kits Name</w:t>
            </w:r>
          </w:p>
        </w:tc>
        <w:tc>
          <w:tcPr>
            <w:tcW w:w="2841" w:type="dxa"/>
            <w:tcBorders>
              <w:top w:val="single" w:color="auto" w:sz="12" w:space="0"/>
              <w:bottom w:val="single" w:color="auto" w:sz="8" w:space="0"/>
            </w:tcBorders>
          </w:tcPr>
          <w:p>
            <w:pPr>
              <w:ind w:left="120" w:hanging="120"/>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Producers</w:t>
            </w:r>
          </w:p>
        </w:tc>
        <w:tc>
          <w:tcPr>
            <w:tcW w:w="2841" w:type="dxa"/>
            <w:tcBorders>
              <w:top w:val="single" w:color="auto" w:sz="12" w:space="0"/>
              <w:bottom w:val="single" w:color="auto" w:sz="8" w:space="0"/>
            </w:tcBorders>
          </w:tcPr>
          <w:p>
            <w:pPr>
              <w:ind w:left="120" w:hanging="120"/>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Cat. No.</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Borders>
              <w:top w:val="single" w:color="auto" w:sz="8" w:space="0"/>
              <w:bottom w:val="nil"/>
            </w:tcBorders>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MagPure Soil DNA LQ Kit</w:t>
            </w:r>
          </w:p>
        </w:tc>
        <w:tc>
          <w:tcPr>
            <w:tcW w:w="2841" w:type="dxa"/>
            <w:tcBorders>
              <w:top w:val="single" w:color="auto" w:sz="8" w:space="0"/>
              <w:bottom w:val="nil"/>
            </w:tcBorders>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Magen</w:t>
            </w:r>
          </w:p>
        </w:tc>
        <w:tc>
          <w:tcPr>
            <w:tcW w:w="2841" w:type="dxa"/>
            <w:tcBorders>
              <w:top w:val="single" w:color="auto" w:sz="8" w:space="0"/>
              <w:bottom w:val="nil"/>
            </w:tcBorders>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D6356-02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Borders>
              <w:top w:val="nil"/>
              <w:bottom w:val="nil"/>
            </w:tcBorders>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Qubit dsDNA Assay Kit</w:t>
            </w:r>
          </w:p>
        </w:tc>
        <w:tc>
          <w:tcPr>
            <w:tcW w:w="2841" w:type="dxa"/>
            <w:tcBorders>
              <w:top w:val="nil"/>
              <w:bottom w:val="nil"/>
            </w:tcBorders>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Life Technologies</w:t>
            </w:r>
          </w:p>
        </w:tc>
        <w:tc>
          <w:tcPr>
            <w:tcW w:w="2841" w:type="dxa"/>
            <w:tcBorders>
              <w:top w:val="nil"/>
              <w:bottom w:val="nil"/>
            </w:tcBorders>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Q32854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Borders>
              <w:top w:val="nil"/>
              <w:bottom w:val="single" w:color="auto" w:sz="12" w:space="0"/>
            </w:tcBorders>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Tks Gflex DNA Polymerase</w:t>
            </w:r>
          </w:p>
        </w:tc>
        <w:tc>
          <w:tcPr>
            <w:tcW w:w="2841" w:type="dxa"/>
            <w:tcBorders>
              <w:top w:val="nil"/>
              <w:bottom w:val="single" w:color="auto" w:sz="12" w:space="0"/>
            </w:tcBorders>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Takara</w:t>
            </w:r>
          </w:p>
        </w:tc>
        <w:tc>
          <w:tcPr>
            <w:tcW w:w="2841" w:type="dxa"/>
            <w:tcBorders>
              <w:top w:val="nil"/>
              <w:bottom w:val="single" w:color="auto" w:sz="12" w:space="0"/>
            </w:tcBorders>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R060B</w:t>
            </w:r>
          </w:p>
        </w:tc>
      </w:tr>
    </w:tbl>
    <w:p>
      <w:pPr>
        <w:rPr>
          <w:rFonts w:ascii="Times New Roman" w:hAnsi="Times New Roman" w:cs="Times New Roman"/>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1.2. Instrument</w:t>
      </w:r>
    </w:p>
    <w:tbl>
      <w:tblPr>
        <w:tblStyle w:val="5"/>
        <w:tblW w:w="0" w:type="auto"/>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2841"/>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Borders>
              <w:top w:val="single" w:color="auto" w:sz="12" w:space="0"/>
              <w:bottom w:val="single" w:color="auto" w:sz="8" w:space="0"/>
            </w:tcBorders>
          </w:tcPr>
          <w:p>
            <w:pPr>
              <w:ind w:left="120" w:hanging="120"/>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Instrument Name</w:t>
            </w:r>
          </w:p>
        </w:tc>
        <w:tc>
          <w:tcPr>
            <w:tcW w:w="2841" w:type="dxa"/>
            <w:tcBorders>
              <w:top w:val="single" w:color="auto" w:sz="12" w:space="0"/>
              <w:bottom w:val="single" w:color="auto" w:sz="8" w:space="0"/>
            </w:tcBorders>
          </w:tcPr>
          <w:p>
            <w:pPr>
              <w:ind w:left="120" w:hanging="120"/>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Producers</w:t>
            </w:r>
          </w:p>
        </w:tc>
        <w:tc>
          <w:tcPr>
            <w:tcW w:w="2841" w:type="dxa"/>
            <w:tcBorders>
              <w:top w:val="single" w:color="auto" w:sz="12" w:space="0"/>
              <w:bottom w:val="single" w:color="auto" w:sz="8" w:space="0"/>
            </w:tcBorders>
          </w:tcPr>
          <w:p>
            <w:pPr>
              <w:ind w:left="120" w:hanging="120"/>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Cat. No.</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Borders>
              <w:top w:val="single" w:color="auto" w:sz="8" w:space="0"/>
            </w:tcBorders>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Centrifuge</w:t>
            </w:r>
          </w:p>
        </w:tc>
        <w:tc>
          <w:tcPr>
            <w:tcW w:w="2841" w:type="dxa"/>
            <w:tcBorders>
              <w:top w:val="single" w:color="auto" w:sz="8" w:space="0"/>
            </w:tcBorders>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Eppendorf</w:t>
            </w:r>
          </w:p>
        </w:tc>
        <w:tc>
          <w:tcPr>
            <w:tcW w:w="2841" w:type="dxa"/>
            <w:tcBorders>
              <w:top w:val="single" w:color="auto" w:sz="8" w:space="0"/>
            </w:tcBorders>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Centrifuge 5418</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PCR</w:t>
            </w:r>
          </w:p>
        </w:tc>
        <w:tc>
          <w:tcPr>
            <w:tcW w:w="284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Bio-rad</w:t>
            </w:r>
          </w:p>
        </w:tc>
        <w:tc>
          <w:tcPr>
            <w:tcW w:w="284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580BR10905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DNA Electrophoresis Cell</w:t>
            </w:r>
          </w:p>
        </w:tc>
        <w:tc>
          <w:tcPr>
            <w:tcW w:w="284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Tanon</w:t>
            </w:r>
          </w:p>
        </w:tc>
        <w:tc>
          <w:tcPr>
            <w:tcW w:w="284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HE-120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Gel Imaging System</w:t>
            </w:r>
          </w:p>
        </w:tc>
        <w:tc>
          <w:tcPr>
            <w:tcW w:w="284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Tanon</w:t>
            </w:r>
          </w:p>
        </w:tc>
        <w:tc>
          <w:tcPr>
            <w:tcW w:w="284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2500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Pipette</w:t>
            </w:r>
          </w:p>
        </w:tc>
        <w:tc>
          <w:tcPr>
            <w:tcW w:w="284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Eppendorf</w:t>
            </w:r>
          </w:p>
        </w:tc>
        <w:tc>
          <w:tcPr>
            <w:tcW w:w="284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Bioanalyzer</w:t>
            </w:r>
          </w:p>
        </w:tc>
        <w:tc>
          <w:tcPr>
            <w:tcW w:w="284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Aglient</w:t>
            </w:r>
          </w:p>
        </w:tc>
        <w:tc>
          <w:tcPr>
            <w:tcW w:w="284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NanoDrop</w:t>
            </w:r>
          </w:p>
        </w:tc>
        <w:tc>
          <w:tcPr>
            <w:tcW w:w="284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Thermo Fisher</w:t>
            </w:r>
          </w:p>
        </w:tc>
        <w:tc>
          <w:tcPr>
            <w:tcW w:w="284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2100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Borders>
              <w:bottom w:val="single" w:color="auto" w:sz="12" w:space="0"/>
            </w:tcBorders>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Tips, Centrifuge Tube</w:t>
            </w:r>
          </w:p>
        </w:tc>
        <w:tc>
          <w:tcPr>
            <w:tcW w:w="2841" w:type="dxa"/>
            <w:tcBorders>
              <w:bottom w:val="single" w:color="auto" w:sz="12" w:space="0"/>
            </w:tcBorders>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Axygen</w:t>
            </w:r>
          </w:p>
        </w:tc>
        <w:tc>
          <w:tcPr>
            <w:tcW w:w="2841" w:type="dxa"/>
            <w:tcBorders>
              <w:bottom w:val="single" w:color="auto" w:sz="12" w:space="0"/>
            </w:tcBorders>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p>
        </w:tc>
      </w:tr>
    </w:tbl>
    <w:p>
      <w:pPr>
        <w:rPr>
          <w:rFonts w:ascii="Times New Roman" w:hAnsi="Times New Roman" w:cs="Times New Roman"/>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2. Expeimental Proced</w:t>
      </w:r>
    </w:p>
    <w:p>
      <w:pPr>
        <w:rPr>
          <w:rFonts w:ascii="Times New Roman" w:hAnsi="Times New Roman" w:cs="Times New Roman"/>
          <w:b/>
          <w:bCs/>
          <w:sz w:val="24"/>
          <w:szCs w:val="24"/>
        </w:rPr>
      </w:pPr>
      <w:r>
        <w:rPr>
          <w:rFonts w:ascii="Times New Roman" w:hAnsi="Times New Roman" w:cs="Times New Roman"/>
          <w:b/>
          <w:bCs/>
          <w:sz w:val="24"/>
          <w:szCs w:val="24"/>
        </w:rPr>
        <w:t>2.1. DNA extraction</w:t>
      </w:r>
    </w:p>
    <w:p>
      <w:pPr>
        <w:rPr>
          <w:rFonts w:ascii="Times New Roman" w:hAnsi="Times New Roman" w:cs="Times New Roman"/>
          <w:sz w:val="24"/>
          <w:szCs w:val="24"/>
        </w:rPr>
      </w:pPr>
      <w:r>
        <w:rPr>
          <w:rFonts w:ascii="Times New Roman" w:hAnsi="Times New Roman" w:cs="Times New Roman"/>
          <w:sz w:val="24"/>
          <w:szCs w:val="24"/>
        </w:rPr>
        <w:t>Total genomic DNA was extracted using DNA Extraction Kit following the manufacturer’s instructions. Concentration of DNA was verified with NanoDrop and agarose gel. The genome DNA was used as template for PCR amplification with the barcoded primers and Tks Gflex DNA Polymerase (Takara). For bacterial diversity analysis, V3-V4 (or V4-V5) variable regions of 16S rRNA genes was amplified with universal primers 343 F and 798 R (or 515F and 907R for V4-V5 regions).</w:t>
      </w:r>
    </w:p>
    <w:p>
      <w:pPr>
        <w:pStyle w:val="7"/>
      </w:pPr>
      <w:r>
        <w:t>2.2. Library Construction</w:t>
      </w:r>
    </w:p>
    <w:p>
      <w:pPr>
        <w:rPr>
          <w:rFonts w:ascii="Times New Roman" w:hAnsi="Times New Roman" w:cs="Times New Roman"/>
          <w:sz w:val="24"/>
          <w:szCs w:val="24"/>
        </w:rPr>
      </w:pPr>
      <w:r>
        <w:rPr>
          <w:rFonts w:ascii="Times New Roman" w:hAnsi="Times New Roman" w:cs="Times New Roman"/>
          <w:sz w:val="24"/>
          <w:szCs w:val="24"/>
        </w:rPr>
        <w:t>Amplicon quality was visualized using gel electrophoresis, purified with AMPure XP beads (Agencourt), and amplified for another round of PCR. After purified with the AMPure XP beads again, the final amplicon was quantified using Qubit dsDNA assay kit. Equal amounts of purified amplicon were pooled for subsequent sequencing.</w:t>
      </w:r>
    </w:p>
    <w:p>
      <w:pPr>
        <w:pStyle w:val="7"/>
      </w:pPr>
      <w:r>
        <w:t>2.2.1. First Round PCR Reaction</w:t>
      </w:r>
    </w:p>
    <w:p>
      <w:pPr>
        <w:numPr>
          <w:ilvl w:val="0"/>
          <w:numId w:val="1"/>
        </w:numPr>
        <w:rPr>
          <w:rFonts w:ascii="Times New Roman" w:hAnsi="Times New Roman" w:cs="Times New Roman"/>
          <w:sz w:val="24"/>
          <w:szCs w:val="24"/>
        </w:rPr>
      </w:pPr>
      <w:r>
        <w:rPr>
          <w:rFonts w:ascii="Times New Roman" w:hAnsi="Times New Roman" w:cs="Times New Roman"/>
          <w:sz w:val="24"/>
          <w:szCs w:val="24"/>
        </w:rPr>
        <w:t>Add the reaction system to the PCR tubes.</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tbl>
      <w:tblPr>
        <w:tblStyle w:val="5"/>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top w:val="single" w:color="auto" w:sz="12" w:space="0"/>
              <w:bottom w:val="single" w:color="auto" w:sz="8" w:space="0"/>
            </w:tcBorders>
          </w:tcPr>
          <w:p>
            <w:pPr>
              <w:ind w:left="120" w:hanging="120"/>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Name</w:t>
            </w:r>
          </w:p>
        </w:tc>
        <w:tc>
          <w:tcPr>
            <w:tcW w:w="4261" w:type="dxa"/>
            <w:tcBorders>
              <w:top w:val="single" w:color="auto" w:sz="12" w:space="0"/>
              <w:bottom w:val="single" w:color="auto" w:sz="8" w:space="0"/>
            </w:tcBorders>
          </w:tcPr>
          <w:p>
            <w:pPr>
              <w:ind w:left="120" w:hanging="120"/>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Volume</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top w:val="single" w:color="auto" w:sz="8" w:space="0"/>
            </w:tcBorders>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2×Gflex PCR Buffer</w:t>
            </w:r>
          </w:p>
        </w:tc>
        <w:tc>
          <w:tcPr>
            <w:tcW w:w="4261" w:type="dxa"/>
            <w:tcBorders>
              <w:top w:val="single" w:color="auto" w:sz="8" w:space="0"/>
            </w:tcBorders>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 μl</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 pmol/μl primer F</w:t>
            </w:r>
          </w:p>
        </w:tc>
        <w:tc>
          <w:tcPr>
            <w:tcW w:w="426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 μl</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 pmol/μl primer R</w:t>
            </w:r>
          </w:p>
        </w:tc>
        <w:tc>
          <w:tcPr>
            <w:tcW w:w="426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 μl</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Template DNA</w:t>
            </w:r>
          </w:p>
        </w:tc>
        <w:tc>
          <w:tcPr>
            <w:tcW w:w="426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1 μl (50 ng)</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Tks Gflex DNA Polymerase (1.25U/μl)</w:t>
            </w:r>
          </w:p>
        </w:tc>
        <w:tc>
          <w:tcPr>
            <w:tcW w:w="426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0.6 μl</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H</w:t>
            </w:r>
            <w:r>
              <w:rPr>
                <w:rFonts w:ascii="Times New Roman" w:hAnsi="Times New Roman" w:eastAsia="宋体" w:cs="Times New Roman"/>
                <w:kern w:val="0"/>
                <w:sz w:val="24"/>
                <w:szCs w:val="24"/>
                <w:vertAlign w:val="subscript"/>
              </w:rPr>
              <w:t>2</w:t>
            </w:r>
            <w:r>
              <w:rPr>
                <w:rFonts w:ascii="Times New Roman" w:hAnsi="Times New Roman" w:eastAsia="宋体" w:cs="Times New Roman"/>
                <w:kern w:val="0"/>
                <w:sz w:val="24"/>
                <w:szCs w:val="24"/>
              </w:rPr>
              <w:t>O</w:t>
            </w:r>
          </w:p>
        </w:tc>
        <w:tc>
          <w:tcPr>
            <w:tcW w:w="426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Add to 30 μl</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Total</w:t>
            </w:r>
          </w:p>
        </w:tc>
        <w:tc>
          <w:tcPr>
            <w:tcW w:w="426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 μl</w:t>
            </w:r>
          </w:p>
        </w:tc>
      </w:tr>
    </w:tbl>
    <w:p>
      <w:pPr>
        <w:rPr>
          <w:rFonts w:ascii="Times New Roman" w:hAnsi="Times New Roman" w:cs="Times New Roman"/>
          <w:sz w:val="24"/>
          <w:szCs w:val="24"/>
        </w:rPr>
      </w:pPr>
    </w:p>
    <w:p>
      <w:pPr>
        <w:numPr>
          <w:ilvl w:val="0"/>
          <w:numId w:val="1"/>
        </w:numPr>
        <w:rPr>
          <w:rFonts w:ascii="Times New Roman" w:hAnsi="Times New Roman" w:cs="Times New Roman"/>
          <w:sz w:val="24"/>
          <w:szCs w:val="24"/>
        </w:rPr>
      </w:pPr>
      <w:r>
        <w:rPr>
          <w:rFonts w:ascii="Times New Roman" w:hAnsi="Times New Roman" w:cs="Times New Roman"/>
          <w:sz w:val="24"/>
          <w:szCs w:val="24"/>
        </w:rPr>
        <w:t>Set up the PCR instrument according to the following procedure</w:t>
      </w:r>
    </w:p>
    <w:tbl>
      <w:tblPr>
        <w:tblStyle w:val="5"/>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1"/>
        <w:gridCol w:w="2841"/>
        <w:gridCol w:w="284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2841" w:type="dxa"/>
            <w:tcBorders>
              <w:top w:val="single" w:color="auto" w:sz="12" w:space="0"/>
              <w:bottom w:val="single" w:color="auto" w:sz="8" w:space="0"/>
            </w:tcBorders>
          </w:tcPr>
          <w:p>
            <w:pPr>
              <w:ind w:left="120" w:hanging="120"/>
              <w:jc w:val="center"/>
              <w:rPr>
                <w:rFonts w:ascii="Times New Roman" w:hAnsi="Times New Roman" w:eastAsia="宋体" w:cs="Times New Roman"/>
                <w:b/>
                <w:bCs/>
                <w:kern w:val="0"/>
                <w:sz w:val="24"/>
                <w:szCs w:val="24"/>
              </w:rPr>
            </w:pPr>
            <w:bookmarkStart w:id="0" w:name="OLE_LINK1"/>
            <w:r>
              <w:rPr>
                <w:rFonts w:ascii="Times New Roman" w:hAnsi="Times New Roman" w:eastAsia="宋体" w:cs="Times New Roman"/>
                <w:b/>
                <w:bCs/>
                <w:kern w:val="0"/>
                <w:sz w:val="24"/>
                <w:szCs w:val="24"/>
              </w:rPr>
              <w:t>Temperature</w:t>
            </w:r>
          </w:p>
        </w:tc>
        <w:tc>
          <w:tcPr>
            <w:tcW w:w="2841" w:type="dxa"/>
            <w:tcBorders>
              <w:top w:val="single" w:color="auto" w:sz="12" w:space="0"/>
              <w:bottom w:val="single" w:color="auto" w:sz="8" w:space="0"/>
            </w:tcBorders>
          </w:tcPr>
          <w:p>
            <w:pPr>
              <w:ind w:left="120" w:hanging="120"/>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Time</w:t>
            </w:r>
          </w:p>
        </w:tc>
        <w:tc>
          <w:tcPr>
            <w:tcW w:w="2840" w:type="dxa"/>
            <w:tcBorders>
              <w:top w:val="single" w:color="auto" w:sz="12" w:space="0"/>
              <w:bottom w:val="single" w:color="auto" w:sz="8" w:space="0"/>
            </w:tcBorders>
          </w:tcPr>
          <w:p>
            <w:pPr>
              <w:ind w:left="120" w:hanging="120"/>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Cycle Number</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2841" w:type="dxa"/>
            <w:tcBorders>
              <w:top w:val="single" w:color="auto" w:sz="8" w:space="0"/>
            </w:tcBorders>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94 °C</w:t>
            </w:r>
          </w:p>
        </w:tc>
        <w:tc>
          <w:tcPr>
            <w:tcW w:w="2841" w:type="dxa"/>
            <w:tcBorders>
              <w:top w:val="single" w:color="auto" w:sz="8" w:space="0"/>
            </w:tcBorders>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 min</w:t>
            </w:r>
          </w:p>
        </w:tc>
        <w:tc>
          <w:tcPr>
            <w:tcW w:w="2840" w:type="dxa"/>
            <w:tcBorders>
              <w:top w:val="single" w:color="auto" w:sz="8" w:space="0"/>
            </w:tcBorders>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284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94 °C</w:t>
            </w:r>
          </w:p>
        </w:tc>
        <w:tc>
          <w:tcPr>
            <w:tcW w:w="284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 S</w:t>
            </w:r>
          </w:p>
        </w:tc>
        <w:tc>
          <w:tcPr>
            <w:tcW w:w="2840" w:type="dxa"/>
            <w:vMerge w:val="restart"/>
          </w:tcPr>
          <w:p>
            <w:pPr>
              <w:ind w:left="120" w:hanging="120"/>
              <w:jc w:val="center"/>
              <w:rPr>
                <w:rFonts w:ascii="Times New Roman" w:hAnsi="Times New Roman" w:eastAsia="宋体" w:cs="Times New Roman"/>
                <w:kern w:val="0"/>
                <w:sz w:val="24"/>
                <w:szCs w:val="24"/>
              </w:rPr>
            </w:pPr>
          </w:p>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84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56 °C</w:t>
            </w:r>
          </w:p>
        </w:tc>
        <w:tc>
          <w:tcPr>
            <w:tcW w:w="284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 S</w:t>
            </w:r>
          </w:p>
        </w:tc>
        <w:tc>
          <w:tcPr>
            <w:tcW w:w="2840" w:type="dxa"/>
            <w:vMerge w:val="continue"/>
          </w:tcPr>
          <w:p>
            <w:pPr>
              <w:ind w:left="120" w:hanging="120"/>
              <w:jc w:val="center"/>
              <w:rPr>
                <w:rFonts w:ascii="Times New Roman" w:hAnsi="Times New Roman" w:eastAsia="宋体" w:cs="Times New Roman"/>
                <w:kern w:val="0"/>
                <w:sz w:val="24"/>
                <w:szCs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284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72 °C</w:t>
            </w:r>
          </w:p>
        </w:tc>
        <w:tc>
          <w:tcPr>
            <w:tcW w:w="284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 S</w:t>
            </w:r>
          </w:p>
        </w:tc>
        <w:tc>
          <w:tcPr>
            <w:tcW w:w="2840" w:type="dxa"/>
            <w:vMerge w:val="continue"/>
          </w:tcPr>
          <w:p>
            <w:pPr>
              <w:ind w:left="120" w:hanging="120"/>
              <w:jc w:val="center"/>
              <w:rPr>
                <w:rFonts w:ascii="Times New Roman" w:hAnsi="Times New Roman" w:eastAsia="宋体" w:cs="Times New Roman"/>
                <w:kern w:val="0"/>
                <w:sz w:val="24"/>
                <w:szCs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84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72 °C</w:t>
            </w:r>
          </w:p>
        </w:tc>
        <w:tc>
          <w:tcPr>
            <w:tcW w:w="284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 min</w:t>
            </w:r>
          </w:p>
        </w:tc>
        <w:tc>
          <w:tcPr>
            <w:tcW w:w="2840"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84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 °C</w:t>
            </w:r>
          </w:p>
        </w:tc>
        <w:tc>
          <w:tcPr>
            <w:tcW w:w="284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hold</w:t>
            </w:r>
          </w:p>
        </w:tc>
        <w:tc>
          <w:tcPr>
            <w:tcW w:w="2840"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p>
        </w:tc>
      </w:tr>
      <w:bookmarkEnd w:id="0"/>
    </w:tbl>
    <w:p>
      <w:pPr>
        <w:rPr>
          <w:rFonts w:ascii="Times New Roman" w:hAnsi="Times New Roman" w:cs="Times New Roman"/>
          <w:sz w:val="24"/>
          <w:szCs w:val="24"/>
        </w:rPr>
      </w:pPr>
    </w:p>
    <w:p>
      <w:pPr>
        <w:pStyle w:val="7"/>
      </w:pPr>
      <w:r>
        <w:t>2.2.2. Second Round PCR Reaction</w:t>
      </w:r>
    </w:p>
    <w:p>
      <w:pPr>
        <w:pStyle w:val="7"/>
      </w:pPr>
      <w:r>
        <w:t>a. Add the reaction system to the PCR tubes</w:t>
      </w:r>
    </w:p>
    <w:tbl>
      <w:tblPr>
        <w:tblStyle w:val="5"/>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261"/>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top w:val="single" w:color="auto" w:sz="12" w:space="0"/>
              <w:bottom w:val="single" w:color="auto" w:sz="8" w:space="0"/>
            </w:tcBorders>
          </w:tcPr>
          <w:p>
            <w:pPr>
              <w:ind w:left="120" w:hanging="120"/>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Name</w:t>
            </w:r>
          </w:p>
        </w:tc>
        <w:tc>
          <w:tcPr>
            <w:tcW w:w="4261" w:type="dxa"/>
            <w:tcBorders>
              <w:top w:val="single" w:color="auto" w:sz="12" w:space="0"/>
              <w:bottom w:val="single" w:color="auto" w:sz="8" w:space="0"/>
            </w:tcBorders>
          </w:tcPr>
          <w:p>
            <w:pPr>
              <w:ind w:left="120" w:hanging="120"/>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Volume</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top w:val="single" w:color="auto" w:sz="8" w:space="0"/>
            </w:tcBorders>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2×Gflex PCR Buffer</w:t>
            </w:r>
          </w:p>
        </w:tc>
        <w:tc>
          <w:tcPr>
            <w:tcW w:w="4261" w:type="dxa"/>
            <w:tcBorders>
              <w:top w:val="single" w:color="auto" w:sz="8" w:space="0"/>
            </w:tcBorders>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15 μl</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Tks Gflex DNA Polymerase (1.25U/μl)</w:t>
            </w:r>
          </w:p>
        </w:tc>
        <w:tc>
          <w:tcPr>
            <w:tcW w:w="426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0.6 μl</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Adapter I5</w:t>
            </w:r>
          </w:p>
        </w:tc>
        <w:tc>
          <w:tcPr>
            <w:tcW w:w="426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 μl</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Adapter I7</w:t>
            </w:r>
          </w:p>
        </w:tc>
        <w:tc>
          <w:tcPr>
            <w:tcW w:w="426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 μl</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First round product</w:t>
            </w:r>
          </w:p>
        </w:tc>
        <w:tc>
          <w:tcPr>
            <w:tcW w:w="426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Take 50 ng</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H</w:t>
            </w:r>
            <w:r>
              <w:rPr>
                <w:rFonts w:ascii="Times New Roman" w:hAnsi="Times New Roman" w:eastAsia="宋体" w:cs="Times New Roman"/>
                <w:kern w:val="0"/>
                <w:sz w:val="24"/>
                <w:szCs w:val="24"/>
                <w:vertAlign w:val="subscript"/>
              </w:rPr>
              <w:t>2</w:t>
            </w:r>
            <w:r>
              <w:rPr>
                <w:rFonts w:ascii="Times New Roman" w:hAnsi="Times New Roman" w:eastAsia="宋体" w:cs="Times New Roman"/>
                <w:kern w:val="0"/>
                <w:sz w:val="24"/>
                <w:szCs w:val="24"/>
              </w:rPr>
              <w:t>O</w:t>
            </w:r>
          </w:p>
        </w:tc>
        <w:tc>
          <w:tcPr>
            <w:tcW w:w="426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Supplemented to 30 μl</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Total</w:t>
            </w:r>
          </w:p>
        </w:tc>
        <w:tc>
          <w:tcPr>
            <w:tcW w:w="426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 μl</w:t>
            </w:r>
          </w:p>
        </w:tc>
      </w:tr>
    </w:tbl>
    <w:p>
      <w:pPr>
        <w:rPr>
          <w:rFonts w:ascii="Times New Roman" w:hAnsi="Times New Roman" w:cs="Times New Roman"/>
          <w:sz w:val="24"/>
          <w:szCs w:val="24"/>
        </w:rPr>
      </w:pPr>
    </w:p>
    <w:p>
      <w:pPr>
        <w:pStyle w:val="7"/>
        <w:numPr>
          <w:ilvl w:val="0"/>
          <w:numId w:val="1"/>
        </w:numPr>
      </w:pPr>
      <w:r>
        <w:t>Set up the PCR instrument according to the following procedure</w:t>
      </w:r>
    </w:p>
    <w:tbl>
      <w:tblPr>
        <w:tblStyle w:val="5"/>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1"/>
        <w:gridCol w:w="2841"/>
        <w:gridCol w:w="284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2841" w:type="dxa"/>
            <w:tcBorders>
              <w:top w:val="single" w:color="auto" w:sz="12" w:space="0"/>
              <w:bottom w:val="single" w:color="auto" w:sz="8" w:space="0"/>
            </w:tcBorders>
          </w:tcPr>
          <w:p>
            <w:pPr>
              <w:ind w:left="120" w:hanging="120"/>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Temperature</w:t>
            </w:r>
          </w:p>
        </w:tc>
        <w:tc>
          <w:tcPr>
            <w:tcW w:w="2841" w:type="dxa"/>
            <w:tcBorders>
              <w:top w:val="single" w:color="auto" w:sz="12" w:space="0"/>
              <w:bottom w:val="single" w:color="auto" w:sz="8" w:space="0"/>
            </w:tcBorders>
          </w:tcPr>
          <w:p>
            <w:pPr>
              <w:ind w:left="120" w:hanging="120"/>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Time</w:t>
            </w:r>
          </w:p>
        </w:tc>
        <w:tc>
          <w:tcPr>
            <w:tcW w:w="2840" w:type="dxa"/>
            <w:tcBorders>
              <w:top w:val="single" w:color="auto" w:sz="12" w:space="0"/>
              <w:bottom w:val="single" w:color="auto" w:sz="8" w:space="0"/>
            </w:tcBorders>
          </w:tcPr>
          <w:p>
            <w:pPr>
              <w:ind w:left="120" w:hanging="120"/>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Cycle Number</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2841" w:type="dxa"/>
            <w:tcBorders>
              <w:top w:val="single" w:color="auto" w:sz="8" w:space="0"/>
            </w:tcBorders>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94 °C</w:t>
            </w:r>
          </w:p>
        </w:tc>
        <w:tc>
          <w:tcPr>
            <w:tcW w:w="2841" w:type="dxa"/>
            <w:tcBorders>
              <w:top w:val="single" w:color="auto" w:sz="8" w:space="0"/>
            </w:tcBorders>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 min</w:t>
            </w:r>
          </w:p>
        </w:tc>
        <w:tc>
          <w:tcPr>
            <w:tcW w:w="2840" w:type="dxa"/>
            <w:tcBorders>
              <w:top w:val="single" w:color="auto" w:sz="8" w:space="0"/>
            </w:tcBorders>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284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94 °C</w:t>
            </w:r>
          </w:p>
        </w:tc>
        <w:tc>
          <w:tcPr>
            <w:tcW w:w="284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 S</w:t>
            </w:r>
          </w:p>
        </w:tc>
        <w:tc>
          <w:tcPr>
            <w:tcW w:w="2840" w:type="dxa"/>
            <w:vMerge w:val="restart"/>
          </w:tcPr>
          <w:p>
            <w:pPr>
              <w:ind w:left="120" w:hanging="120"/>
              <w:jc w:val="center"/>
              <w:rPr>
                <w:rFonts w:ascii="Times New Roman" w:hAnsi="Times New Roman" w:eastAsia="宋体" w:cs="Times New Roman"/>
                <w:kern w:val="0"/>
                <w:sz w:val="24"/>
                <w:szCs w:val="24"/>
              </w:rPr>
            </w:pPr>
          </w:p>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84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56 °C</w:t>
            </w:r>
          </w:p>
        </w:tc>
        <w:tc>
          <w:tcPr>
            <w:tcW w:w="284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30 S</w:t>
            </w:r>
          </w:p>
        </w:tc>
        <w:tc>
          <w:tcPr>
            <w:tcW w:w="2840" w:type="dxa"/>
            <w:vMerge w:val="continue"/>
          </w:tcPr>
          <w:p>
            <w:pPr>
              <w:ind w:left="120" w:hanging="120"/>
              <w:jc w:val="center"/>
              <w:rPr>
                <w:rFonts w:ascii="Times New Roman" w:hAnsi="Times New Roman" w:eastAsia="宋体" w:cs="Times New Roman"/>
                <w:kern w:val="0"/>
                <w:sz w:val="24"/>
                <w:szCs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284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72 °C</w:t>
            </w:r>
          </w:p>
        </w:tc>
        <w:tc>
          <w:tcPr>
            <w:tcW w:w="284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20 S</w:t>
            </w:r>
          </w:p>
        </w:tc>
        <w:tc>
          <w:tcPr>
            <w:tcW w:w="2840" w:type="dxa"/>
            <w:vMerge w:val="continue"/>
          </w:tcPr>
          <w:p>
            <w:pPr>
              <w:ind w:left="120" w:hanging="120"/>
              <w:jc w:val="center"/>
              <w:rPr>
                <w:rFonts w:ascii="Times New Roman" w:hAnsi="Times New Roman" w:eastAsia="宋体" w:cs="Times New Roman"/>
                <w:kern w:val="0"/>
                <w:sz w:val="24"/>
                <w:szCs w:val="24"/>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84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72 °C</w:t>
            </w:r>
          </w:p>
        </w:tc>
        <w:tc>
          <w:tcPr>
            <w:tcW w:w="284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 min</w:t>
            </w:r>
          </w:p>
        </w:tc>
        <w:tc>
          <w:tcPr>
            <w:tcW w:w="2840"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284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4 °C</w:t>
            </w:r>
          </w:p>
        </w:tc>
        <w:tc>
          <w:tcPr>
            <w:tcW w:w="284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hold</w:t>
            </w:r>
          </w:p>
        </w:tc>
        <w:tc>
          <w:tcPr>
            <w:tcW w:w="2840"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p>
        </w:tc>
      </w:tr>
    </w:tbl>
    <w:p>
      <w:pPr>
        <w:rPr>
          <w:rFonts w:ascii="Times New Roman" w:hAnsi="Times New Roman" w:cs="Times New Roman"/>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2.3. Magnetic Beads Purification</w:t>
      </w:r>
    </w:p>
    <w:p>
      <w:pPr>
        <w:rPr>
          <w:rFonts w:ascii="Times New Roman" w:hAnsi="Times New Roman" w:cs="Times New Roman"/>
          <w:sz w:val="24"/>
          <w:szCs w:val="24"/>
        </w:rPr>
      </w:pPr>
      <w:r>
        <w:rPr>
          <w:rFonts w:ascii="Times New Roman" w:hAnsi="Times New Roman" w:cs="Times New Roman"/>
          <w:sz w:val="24"/>
          <w:szCs w:val="24"/>
        </w:rPr>
        <w:t>a. Add 20 μl fully mixed AMPure XP beads (beads: product = 0.8: 1) to the U-shaped plate, and then add the PCR products. Blow them slowly with the pipette gun for 10 times, mix well, and store at room temperature for 5 min.</w:t>
      </w:r>
    </w:p>
    <w:p>
      <w:pPr>
        <w:rPr>
          <w:rFonts w:ascii="Times New Roman" w:hAnsi="Times New Roman" w:cs="Times New Roman"/>
          <w:sz w:val="24"/>
          <w:szCs w:val="24"/>
        </w:rPr>
      </w:pPr>
      <w:r>
        <w:rPr>
          <w:rFonts w:ascii="Times New Roman" w:hAnsi="Times New Roman" w:cs="Times New Roman"/>
          <w:sz w:val="24"/>
          <w:szCs w:val="24"/>
        </w:rPr>
        <w:t>b. Place on the magnetic rack for 5 min to clear the supernatant and discard the upper clear.</w:t>
      </w:r>
    </w:p>
    <w:p>
      <w:pPr>
        <w:rPr>
          <w:rFonts w:ascii="Times New Roman" w:hAnsi="Times New Roman" w:cs="Times New Roman"/>
          <w:sz w:val="24"/>
          <w:szCs w:val="24"/>
        </w:rPr>
      </w:pPr>
      <w:r>
        <w:rPr>
          <w:rFonts w:ascii="Times New Roman" w:hAnsi="Times New Roman" w:cs="Times New Roman"/>
          <w:sz w:val="24"/>
          <w:szCs w:val="24"/>
        </w:rPr>
        <w:t>c. Add 200 μl of freshly 80% ethanol at room temperature for 30 s and discard the supernatant.</w:t>
      </w:r>
    </w:p>
    <w:p>
      <w:pPr>
        <w:rPr>
          <w:rFonts w:ascii="Times New Roman" w:hAnsi="Times New Roman" w:cs="Times New Roman"/>
          <w:sz w:val="24"/>
          <w:szCs w:val="24"/>
        </w:rPr>
      </w:pPr>
      <w:r>
        <w:rPr>
          <w:rFonts w:ascii="Times New Roman" w:hAnsi="Times New Roman" w:cs="Times New Roman"/>
          <w:sz w:val="24"/>
          <w:szCs w:val="24"/>
        </w:rPr>
        <w:t>d. Repeat the previous step and wash twice.</w:t>
      </w:r>
    </w:p>
    <w:p>
      <w:pPr>
        <w:rPr>
          <w:rFonts w:ascii="Times New Roman" w:hAnsi="Times New Roman" w:cs="Times New Roman"/>
          <w:sz w:val="24"/>
          <w:szCs w:val="24"/>
        </w:rPr>
      </w:pPr>
      <w:r>
        <w:rPr>
          <w:rFonts w:ascii="Times New Roman" w:hAnsi="Times New Roman" w:cs="Times New Roman"/>
          <w:sz w:val="24"/>
          <w:szCs w:val="24"/>
        </w:rPr>
        <w:t>e. Dry the beads at room temperature until there is no droplet residue (check whether there are droplets at the bottom of the tube with a 10μl pipette), and there is no reflection on the surface of the beads, remove the plate from the magnetic frame.</w:t>
      </w:r>
    </w:p>
    <w:p>
      <w:pPr>
        <w:rPr>
          <w:rFonts w:ascii="Times New Roman" w:hAnsi="Times New Roman" w:cs="Times New Roman"/>
          <w:sz w:val="24"/>
          <w:szCs w:val="24"/>
        </w:rPr>
      </w:pPr>
      <w:r>
        <w:rPr>
          <w:rFonts w:ascii="Times New Roman" w:hAnsi="Times New Roman" w:cs="Times New Roman"/>
          <w:sz w:val="24"/>
          <w:szCs w:val="24"/>
        </w:rPr>
        <w:t>f. Add 25 μl H2O for elution, blow 10 times, and mix thoroughly at room temperature for 2 min.</w:t>
      </w:r>
    </w:p>
    <w:p>
      <w:pPr>
        <w:rPr>
          <w:rFonts w:ascii="Times New Roman" w:hAnsi="Times New Roman" w:cs="Times New Roman"/>
          <w:sz w:val="24"/>
          <w:szCs w:val="24"/>
        </w:rPr>
      </w:pPr>
      <w:r>
        <w:rPr>
          <w:rFonts w:ascii="Times New Roman" w:hAnsi="Times New Roman" w:cs="Times New Roman"/>
          <w:sz w:val="24"/>
          <w:szCs w:val="24"/>
        </w:rPr>
        <w:t>g. Place the supernatant on the magnetic rack for 5 min until the supernatant is transparent and transfer 20 μl supernatant to a new PCR tube.</w:t>
      </w:r>
    </w:p>
    <w:p>
      <w:pPr>
        <w:rPr>
          <w:rFonts w:ascii="Times New Roman" w:hAnsi="Times New Roman" w:cs="Times New Roman"/>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3. Detection</w:t>
      </w:r>
    </w:p>
    <w:p>
      <w:pPr>
        <w:rPr>
          <w:rFonts w:ascii="Times New Roman" w:hAnsi="Times New Roman" w:cs="Times New Roman"/>
          <w:sz w:val="24"/>
          <w:szCs w:val="24"/>
        </w:rPr>
      </w:pPr>
      <w:r>
        <w:rPr>
          <w:rFonts w:ascii="Times New Roman" w:hAnsi="Times New Roman" w:cs="Times New Roman"/>
          <w:sz w:val="24"/>
          <w:szCs w:val="24"/>
        </w:rPr>
        <w:t>a. 5μl of purified secondary products were detected by agarose gel electrophoresis to detect whether there were bands and whether the bands were single or not.</w:t>
      </w:r>
    </w:p>
    <w:p>
      <w:pPr>
        <w:rPr>
          <w:rFonts w:ascii="Times New Roman" w:hAnsi="Times New Roman" w:cs="Times New Roman"/>
          <w:sz w:val="24"/>
          <w:szCs w:val="24"/>
        </w:rPr>
      </w:pPr>
      <w:r>
        <w:rPr>
          <w:rFonts w:ascii="Times New Roman" w:hAnsi="Times New Roman" w:cs="Times New Roman"/>
          <w:sz w:val="24"/>
          <w:szCs w:val="24"/>
        </w:rPr>
        <w:t>b. Take 1 μl of purified secondary product and detect the concentration by Qubit.</w:t>
      </w:r>
    </w:p>
    <w:p>
      <w:pPr>
        <w:rPr>
          <w:rFonts w:ascii="Times New Roman" w:hAnsi="Times New Roman" w:cs="Times New Roman"/>
          <w:sz w:val="24"/>
          <w:szCs w:val="24"/>
        </w:rPr>
      </w:pPr>
    </w:p>
    <w:tbl>
      <w:tblPr>
        <w:tblStyle w:val="5"/>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63"/>
        <w:gridCol w:w="2753"/>
        <w:gridCol w:w="3006"/>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Borders>
              <w:top w:val="single" w:color="auto" w:sz="12" w:space="0"/>
              <w:bottom w:val="single" w:color="auto" w:sz="8" w:space="0"/>
            </w:tcBorders>
          </w:tcPr>
          <w:p>
            <w:pPr>
              <w:ind w:left="120" w:hanging="120"/>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Sequence Type</w:t>
            </w:r>
          </w:p>
        </w:tc>
        <w:tc>
          <w:tcPr>
            <w:tcW w:w="2841" w:type="dxa"/>
            <w:tcBorders>
              <w:top w:val="single" w:color="auto" w:sz="12" w:space="0"/>
              <w:bottom w:val="single" w:color="auto" w:sz="8" w:space="0"/>
            </w:tcBorders>
          </w:tcPr>
          <w:p>
            <w:pPr>
              <w:ind w:left="120" w:hanging="120"/>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Primer</w:t>
            </w:r>
          </w:p>
        </w:tc>
        <w:tc>
          <w:tcPr>
            <w:tcW w:w="2841" w:type="dxa"/>
            <w:tcBorders>
              <w:top w:val="single" w:color="auto" w:sz="12" w:space="0"/>
              <w:bottom w:val="single" w:color="auto" w:sz="8" w:space="0"/>
            </w:tcBorders>
          </w:tcPr>
          <w:p>
            <w:pPr>
              <w:ind w:left="120" w:hanging="120"/>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Primer Sequence</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Borders>
              <w:top w:val="single" w:color="auto" w:sz="8" w:space="0"/>
            </w:tcBorders>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Bacteria 16S rRNA</w:t>
            </w:r>
          </w:p>
        </w:tc>
        <w:tc>
          <w:tcPr>
            <w:tcW w:w="2841" w:type="dxa"/>
            <w:tcBorders>
              <w:top w:val="single" w:color="auto" w:sz="8" w:space="0"/>
            </w:tcBorders>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343F</w:t>
            </w:r>
          </w:p>
        </w:tc>
        <w:tc>
          <w:tcPr>
            <w:tcW w:w="2841" w:type="dxa"/>
            <w:tcBorders>
              <w:top w:val="single" w:color="auto" w:sz="8" w:space="0"/>
            </w:tcBorders>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 TACGGRAGGCAGCAG -3'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V3-V4 region</w:t>
            </w:r>
          </w:p>
        </w:tc>
        <w:tc>
          <w:tcPr>
            <w:tcW w:w="284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798R</w:t>
            </w:r>
          </w:p>
        </w:tc>
        <w:tc>
          <w:tcPr>
            <w:tcW w:w="284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5'- AGGGTATCTAATCCT-3'</w:t>
            </w:r>
          </w:p>
        </w:tc>
      </w:tr>
    </w:tbl>
    <w:p>
      <w:pPr>
        <w:rPr>
          <w:rFonts w:ascii="Times New Roman" w:hAnsi="Times New Roman" w:cs="Times New Roman"/>
          <w:sz w:val="24"/>
          <w:szCs w:val="24"/>
        </w:rPr>
      </w:pP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SCFAs analysis</w:t>
      </w:r>
    </w:p>
    <w:p>
      <w:pPr>
        <w:rPr>
          <w:rFonts w:ascii="Times New Roman" w:hAnsi="Times New Roman" w:cs="Times New Roman"/>
          <w:b/>
          <w:bCs/>
          <w:sz w:val="24"/>
          <w:szCs w:val="24"/>
        </w:rPr>
      </w:pPr>
      <w:r>
        <w:rPr>
          <w:rFonts w:ascii="Times New Roman" w:hAnsi="Times New Roman" w:cs="Times New Roman"/>
          <w:b/>
          <w:bCs/>
          <w:sz w:val="24"/>
          <w:szCs w:val="24"/>
        </w:rPr>
        <w:t>1. Sample Collection and preservation</w:t>
      </w:r>
    </w:p>
    <w:p>
      <w:pPr>
        <w:rPr>
          <w:rFonts w:ascii="Times New Roman" w:hAnsi="Times New Roman" w:cs="Times New Roman"/>
          <w:sz w:val="24"/>
          <w:szCs w:val="24"/>
        </w:rPr>
      </w:pPr>
      <w:r>
        <w:rPr>
          <w:rFonts w:ascii="Times New Roman" w:hAnsi="Times New Roman" w:cs="Times New Roman"/>
          <w:sz w:val="24"/>
          <w:szCs w:val="24"/>
        </w:rPr>
        <w:t>Feces were frozen immediately after collection and stored at − 80 ° C until further analysis. The target metabolites were Acetic Acid, Propionic acid, Butyric Acid, Pentanoic acid, Hexanoic Acid, and Isobutyric acid acid) and Isovaleric acid.</w:t>
      </w:r>
    </w:p>
    <w:p>
      <w:pPr>
        <w:rPr>
          <w:rFonts w:ascii="Times New Roman" w:hAnsi="Times New Roman" w:cs="Times New Roman"/>
          <w:b/>
          <w:bCs/>
          <w:sz w:val="24"/>
          <w:szCs w:val="24"/>
        </w:rPr>
      </w:pPr>
      <w:r>
        <w:rPr>
          <w:rFonts w:ascii="Times New Roman" w:hAnsi="Times New Roman" w:cs="Times New Roman"/>
          <w:b/>
          <w:bCs/>
          <w:sz w:val="24"/>
          <w:szCs w:val="24"/>
        </w:rPr>
        <w:t>2. Sample pretreatment</w:t>
      </w:r>
    </w:p>
    <w:p>
      <w:pPr>
        <w:rPr>
          <w:rFonts w:ascii="Times New Roman" w:hAnsi="Times New Roman" w:cs="Times New Roman"/>
          <w:sz w:val="24"/>
          <w:szCs w:val="24"/>
        </w:rPr>
      </w:pPr>
      <w:r>
        <w:rPr>
          <w:rFonts w:ascii="Times New Roman" w:hAnsi="Times New Roman" w:cs="Times New Roman"/>
          <w:sz w:val="24"/>
          <w:szCs w:val="24"/>
        </w:rPr>
        <w:t>(1) Take an appropriate amount of sample, add 300 μL 50% acetone-water solution (v/v, containing internal standard [2H9]-Pentanoic acid, [2H11]-Hexanoic Acid) (precooled at 4℃);</w:t>
      </w:r>
    </w:p>
    <w:p>
      <w:pPr>
        <w:rPr>
          <w:rFonts w:ascii="Times New Roman" w:hAnsi="Times New Roman" w:cs="Times New Roman"/>
          <w:sz w:val="24"/>
          <w:szCs w:val="24"/>
        </w:rPr>
      </w:pPr>
      <w:r>
        <w:rPr>
          <w:rFonts w:ascii="Times New Roman" w:hAnsi="Times New Roman" w:cs="Times New Roman"/>
          <w:sz w:val="24"/>
          <w:szCs w:val="24"/>
        </w:rPr>
        <w:t>(2) The samples were ground for 3 min (the sample tray was precooled at -20℃) and extracted by ultrasonic for 10 min in an ice water bath.</w:t>
      </w:r>
    </w:p>
    <w:p>
      <w:pPr>
        <w:rPr>
          <w:rFonts w:ascii="Times New Roman" w:hAnsi="Times New Roman" w:cs="Times New Roman"/>
          <w:sz w:val="24"/>
          <w:szCs w:val="24"/>
        </w:rPr>
      </w:pPr>
      <w:r>
        <w:rPr>
          <w:rFonts w:ascii="Times New Roman" w:hAnsi="Times New Roman" w:cs="Times New Roman"/>
          <w:sz w:val="24"/>
          <w:szCs w:val="24"/>
        </w:rPr>
        <w:t>(3) Centrifugation (10 min, 4℃, 12000 rpm), and the supernatant was diluted 5 times with 50% acetonitrile-water solution (V/V);</w:t>
      </w:r>
    </w:p>
    <w:p>
      <w:pPr>
        <w:rPr>
          <w:rFonts w:ascii="Times New Roman" w:hAnsi="Times New Roman" w:cs="Times New Roman"/>
          <w:sz w:val="24"/>
          <w:szCs w:val="24"/>
        </w:rPr>
      </w:pPr>
      <w:r>
        <w:rPr>
          <w:rFonts w:ascii="Times New Roman" w:hAnsi="Times New Roman" w:cs="Times New Roman"/>
          <w:sz w:val="24"/>
          <w:szCs w:val="24"/>
        </w:rPr>
        <w:t>(4) 80 μL of diluted supernatant was transferred to injection vials (bandwidth liner).</w:t>
      </w:r>
    </w:p>
    <w:p>
      <w:pPr>
        <w:rPr>
          <w:rFonts w:ascii="Times New Roman" w:hAnsi="Times New Roman" w:cs="Times New Roman"/>
          <w:b/>
          <w:bCs/>
          <w:sz w:val="24"/>
          <w:szCs w:val="24"/>
        </w:rPr>
      </w:pPr>
      <w:r>
        <w:rPr>
          <w:rFonts w:ascii="Times New Roman" w:hAnsi="Times New Roman" w:cs="Times New Roman"/>
          <w:b/>
          <w:bCs/>
          <w:sz w:val="24"/>
          <w:szCs w:val="24"/>
        </w:rPr>
        <w:t>3. Sample derivatization</w:t>
      </w:r>
    </w:p>
    <w:p>
      <w:pPr>
        <w:rPr>
          <w:rFonts w:ascii="Times New Roman" w:hAnsi="Times New Roman" w:cs="Times New Roman"/>
          <w:sz w:val="24"/>
          <w:szCs w:val="24"/>
        </w:rPr>
      </w:pPr>
      <w:r>
        <w:rPr>
          <w:rFonts w:ascii="Times New Roman" w:hAnsi="Times New Roman" w:cs="Times New Roman"/>
          <w:sz w:val="24"/>
          <w:szCs w:val="24"/>
        </w:rPr>
        <w:t>(1) Derivatization: 40 μL of 200mM 3-NPH (50% acetonitrile-aqueous solution, v/v) and 40 μL of 120mM EDC-6% pyridine (50% acetonitrile-aqueous solution, v/v) were added to the injection glass bottle containing the extract, and the reaction was carried out at 40 ° C for 30min.</w:t>
      </w:r>
    </w:p>
    <w:p>
      <w:pPr>
        <w:rPr>
          <w:rFonts w:ascii="Times New Roman" w:hAnsi="Times New Roman" w:cs="Times New Roman"/>
          <w:sz w:val="24"/>
          <w:szCs w:val="24"/>
        </w:rPr>
      </w:pPr>
      <w:r>
        <w:rPr>
          <w:rFonts w:ascii="Times New Roman" w:hAnsi="Times New Roman" w:cs="Times New Roman"/>
          <w:sz w:val="24"/>
          <w:szCs w:val="24"/>
        </w:rPr>
        <w:t>(2) After cooling on ice for 1min, 160μL of the supernatant was sucked by a syringe, filtered by a 0.22μm organic phase pinhole filter, transferred to a brown injection bottle, and stored at -80℃ until analysis.</w:t>
      </w:r>
    </w:p>
    <w:p>
      <w:pPr>
        <w:rPr>
          <w:rFonts w:ascii="Times New Roman" w:hAnsi="Times New Roman" w:cs="Times New Roman"/>
          <w:b/>
          <w:bCs/>
          <w:sz w:val="24"/>
          <w:szCs w:val="24"/>
        </w:rPr>
      </w:pPr>
      <w:r>
        <w:rPr>
          <w:rFonts w:ascii="Times New Roman" w:hAnsi="Times New Roman" w:cs="Times New Roman"/>
          <w:b/>
          <w:bCs/>
          <w:sz w:val="24"/>
          <w:szCs w:val="24"/>
        </w:rPr>
        <w:t>4. Derivatization of standards</w:t>
      </w:r>
    </w:p>
    <w:p>
      <w:pPr>
        <w:rPr>
          <w:rFonts w:ascii="Times New Roman" w:hAnsi="Times New Roman" w:cs="Times New Roman"/>
          <w:sz w:val="24"/>
          <w:szCs w:val="24"/>
        </w:rPr>
      </w:pPr>
      <w:r>
        <w:rPr>
          <w:rFonts w:ascii="Times New Roman" w:hAnsi="Times New Roman" w:cs="Times New Roman"/>
          <w:sz w:val="24"/>
          <w:szCs w:val="24"/>
        </w:rPr>
        <w:t>(1) Derivatization: Add 40 μL of 200mM 3-NPH (50% acetonitrile-aqueous solution, V/V) and 40 μL of 120mM EDC-6% pyridine (50% acetonitrile-aqueous solution, V/V) to 80μL of standard into the injection glass bottle, and react at 40℃ for 30min.</w:t>
      </w:r>
    </w:p>
    <w:p>
      <w:pPr>
        <w:rPr>
          <w:rFonts w:ascii="Times New Roman" w:hAnsi="Times New Roman" w:cs="Times New Roman"/>
          <w:sz w:val="24"/>
          <w:szCs w:val="24"/>
        </w:rPr>
      </w:pPr>
      <w:r>
        <w:rPr>
          <w:rFonts w:ascii="Times New Roman" w:hAnsi="Times New Roman" w:cs="Times New Roman"/>
          <w:sz w:val="24"/>
          <w:szCs w:val="24"/>
        </w:rPr>
        <w:t>(2) After cooling on ice for 1min, 160μL of the supernatant was sucked by a syringe, filtered through a 0.22μm organic phase pinhole filter, transferred to a brown injection bottle, and stored at -80℃ until analysis.</w:t>
      </w:r>
    </w:p>
    <w:p>
      <w:pPr>
        <w:rPr>
          <w:rFonts w:ascii="Times New Roman" w:hAnsi="Times New Roman" w:cs="Times New Roman"/>
          <w:sz w:val="24"/>
          <w:szCs w:val="24"/>
        </w:rPr>
      </w:pPr>
      <w:r>
        <w:rPr>
          <w:rFonts w:ascii="Times New Roman" w:hAnsi="Times New Roman" w:cs="Times New Roman"/>
          <w:sz w:val="24"/>
          <w:szCs w:val="24"/>
        </w:rPr>
        <w:t>Remarks: (1) All extraction reagents were precooled at -20 ° C before use. (2) Quality control samples (QC) were prepared by mixing the extracts of all samples in equal volume.</w:t>
      </w:r>
    </w:p>
    <w:p>
      <w:pPr>
        <w:rPr>
          <w:rFonts w:ascii="Times New Roman" w:hAnsi="Times New Roman" w:cs="Times New Roman"/>
          <w:b/>
          <w:bCs/>
          <w:sz w:val="24"/>
          <w:szCs w:val="24"/>
        </w:rPr>
      </w:pPr>
      <w:r>
        <w:rPr>
          <w:rFonts w:ascii="Times New Roman" w:hAnsi="Times New Roman" w:cs="Times New Roman"/>
          <w:b/>
          <w:bCs/>
          <w:sz w:val="24"/>
          <w:szCs w:val="24"/>
        </w:rPr>
        <w:t>5. Chromatography mass spectrometry method</w:t>
      </w:r>
    </w:p>
    <w:p>
      <w:pPr>
        <w:rPr>
          <w:rFonts w:ascii="Times New Roman" w:hAnsi="Times New Roman" w:cs="Times New Roman"/>
          <w:sz w:val="24"/>
          <w:szCs w:val="24"/>
        </w:rPr>
      </w:pPr>
      <w:r>
        <w:rPr>
          <w:rFonts w:ascii="Times New Roman" w:hAnsi="Times New Roman" w:cs="Times New Roman"/>
          <w:sz w:val="24"/>
          <w:szCs w:val="24"/>
        </w:rPr>
        <w:t>In this experiment, UPLC-ESI-MS/MS analysis method was used to qualitatively and quantitatively detect the target metabolites. The specific analysis conditions and methods were as follows:</w:t>
      </w:r>
    </w:p>
    <w:p>
      <w:pPr>
        <w:rPr>
          <w:rFonts w:ascii="Times New Roman" w:hAnsi="Times New Roman" w:cs="Times New Roman"/>
          <w:sz w:val="24"/>
          <w:szCs w:val="24"/>
        </w:rPr>
      </w:pPr>
      <w:r>
        <w:rPr>
          <w:rFonts w:ascii="Times New Roman" w:hAnsi="Times New Roman" w:cs="Times New Roman"/>
          <w:sz w:val="24"/>
          <w:szCs w:val="24"/>
        </w:rPr>
        <w:t>(1) Chromatographic conditions: injection volume: 2 μL; Flow rate: 0.4mL/min; Mobile phase: A(0.1% formic acid-aqueous solution), B(acetonitrile/methanol =2:1); Gradient Elution Procedures: 0 min A/B (80:20, V/V), 2 min A/B (80:20, V/V), 8min A/B (60:40, V/V), 8.1min A/B (5:95, V/V), 9.5 min A/B (5:95, V/V), 9.6 min A/B (80:20, V/V), 10 min A/B (80:20, V/V).</w:t>
      </w:r>
    </w:p>
    <w:p>
      <w:pPr>
        <w:rPr>
          <w:rFonts w:ascii="Times New Roman" w:hAnsi="Times New Roman" w:cs="Times New Roman"/>
          <w:sz w:val="24"/>
          <w:szCs w:val="24"/>
        </w:rPr>
      </w:pPr>
      <w:r>
        <w:rPr>
          <w:rFonts w:ascii="Times New Roman" w:hAnsi="Times New Roman" w:cs="Times New Roman"/>
          <w:sz w:val="24"/>
          <w:szCs w:val="24"/>
        </w:rPr>
        <w:t>(2) Mass spectrum conditions: curtain gas: 35(psi); collision-activated dissociation (CAD) parameters: medium; Positive ion spray voltage: 5500V; Negative ion spray voltage: -4500V; Ion source temperature: 450℃ column temperature: 40℃; Spray gas (Gas1):50(psi); Auxiliary heating gas (Gas2) : 60(psi).</w:t>
      </w:r>
    </w:p>
    <w:p>
      <w:pPr>
        <w:rPr>
          <w:rFonts w:ascii="Times New Roman" w:hAnsi="Times New Roman" w:cs="Times New Roman"/>
          <w:b/>
          <w:bCs/>
          <w:sz w:val="24"/>
          <w:szCs w:val="24"/>
        </w:rPr>
      </w:pPr>
      <w:r>
        <w:rPr>
          <w:rFonts w:ascii="Times New Roman" w:hAnsi="Times New Roman" w:cs="Times New Roman"/>
          <w:b/>
          <w:bCs/>
          <w:sz w:val="24"/>
          <w:szCs w:val="24"/>
        </w:rPr>
        <w:t>6. Qualitative and quantitative principles</w:t>
      </w:r>
    </w:p>
    <w:p>
      <w:pPr>
        <w:rPr>
          <w:rFonts w:ascii="Times New Roman" w:hAnsi="Times New Roman" w:cs="Times New Roman"/>
          <w:sz w:val="24"/>
          <w:szCs w:val="24"/>
        </w:rPr>
      </w:pPr>
      <w:r>
        <w:rPr>
          <w:rFonts w:ascii="Times New Roman" w:hAnsi="Times New Roman" w:cs="Times New Roman"/>
          <w:sz w:val="24"/>
          <w:szCs w:val="24"/>
        </w:rPr>
        <w:t>Metabolites were quantified using the multiple reaction detection (MRM) mode of triple quadrupole mass spectrometry. In MRM mode, the quadrupole first screens the precursor ions (parent ions) of the target substance, and excludes the ions corresponding to other molecular weight substances to preliminarily exclude interference. After the precursor ion is induced by the collision chamber, it breaks to form many fragment ions. The fragment ions are filtered through the triple quadrupole to select a required characteristic fragment ion, which eliminates the interference of non-target ions and makes the quantification more accurate and reproducible. The mass spectrometry data of different samples were obtained, and the peak area of all chromatographic peaks was integrated, and the chromatographic peaks of the same substance in different samples were integrated and corrected.</w:t>
      </w:r>
    </w:p>
    <w:p>
      <w:pPr>
        <w:rPr>
          <w:rFonts w:ascii="Times New Roman" w:hAnsi="Times New Roman" w:cs="Times New Roman"/>
          <w:sz w:val="24"/>
          <w:szCs w:val="24"/>
        </w:rPr>
      </w:pPr>
    </w:p>
    <w:p>
      <w:pPr>
        <w:numPr>
          <w:ilvl w:val="0"/>
          <w:numId w:val="2"/>
        </w:numPr>
        <w:rPr>
          <w:rFonts w:ascii="Times New Roman" w:hAnsi="Times New Roman" w:cs="Times New Roman"/>
          <w:b/>
          <w:bCs/>
          <w:sz w:val="24"/>
          <w:szCs w:val="24"/>
        </w:rPr>
      </w:pPr>
      <w:r>
        <w:rPr>
          <w:rFonts w:hint="eastAsia" w:ascii="Times New Roman" w:hAnsi="Times New Roman" w:cs="Times New Roman"/>
          <w:b/>
          <w:bCs/>
          <w:sz w:val="24"/>
          <w:szCs w:val="24"/>
        </w:rPr>
        <w:t>SCFAs analysis</w:t>
      </w:r>
      <w:r>
        <w:rPr>
          <w:rFonts w:hint="eastAsia" w:ascii="Times New Roman" w:hAnsi="Times New Roman" w:cs="Times New Roman"/>
          <w:b/>
          <w:bCs/>
          <w:sz w:val="24"/>
          <w:szCs w:val="24"/>
          <w:lang w:val="en-US" w:eastAsia="zh-CN"/>
        </w:rPr>
        <w:t xml:space="preserve"> </w:t>
      </w:r>
      <w:r>
        <w:rPr>
          <w:rFonts w:ascii="Times New Roman" w:hAnsi="Times New Roman" w:cs="Times New Roman"/>
          <w:b/>
          <w:bCs/>
          <w:sz w:val="24"/>
          <w:szCs w:val="24"/>
        </w:rPr>
        <w:t>Supplementary tables</w:t>
      </w:r>
    </w:p>
    <w:p>
      <w:pPr>
        <w:rPr>
          <w:rFonts w:ascii="Times New Roman" w:hAnsi="Times New Roman" w:cs="Times New Roman"/>
          <w:b/>
          <w:bCs/>
          <w:sz w:val="24"/>
          <w:szCs w:val="24"/>
        </w:rPr>
      </w:pPr>
      <w:r>
        <w:rPr>
          <w:rFonts w:ascii="Times New Roman" w:hAnsi="Times New Roman" w:cs="Times New Roman"/>
          <w:b/>
          <w:bCs/>
          <w:sz w:val="24"/>
          <w:szCs w:val="24"/>
        </w:rPr>
        <w:t>Standard and reagent information sheet</w:t>
      </w:r>
    </w:p>
    <w:tbl>
      <w:tblPr>
        <w:tblStyle w:val="5"/>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91"/>
        <w:gridCol w:w="1536"/>
        <w:gridCol w:w="1874"/>
        <w:gridCol w:w="1821"/>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Borders>
              <w:top w:val="single" w:color="auto" w:sz="12" w:space="0"/>
              <w:bottom w:val="single" w:color="auto" w:sz="8" w:space="0"/>
            </w:tcBorders>
          </w:tcPr>
          <w:p>
            <w:pPr>
              <w:ind w:left="120" w:hanging="120"/>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Reagent</w:t>
            </w:r>
          </w:p>
        </w:tc>
        <w:tc>
          <w:tcPr>
            <w:tcW w:w="1341" w:type="dxa"/>
            <w:tcBorders>
              <w:top w:val="single" w:color="auto" w:sz="12" w:space="0"/>
              <w:bottom w:val="single" w:color="auto" w:sz="8" w:space="0"/>
            </w:tcBorders>
          </w:tcPr>
          <w:p>
            <w:pPr>
              <w:ind w:left="120" w:hanging="120"/>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Specification</w:t>
            </w:r>
          </w:p>
        </w:tc>
        <w:tc>
          <w:tcPr>
            <w:tcW w:w="1963" w:type="dxa"/>
            <w:tcBorders>
              <w:top w:val="single" w:color="auto" w:sz="12" w:space="0"/>
              <w:bottom w:val="single" w:color="auto" w:sz="8" w:space="0"/>
            </w:tcBorders>
          </w:tcPr>
          <w:p>
            <w:pPr>
              <w:ind w:left="120" w:hanging="120"/>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Producers</w:t>
            </w:r>
          </w:p>
        </w:tc>
        <w:tc>
          <w:tcPr>
            <w:tcW w:w="1849" w:type="dxa"/>
            <w:tcBorders>
              <w:top w:val="single" w:color="auto" w:sz="12" w:space="0"/>
              <w:bottom w:val="single" w:color="auto" w:sz="8" w:space="0"/>
            </w:tcBorders>
          </w:tcPr>
          <w:p>
            <w:pPr>
              <w:ind w:left="120" w:hanging="120"/>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Cat.NO.</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Borders>
              <w:top w:val="single" w:color="auto" w:sz="8" w:space="0"/>
            </w:tcBorders>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Methanol</w:t>
            </w:r>
          </w:p>
        </w:tc>
        <w:tc>
          <w:tcPr>
            <w:tcW w:w="1341" w:type="dxa"/>
            <w:tcBorders>
              <w:top w:val="single" w:color="auto" w:sz="8" w:space="0"/>
            </w:tcBorders>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HPLC</w:t>
            </w:r>
          </w:p>
        </w:tc>
        <w:tc>
          <w:tcPr>
            <w:tcW w:w="1963" w:type="dxa"/>
            <w:tcBorders>
              <w:top w:val="single" w:color="auto" w:sz="8" w:space="0"/>
            </w:tcBorders>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Fisher</w:t>
            </w:r>
          </w:p>
        </w:tc>
        <w:tc>
          <w:tcPr>
            <w:tcW w:w="1849" w:type="dxa"/>
            <w:tcBorders>
              <w:top w:val="single" w:color="auto" w:sz="8" w:space="0"/>
            </w:tcBorders>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A452-4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Water</w:t>
            </w:r>
          </w:p>
        </w:tc>
        <w:tc>
          <w:tcPr>
            <w:tcW w:w="134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HPLC</w:t>
            </w:r>
          </w:p>
        </w:tc>
        <w:tc>
          <w:tcPr>
            <w:tcW w:w="1963"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WAHAHA</w:t>
            </w:r>
          </w:p>
        </w:tc>
        <w:tc>
          <w:tcPr>
            <w:tcW w:w="1849"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Formic Acid</w:t>
            </w:r>
          </w:p>
        </w:tc>
        <w:tc>
          <w:tcPr>
            <w:tcW w:w="134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HPLC</w:t>
            </w:r>
          </w:p>
        </w:tc>
        <w:tc>
          <w:tcPr>
            <w:tcW w:w="1963"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Fisher</w:t>
            </w:r>
          </w:p>
        </w:tc>
        <w:tc>
          <w:tcPr>
            <w:tcW w:w="1849"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A452-4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Acetonitrile</w:t>
            </w:r>
          </w:p>
        </w:tc>
        <w:tc>
          <w:tcPr>
            <w:tcW w:w="134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HPLC</w:t>
            </w:r>
          </w:p>
        </w:tc>
        <w:tc>
          <w:tcPr>
            <w:tcW w:w="1963"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Fisher</w:t>
            </w:r>
          </w:p>
        </w:tc>
        <w:tc>
          <w:tcPr>
            <w:tcW w:w="1849"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A998-4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ab/>
            </w:r>
            <w:r>
              <w:rPr>
                <w:rFonts w:ascii="Times New Roman" w:hAnsi="Times New Roman" w:eastAsia="宋体" w:cs="Times New Roman"/>
                <w:kern w:val="0"/>
                <w:sz w:val="24"/>
                <w:szCs w:val="24"/>
              </w:rPr>
              <w:t>(3-Nitrophenyl)hydrazine</w:t>
            </w:r>
          </w:p>
        </w:tc>
        <w:tc>
          <w:tcPr>
            <w:tcW w:w="134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HPLC</w:t>
            </w:r>
          </w:p>
        </w:tc>
        <w:tc>
          <w:tcPr>
            <w:tcW w:w="1963"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Sigma</w:t>
            </w:r>
          </w:p>
        </w:tc>
        <w:tc>
          <w:tcPr>
            <w:tcW w:w="1849"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N21804-25g</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N- (3-dimethylaminopropyl) -N '-ethylcarbodiimide hydrochloride</w:t>
            </w:r>
          </w:p>
        </w:tc>
        <w:tc>
          <w:tcPr>
            <w:tcW w:w="1341"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HPLC</w:t>
            </w:r>
          </w:p>
        </w:tc>
        <w:tc>
          <w:tcPr>
            <w:tcW w:w="1963"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Aladdin</w:t>
            </w:r>
          </w:p>
        </w:tc>
        <w:tc>
          <w:tcPr>
            <w:tcW w:w="1849"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E106172-100g</w:t>
            </w:r>
          </w:p>
        </w:tc>
      </w:tr>
    </w:tbl>
    <w:p>
      <w:pPr>
        <w:rPr>
          <w:rFonts w:ascii="Times New Roman" w:hAnsi="Times New Roman" w:cs="Times New Roman"/>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Instrument Information sheet</w:t>
      </w:r>
    </w:p>
    <w:tbl>
      <w:tblPr>
        <w:tblStyle w:val="5"/>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3080"/>
        <w:gridCol w:w="260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Borders>
              <w:top w:val="single" w:color="auto" w:sz="12" w:space="0"/>
              <w:bottom w:val="single" w:color="auto" w:sz="8" w:space="0"/>
            </w:tcBorders>
          </w:tcPr>
          <w:p>
            <w:pPr>
              <w:ind w:left="120" w:hanging="120"/>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Instrument Name</w:t>
            </w:r>
          </w:p>
        </w:tc>
        <w:tc>
          <w:tcPr>
            <w:tcW w:w="3080" w:type="dxa"/>
            <w:tcBorders>
              <w:top w:val="single" w:color="auto" w:sz="12" w:space="0"/>
              <w:bottom w:val="single" w:color="auto" w:sz="8" w:space="0"/>
            </w:tcBorders>
          </w:tcPr>
          <w:p>
            <w:pPr>
              <w:ind w:left="120" w:hanging="120"/>
              <w:jc w:val="center"/>
              <w:rPr>
                <w:rFonts w:ascii="Times New Roman" w:hAnsi="Times New Roman" w:eastAsia="宋体" w:cs="Times New Roman"/>
                <w:b/>
                <w:bCs/>
                <w:kern w:val="0"/>
                <w:sz w:val="24"/>
                <w:szCs w:val="24"/>
              </w:rPr>
            </w:pPr>
            <w:r>
              <w:rPr>
                <w:rFonts w:ascii="Times New Roman" w:hAnsi="Times New Roman" w:eastAsia="宋体" w:cs="Times New Roman"/>
                <w:b/>
                <w:bCs/>
                <w:kern w:val="0"/>
                <w:sz w:val="24"/>
                <w:szCs w:val="24"/>
              </w:rPr>
              <w:t>Producers</w:t>
            </w:r>
          </w:p>
        </w:tc>
        <w:tc>
          <w:tcPr>
            <w:tcW w:w="2602" w:type="dxa"/>
            <w:tcBorders>
              <w:top w:val="single" w:color="auto" w:sz="12" w:space="0"/>
              <w:bottom w:val="single" w:color="auto" w:sz="8" w:space="0"/>
            </w:tcBorders>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Cat.NO.</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Borders>
              <w:top w:val="single" w:color="auto" w:sz="8" w:space="0"/>
            </w:tcBorders>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Grinding Mill</w:t>
            </w:r>
          </w:p>
        </w:tc>
        <w:tc>
          <w:tcPr>
            <w:tcW w:w="3080" w:type="dxa"/>
            <w:tcBorders>
              <w:top w:val="single" w:color="auto" w:sz="8" w:space="0"/>
            </w:tcBorders>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Wonbio</w:t>
            </w:r>
          </w:p>
        </w:tc>
        <w:tc>
          <w:tcPr>
            <w:tcW w:w="2602" w:type="dxa"/>
            <w:tcBorders>
              <w:top w:val="single" w:color="auto" w:sz="8" w:space="0"/>
            </w:tcBorders>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Wonbio-E</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Ultrasonic Cleaners</w:t>
            </w:r>
          </w:p>
        </w:tc>
        <w:tc>
          <w:tcPr>
            <w:tcW w:w="3080"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FUYANG</w:t>
            </w:r>
          </w:p>
        </w:tc>
        <w:tc>
          <w:tcPr>
            <w:tcW w:w="2602"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F-060SD</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Water Bath</w:t>
            </w:r>
          </w:p>
        </w:tc>
        <w:tc>
          <w:tcPr>
            <w:tcW w:w="3080"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Shanghai Kexin </w:t>
            </w:r>
          </w:p>
        </w:tc>
        <w:tc>
          <w:tcPr>
            <w:tcW w:w="2602"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HMTD203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Vortex Oscillator</w:t>
            </w:r>
          </w:p>
        </w:tc>
        <w:tc>
          <w:tcPr>
            <w:tcW w:w="3080" w:type="dxa"/>
          </w:tcPr>
          <w:p>
            <w:pPr>
              <w:ind w:left="120" w:hanging="120"/>
              <w:jc w:val="center"/>
              <w:rPr>
                <w:rFonts w:ascii="Times New Roman" w:hAnsi="Times New Roman" w:eastAsia="宋体" w:cs="Times New Roman"/>
                <w:kern w:val="0"/>
                <w:sz w:val="24"/>
                <w:szCs w:val="24"/>
              </w:rPr>
            </w:pPr>
          </w:p>
        </w:tc>
        <w:tc>
          <w:tcPr>
            <w:tcW w:w="2602"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TYXH-I</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Centrifuge</w:t>
            </w:r>
          </w:p>
        </w:tc>
        <w:tc>
          <w:tcPr>
            <w:tcW w:w="3080"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Bioridge</w:t>
            </w:r>
          </w:p>
        </w:tc>
        <w:tc>
          <w:tcPr>
            <w:tcW w:w="2602"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TGL-16MS</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Mass Spectrograph</w:t>
            </w:r>
          </w:p>
        </w:tc>
        <w:tc>
          <w:tcPr>
            <w:tcW w:w="3080"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AB Sciex</w:t>
            </w:r>
          </w:p>
        </w:tc>
        <w:tc>
          <w:tcPr>
            <w:tcW w:w="2602"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AB Sciex Qtrap 5500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Liquid Chromatograph</w:t>
            </w:r>
          </w:p>
        </w:tc>
        <w:tc>
          <w:tcPr>
            <w:tcW w:w="3080"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SHIMADZU</w:t>
            </w:r>
          </w:p>
        </w:tc>
        <w:tc>
          <w:tcPr>
            <w:tcW w:w="2602"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Nexera UHPLC LC-30A</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Chromatographic Column</w:t>
            </w:r>
          </w:p>
        </w:tc>
        <w:tc>
          <w:tcPr>
            <w:tcW w:w="3080"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Waters</w:t>
            </w:r>
          </w:p>
        </w:tc>
        <w:tc>
          <w:tcPr>
            <w:tcW w:w="2602" w:type="dxa"/>
          </w:tcPr>
          <w:p>
            <w:pPr>
              <w:ind w:left="120" w:hanging="120"/>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ACQUITY UPLC BEH C18 (100*2.1 mm,1.7 μm)</w:t>
            </w:r>
          </w:p>
        </w:tc>
      </w:tr>
    </w:tbl>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hint="eastAsia" w:ascii="Times New Roman" w:hAnsi="Times New Roman" w:cs="Times New Roman" w:eastAsiaTheme="minorEastAsia"/>
          <w:sz w:val="24"/>
          <w:szCs w:val="24"/>
          <w:lang w:val="en-US" w:eastAsia="zh-CN"/>
        </w:rPr>
      </w:pPr>
      <w:r>
        <w:rPr>
          <w:rFonts w:ascii="Times New Roman" w:hAnsi="Times New Roman" w:cs="Times New Roman"/>
          <w:b/>
          <w:bCs/>
          <w:sz w:val="24"/>
          <w:szCs w:val="24"/>
        </w:rPr>
        <w:t>Histopathological scores</w:t>
      </w:r>
      <w:r>
        <w:rPr>
          <w:rFonts w:hint="eastAsia" w:ascii="Times New Roman" w:hAnsi="Times New Roman" w:cs="Times New Roman"/>
          <w:b/>
          <w:bCs/>
          <w:sz w:val="24"/>
          <w:szCs w:val="24"/>
          <w:lang w:val="en-US" w:eastAsia="zh-CN"/>
        </w:rPr>
        <w:t xml:space="preserve"> Supplementary tables</w:t>
      </w:r>
    </w:p>
    <w:p>
      <w:pPr>
        <w:rPr>
          <w:rFonts w:ascii="Times New Roman" w:hAnsi="Times New Roman" w:cs="Times New Roman"/>
          <w:b/>
          <w:bCs/>
          <w:sz w:val="24"/>
          <w:szCs w:val="24"/>
        </w:rPr>
      </w:pPr>
      <w:r>
        <w:rPr>
          <w:rFonts w:ascii="Times New Roman" w:hAnsi="Times New Roman" w:cs="Times New Roman"/>
          <w:b/>
          <w:bCs/>
          <w:sz w:val="24"/>
          <w:szCs w:val="24"/>
        </w:rPr>
        <w:t>Table</w:t>
      </w:r>
      <w:r>
        <w:rPr>
          <w:rFonts w:hint="eastAsia" w:ascii="Times New Roman" w:hAnsi="Times New Roman" w:cs="Times New Roman"/>
          <w:b/>
          <w:bCs/>
          <w:sz w:val="24"/>
          <w:szCs w:val="24"/>
          <w:lang w:val="en-US" w:eastAsia="zh-CN"/>
        </w:rPr>
        <w:t xml:space="preserve"> 1</w:t>
      </w:r>
      <w:r>
        <w:rPr>
          <w:rFonts w:ascii="Times New Roman" w:hAnsi="Times New Roman" w:cs="Times New Roman"/>
          <w:b/>
          <w:bCs/>
          <w:sz w:val="24"/>
          <w:szCs w:val="24"/>
        </w:rPr>
        <w:t xml:space="preserve"> </w:t>
      </w:r>
      <w:r>
        <w:rPr>
          <w:rFonts w:ascii="Times New Roman" w:hAnsi="Times New Roman" w:cs="Times New Roman"/>
          <w:b/>
          <w:bCs/>
          <w:sz w:val="24"/>
          <w:szCs w:val="24"/>
        </w:rPr>
        <w:t>Histopathological scores</w:t>
      </w:r>
      <w:r>
        <w:rPr>
          <w:rFonts w:hint="eastAsia" w:ascii="Times New Roman" w:hAnsi="Times New Roman" w:cs="Times New Roman"/>
          <w:b/>
          <w:bCs/>
          <w:sz w:val="24"/>
          <w:szCs w:val="24"/>
          <w:lang w:val="en-US" w:eastAsia="zh-CN"/>
        </w:rPr>
        <w:t xml:space="preserve"> </w:t>
      </w:r>
    </w:p>
    <w:tbl>
      <w:tblPr>
        <w:tblStyle w:val="4"/>
        <w:tblW w:w="0" w:type="auto"/>
        <w:jc w:val="center"/>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5"/>
        <w:gridCol w:w="2924"/>
        <w:gridCol w:w="2195"/>
        <w:gridCol w:w="1681"/>
        <w:gridCol w:w="937"/>
      </w:tblGrid>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000000" w:sz="12" w:space="0"/>
              <w:bottom w:val="single" w:color="000000" w:sz="8" w:space="0"/>
            </w:tcBorders>
            <w:noWrap/>
            <w:vAlign w:val="center"/>
          </w:tcPr>
          <w:p>
            <w:pPr>
              <w:spacing w:line="200" w:lineRule="exact"/>
              <w:ind w:left="80" w:hanging="80"/>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Score</w:t>
            </w:r>
          </w:p>
        </w:tc>
        <w:tc>
          <w:tcPr>
            <w:tcW w:w="0" w:type="auto"/>
            <w:tcBorders>
              <w:top w:val="single" w:color="000000" w:sz="12" w:space="0"/>
              <w:bottom w:val="single" w:color="000000" w:sz="8" w:space="0"/>
            </w:tcBorders>
            <w:vAlign w:val="center"/>
          </w:tcPr>
          <w:p>
            <w:pPr>
              <w:spacing w:line="200" w:lineRule="exact"/>
              <w:ind w:left="80" w:hanging="80"/>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lang w:val="zh-CN"/>
                <w14:textFill>
                  <w14:solidFill>
                    <w14:schemeClr w14:val="tx1"/>
                  </w14:solidFill>
                </w14:textFill>
              </w:rPr>
              <w:t>Inflammation</w:t>
            </w:r>
          </w:p>
        </w:tc>
        <w:tc>
          <w:tcPr>
            <w:tcW w:w="0" w:type="auto"/>
            <w:tcBorders>
              <w:top w:val="single" w:color="000000" w:sz="12" w:space="0"/>
              <w:bottom w:val="single" w:color="000000" w:sz="8" w:space="0"/>
            </w:tcBorders>
            <w:vAlign w:val="center"/>
          </w:tcPr>
          <w:p>
            <w:pPr>
              <w:spacing w:line="200" w:lineRule="exact"/>
              <w:ind w:left="80" w:hanging="80"/>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lang w:val="zh-CN"/>
                <w14:textFill>
                  <w14:solidFill>
                    <w14:schemeClr w14:val="tx1"/>
                  </w14:solidFill>
                </w14:textFill>
              </w:rPr>
              <w:t>Crypt Damage</w:t>
            </w:r>
          </w:p>
        </w:tc>
        <w:tc>
          <w:tcPr>
            <w:tcW w:w="0" w:type="auto"/>
            <w:tcBorders>
              <w:top w:val="single" w:color="000000" w:sz="12" w:space="0"/>
              <w:bottom w:val="single" w:color="000000" w:sz="8" w:space="0"/>
            </w:tcBorders>
            <w:vAlign w:val="center"/>
          </w:tcPr>
          <w:p>
            <w:pPr>
              <w:spacing w:line="200" w:lineRule="exact"/>
              <w:ind w:left="80" w:hanging="80"/>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lang w:val="zh-CN"/>
                <w14:textFill>
                  <w14:solidFill>
                    <w14:schemeClr w14:val="tx1"/>
                  </w14:solidFill>
                </w14:textFill>
              </w:rPr>
              <w:t>Ulceration</w:t>
            </w:r>
          </w:p>
        </w:tc>
        <w:tc>
          <w:tcPr>
            <w:tcW w:w="0" w:type="auto"/>
            <w:tcBorders>
              <w:top w:val="single" w:color="000000" w:sz="12" w:space="0"/>
              <w:bottom w:val="single" w:color="000000" w:sz="8" w:space="0"/>
            </w:tcBorders>
            <w:vAlign w:val="center"/>
          </w:tcPr>
          <w:p>
            <w:pPr>
              <w:spacing w:line="200" w:lineRule="exact"/>
              <w:ind w:left="80" w:hanging="80"/>
              <w:jc w:val="center"/>
              <w:rPr>
                <w:rFonts w:ascii="Times New Roman" w:hAnsi="Times New Roman" w:cs="Times New Roman"/>
                <w:b/>
                <w:bCs/>
                <w:color w:val="000000" w:themeColor="text1"/>
                <w:sz w:val="24"/>
                <w:szCs w:val="24"/>
                <w:lang w:val="zh-CN"/>
                <w14:textFill>
                  <w14:solidFill>
                    <w14:schemeClr w14:val="tx1"/>
                  </w14:solidFill>
                </w14:textFill>
              </w:rPr>
            </w:pPr>
            <w:r>
              <w:rPr>
                <w:rFonts w:ascii="Times New Roman" w:hAnsi="Times New Roman" w:cs="Times New Roman"/>
                <w:b/>
                <w:bCs/>
                <w:color w:val="000000" w:themeColor="text1"/>
                <w:sz w:val="24"/>
                <w:szCs w:val="24"/>
                <w:lang w:val="zh-CN"/>
                <w14:textFill>
                  <w14:solidFill>
                    <w14:schemeClr w14:val="tx1"/>
                  </w14:solidFill>
                </w14:textFill>
              </w:rPr>
              <w:t>Edema</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0" w:type="auto"/>
            <w:tcBorders>
              <w:top w:val="single" w:color="000000" w:sz="8" w:space="0"/>
            </w:tcBorders>
            <w:noWrap/>
            <w:vAlign w:val="center"/>
          </w:tcPr>
          <w:p>
            <w:pPr>
              <w:snapToGrid w:val="0"/>
              <w:ind w:left="80" w:hanging="8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zh-CN"/>
                <w14:textFill>
                  <w14:solidFill>
                    <w14:schemeClr w14:val="tx1"/>
                  </w14:solidFill>
                </w14:textFill>
              </w:rPr>
              <w:t>0</w:t>
            </w:r>
          </w:p>
        </w:tc>
        <w:tc>
          <w:tcPr>
            <w:tcW w:w="0" w:type="auto"/>
            <w:tcBorders>
              <w:top w:val="single" w:color="000000" w:sz="8" w:space="0"/>
            </w:tcBorders>
            <w:vAlign w:val="center"/>
          </w:tcPr>
          <w:p>
            <w:pPr>
              <w:pStyle w:val="8"/>
              <w:snapToGrid w:val="0"/>
              <w:spacing w:line="240" w:lineRule="auto"/>
              <w:ind w:left="120" w:hanging="120"/>
              <w:jc w:val="center"/>
              <w:rPr>
                <w:color w:val="000000" w:themeColor="text1"/>
                <w:sz w:val="24"/>
                <w:szCs w:val="24"/>
                <w14:textFill>
                  <w14:solidFill>
                    <w14:schemeClr w14:val="tx1"/>
                  </w14:solidFill>
                </w14:textFill>
              </w:rPr>
            </w:pPr>
            <w:r>
              <w:rPr>
                <w:color w:val="000000" w:themeColor="text1"/>
                <w:sz w:val="24"/>
                <w:szCs w:val="24"/>
                <w:lang w:val="zh-CN"/>
                <w14:textFill>
                  <w14:solidFill>
                    <w14:schemeClr w14:val="tx1"/>
                  </w14:solidFill>
                </w14:textFill>
              </w:rPr>
              <w:t>No infiltrate</w:t>
            </w:r>
          </w:p>
        </w:tc>
        <w:tc>
          <w:tcPr>
            <w:tcW w:w="0" w:type="auto"/>
            <w:tcBorders>
              <w:top w:val="single" w:color="000000" w:sz="8" w:space="0"/>
            </w:tcBorders>
            <w:vAlign w:val="center"/>
          </w:tcPr>
          <w:p>
            <w:pPr>
              <w:pStyle w:val="8"/>
              <w:snapToGrid w:val="0"/>
              <w:spacing w:line="240" w:lineRule="auto"/>
              <w:ind w:left="120" w:hanging="120"/>
              <w:jc w:val="center"/>
              <w:rPr>
                <w:color w:val="000000" w:themeColor="text1"/>
                <w:sz w:val="24"/>
                <w:szCs w:val="24"/>
                <w14:textFill>
                  <w14:solidFill>
                    <w14:schemeClr w14:val="tx1"/>
                  </w14:solidFill>
                </w14:textFill>
              </w:rPr>
            </w:pPr>
            <w:r>
              <w:rPr>
                <w:color w:val="000000" w:themeColor="text1"/>
                <w:sz w:val="24"/>
                <w:szCs w:val="24"/>
                <w:lang w:val="zh-CN"/>
                <w14:textFill>
                  <w14:solidFill>
                    <w14:schemeClr w14:val="tx1"/>
                  </w14:solidFill>
                </w14:textFill>
              </w:rPr>
              <w:t>None</w:t>
            </w:r>
          </w:p>
        </w:tc>
        <w:tc>
          <w:tcPr>
            <w:tcW w:w="0" w:type="auto"/>
            <w:tcBorders>
              <w:top w:val="single" w:color="000000" w:sz="8" w:space="0"/>
            </w:tcBorders>
            <w:vAlign w:val="center"/>
          </w:tcPr>
          <w:p>
            <w:pPr>
              <w:pStyle w:val="8"/>
              <w:snapToGrid w:val="0"/>
              <w:spacing w:line="240" w:lineRule="auto"/>
              <w:ind w:left="120" w:hanging="120"/>
              <w:jc w:val="center"/>
              <w:rPr>
                <w:color w:val="000000" w:themeColor="text1"/>
                <w:sz w:val="24"/>
                <w:szCs w:val="24"/>
                <w14:textFill>
                  <w14:solidFill>
                    <w14:schemeClr w14:val="tx1"/>
                  </w14:solidFill>
                </w14:textFill>
              </w:rPr>
            </w:pPr>
            <w:r>
              <w:rPr>
                <w:color w:val="000000" w:themeColor="text1"/>
                <w:sz w:val="24"/>
                <w:szCs w:val="24"/>
                <w:lang w:val="zh-CN"/>
                <w14:textFill>
                  <w14:solidFill>
                    <w14:schemeClr w14:val="tx1"/>
                  </w14:solidFill>
                </w14:textFill>
              </w:rPr>
              <w:t>None</w:t>
            </w:r>
          </w:p>
        </w:tc>
        <w:tc>
          <w:tcPr>
            <w:tcW w:w="0" w:type="auto"/>
            <w:tcBorders>
              <w:top w:val="single" w:color="000000" w:sz="8" w:space="0"/>
            </w:tcBorders>
            <w:vAlign w:val="center"/>
          </w:tcPr>
          <w:p>
            <w:pPr>
              <w:pStyle w:val="8"/>
              <w:snapToGrid w:val="0"/>
              <w:spacing w:line="240" w:lineRule="auto"/>
              <w:ind w:left="120" w:hanging="120"/>
              <w:jc w:val="center"/>
              <w:rPr>
                <w:color w:val="000000" w:themeColor="text1"/>
                <w:sz w:val="24"/>
                <w:szCs w:val="24"/>
                <w:lang w:val="zh-CN"/>
                <w14:textFill>
                  <w14:solidFill>
                    <w14:schemeClr w14:val="tx1"/>
                  </w14:solidFill>
                </w14:textFill>
              </w:rPr>
            </w:pPr>
            <w:r>
              <w:rPr>
                <w:color w:val="000000" w:themeColor="text1"/>
                <w:sz w:val="24"/>
                <w:szCs w:val="24"/>
                <w:lang w:val="zh-CN"/>
                <w14:textFill>
                  <w14:solidFill>
                    <w14:schemeClr w14:val="tx1"/>
                  </w14:solidFill>
                </w14:textFill>
              </w:rPr>
              <w:t>None</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noWrap/>
            <w:vAlign w:val="center"/>
          </w:tcPr>
          <w:p>
            <w:pPr>
              <w:snapToGrid w:val="0"/>
              <w:ind w:left="80" w:hanging="8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zh-CN"/>
                <w14:textFill>
                  <w14:solidFill>
                    <w14:schemeClr w14:val="tx1"/>
                  </w14:solidFill>
                </w14:textFill>
              </w:rPr>
              <w:t>1</w:t>
            </w:r>
          </w:p>
        </w:tc>
        <w:tc>
          <w:tcPr>
            <w:tcW w:w="0" w:type="auto"/>
            <w:vAlign w:val="center"/>
          </w:tcPr>
          <w:p>
            <w:pPr>
              <w:pStyle w:val="8"/>
              <w:snapToGrid w:val="0"/>
              <w:spacing w:line="240" w:lineRule="auto"/>
              <w:ind w:left="120" w:hanging="12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Occasional cell limited to submucosa</w:t>
            </w:r>
          </w:p>
        </w:tc>
        <w:tc>
          <w:tcPr>
            <w:tcW w:w="0" w:type="auto"/>
            <w:vAlign w:val="center"/>
          </w:tcPr>
          <w:p>
            <w:pPr>
              <w:pStyle w:val="8"/>
              <w:snapToGrid w:val="0"/>
              <w:spacing w:line="240" w:lineRule="auto"/>
              <w:ind w:left="120" w:hanging="12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Some crypt damage, spaces between crypts</w:t>
            </w:r>
          </w:p>
        </w:tc>
        <w:tc>
          <w:tcPr>
            <w:tcW w:w="0" w:type="auto"/>
            <w:vAlign w:val="center"/>
          </w:tcPr>
          <w:p>
            <w:pPr>
              <w:pStyle w:val="8"/>
              <w:snapToGrid w:val="0"/>
              <w:spacing w:line="240" w:lineRule="auto"/>
              <w:ind w:left="120" w:hanging="120"/>
              <w:jc w:val="center"/>
              <w:rPr>
                <w:color w:val="000000" w:themeColor="text1"/>
                <w:sz w:val="24"/>
                <w:szCs w:val="24"/>
                <w14:textFill>
                  <w14:solidFill>
                    <w14:schemeClr w14:val="tx1"/>
                  </w14:solidFill>
                </w14:textFill>
              </w:rPr>
            </w:pPr>
            <w:r>
              <w:rPr>
                <w:color w:val="000000" w:themeColor="text1"/>
                <w:sz w:val="24"/>
                <w:szCs w:val="24"/>
                <w:lang w:val="zh-CN"/>
                <w14:textFill>
                  <w14:solidFill>
                    <w14:schemeClr w14:val="tx1"/>
                  </w14:solidFill>
                </w14:textFill>
              </w:rPr>
              <w:t>Small, focal ulcers</w:t>
            </w:r>
          </w:p>
        </w:tc>
        <w:tc>
          <w:tcPr>
            <w:tcW w:w="0" w:type="auto"/>
            <w:vAlign w:val="center"/>
          </w:tcPr>
          <w:p>
            <w:pPr>
              <w:pStyle w:val="8"/>
              <w:snapToGrid w:val="0"/>
              <w:spacing w:line="240" w:lineRule="auto"/>
              <w:ind w:left="120" w:hanging="120"/>
              <w:jc w:val="center"/>
              <w:rPr>
                <w:color w:val="000000" w:themeColor="text1"/>
                <w:sz w:val="24"/>
                <w:szCs w:val="24"/>
                <w:lang w:val="zh-CN"/>
                <w14:textFill>
                  <w14:solidFill>
                    <w14:schemeClr w14:val="tx1"/>
                  </w14:solidFill>
                </w14:textFill>
              </w:rPr>
            </w:pPr>
            <w:r>
              <w:rPr>
                <w:color w:val="000000" w:themeColor="text1"/>
                <w:sz w:val="24"/>
                <w:szCs w:val="24"/>
                <w:lang w:val="zh-CN"/>
                <w14:textFill>
                  <w14:solidFill>
                    <w14:schemeClr w14:val="tx1"/>
                  </w14:solidFill>
                </w14:textFill>
              </w:rPr>
              <w:t>Present</w:t>
            </w: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noWrap/>
            <w:vAlign w:val="center"/>
          </w:tcPr>
          <w:p>
            <w:pPr>
              <w:snapToGrid w:val="0"/>
              <w:ind w:left="80" w:hanging="8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zh-CN"/>
                <w14:textFill>
                  <w14:solidFill>
                    <w14:schemeClr w14:val="tx1"/>
                  </w14:solidFill>
                </w14:textFill>
              </w:rPr>
              <w:t>2</w:t>
            </w:r>
          </w:p>
        </w:tc>
        <w:tc>
          <w:tcPr>
            <w:tcW w:w="0" w:type="auto"/>
            <w:vAlign w:val="center"/>
          </w:tcPr>
          <w:p>
            <w:pPr>
              <w:pStyle w:val="8"/>
              <w:snapToGrid w:val="0"/>
              <w:spacing w:line="240" w:lineRule="auto"/>
              <w:ind w:left="120" w:hanging="12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Significant presence of inflammatory cells in submucosa, limited to focal areas</w:t>
            </w:r>
          </w:p>
        </w:tc>
        <w:tc>
          <w:tcPr>
            <w:tcW w:w="0" w:type="auto"/>
            <w:vAlign w:val="center"/>
          </w:tcPr>
          <w:p>
            <w:pPr>
              <w:pStyle w:val="8"/>
              <w:snapToGrid w:val="0"/>
              <w:spacing w:line="240" w:lineRule="auto"/>
              <w:ind w:left="120" w:hanging="12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Larger spaces between crypts, loss of goblet cells, some shortening of crypts</w:t>
            </w:r>
          </w:p>
        </w:tc>
        <w:tc>
          <w:tcPr>
            <w:tcW w:w="0" w:type="auto"/>
            <w:vAlign w:val="center"/>
          </w:tcPr>
          <w:p>
            <w:pPr>
              <w:pStyle w:val="8"/>
              <w:snapToGrid w:val="0"/>
              <w:spacing w:line="240" w:lineRule="auto"/>
              <w:ind w:left="120" w:hanging="120"/>
              <w:jc w:val="center"/>
              <w:rPr>
                <w:color w:val="000000" w:themeColor="text1"/>
                <w:sz w:val="24"/>
                <w:szCs w:val="24"/>
                <w14:textFill>
                  <w14:solidFill>
                    <w14:schemeClr w14:val="tx1"/>
                  </w14:solidFill>
                </w14:textFill>
              </w:rPr>
            </w:pPr>
            <w:r>
              <w:rPr>
                <w:color w:val="000000" w:themeColor="text1"/>
                <w:sz w:val="24"/>
                <w:szCs w:val="24"/>
                <w:lang w:val="zh-CN"/>
                <w14:textFill>
                  <w14:solidFill>
                    <w14:schemeClr w14:val="tx1"/>
                  </w14:solidFill>
                </w14:textFill>
              </w:rPr>
              <w:t>Frequent small ulcers</w:t>
            </w:r>
          </w:p>
        </w:tc>
        <w:tc>
          <w:tcPr>
            <w:tcW w:w="0" w:type="auto"/>
            <w:vAlign w:val="center"/>
          </w:tcPr>
          <w:p>
            <w:pPr>
              <w:pStyle w:val="8"/>
              <w:snapToGrid w:val="0"/>
              <w:spacing w:line="240" w:lineRule="auto"/>
              <w:ind w:left="120" w:hanging="120"/>
              <w:jc w:val="center"/>
              <w:rPr>
                <w:color w:val="000000" w:themeColor="text1"/>
                <w:sz w:val="24"/>
                <w:szCs w:val="24"/>
                <w:lang w:val="zh-CN"/>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noWrap/>
            <w:vAlign w:val="center"/>
          </w:tcPr>
          <w:p>
            <w:pPr>
              <w:snapToGrid w:val="0"/>
              <w:ind w:left="80" w:hanging="8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zh-CN"/>
                <w14:textFill>
                  <w14:solidFill>
                    <w14:schemeClr w14:val="tx1"/>
                  </w14:solidFill>
                </w14:textFill>
              </w:rPr>
              <w:t>3</w:t>
            </w:r>
          </w:p>
        </w:tc>
        <w:tc>
          <w:tcPr>
            <w:tcW w:w="0" w:type="auto"/>
            <w:vAlign w:val="center"/>
          </w:tcPr>
          <w:p>
            <w:pPr>
              <w:pStyle w:val="8"/>
              <w:snapToGrid w:val="0"/>
              <w:spacing w:line="240" w:lineRule="auto"/>
              <w:ind w:left="120" w:hanging="12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Infiltrate present in both submucosa and lamina propria, limited to focal areas</w:t>
            </w:r>
          </w:p>
        </w:tc>
        <w:tc>
          <w:tcPr>
            <w:tcW w:w="0" w:type="auto"/>
            <w:vAlign w:val="center"/>
          </w:tcPr>
          <w:p>
            <w:pPr>
              <w:pStyle w:val="8"/>
              <w:snapToGrid w:val="0"/>
              <w:spacing w:line="240" w:lineRule="auto"/>
              <w:ind w:left="120" w:hanging="12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Large areas without crypts, surrounded by normal crypts</w:t>
            </w:r>
          </w:p>
        </w:tc>
        <w:tc>
          <w:tcPr>
            <w:tcW w:w="0" w:type="auto"/>
            <w:vAlign w:val="center"/>
          </w:tcPr>
          <w:p>
            <w:pPr>
              <w:pStyle w:val="8"/>
              <w:snapToGrid w:val="0"/>
              <w:spacing w:line="240" w:lineRule="auto"/>
              <w:ind w:left="120" w:hanging="12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Large areas lacking surface epithelium</w:t>
            </w:r>
          </w:p>
        </w:tc>
        <w:tc>
          <w:tcPr>
            <w:tcW w:w="0" w:type="auto"/>
            <w:vAlign w:val="center"/>
          </w:tcPr>
          <w:p>
            <w:pPr>
              <w:pStyle w:val="8"/>
              <w:snapToGrid w:val="0"/>
              <w:spacing w:line="240" w:lineRule="auto"/>
              <w:ind w:left="120" w:hanging="120"/>
              <w:jc w:val="center"/>
              <w:rPr>
                <w:color w:val="000000" w:themeColor="text1"/>
                <w:sz w:val="24"/>
                <w:szCs w:val="24"/>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0" w:type="auto"/>
            <w:noWrap/>
            <w:vAlign w:val="center"/>
          </w:tcPr>
          <w:p>
            <w:pPr>
              <w:snapToGrid w:val="0"/>
              <w:ind w:left="80" w:hanging="8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zh-CN"/>
                <w14:textFill>
                  <w14:solidFill>
                    <w14:schemeClr w14:val="tx1"/>
                  </w14:solidFill>
                </w14:textFill>
              </w:rPr>
              <w:t>4</w:t>
            </w:r>
          </w:p>
        </w:tc>
        <w:tc>
          <w:tcPr>
            <w:tcW w:w="0" w:type="auto"/>
            <w:vAlign w:val="center"/>
          </w:tcPr>
          <w:p>
            <w:pPr>
              <w:pStyle w:val="8"/>
              <w:snapToGrid w:val="0"/>
              <w:spacing w:line="240" w:lineRule="auto"/>
              <w:ind w:left="120" w:hanging="12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Large amount of infiltrate in submucosa, lamina propria and surrounding blood vessels, covering large areas of mucosa</w:t>
            </w:r>
          </w:p>
        </w:tc>
        <w:tc>
          <w:tcPr>
            <w:tcW w:w="0" w:type="auto"/>
            <w:vAlign w:val="center"/>
          </w:tcPr>
          <w:p>
            <w:pPr>
              <w:pStyle w:val="8"/>
              <w:snapToGrid w:val="0"/>
              <w:spacing w:line="240" w:lineRule="auto"/>
              <w:ind w:left="120" w:hanging="120"/>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No crypts</w:t>
            </w:r>
          </w:p>
        </w:tc>
        <w:tc>
          <w:tcPr>
            <w:tcW w:w="0" w:type="auto"/>
            <w:vAlign w:val="center"/>
          </w:tcPr>
          <w:p>
            <w:pPr>
              <w:pStyle w:val="8"/>
              <w:snapToGrid w:val="0"/>
              <w:spacing w:line="240" w:lineRule="auto"/>
              <w:ind w:left="120" w:hanging="120"/>
              <w:jc w:val="center"/>
              <w:rPr>
                <w:i/>
                <w:color w:val="000000" w:themeColor="text1"/>
                <w:sz w:val="24"/>
                <w:szCs w:val="24"/>
                <w14:textFill>
                  <w14:solidFill>
                    <w14:schemeClr w14:val="tx1"/>
                  </w14:solidFill>
                </w14:textFill>
              </w:rPr>
            </w:pPr>
          </w:p>
        </w:tc>
        <w:tc>
          <w:tcPr>
            <w:tcW w:w="0" w:type="auto"/>
            <w:vAlign w:val="center"/>
          </w:tcPr>
          <w:p>
            <w:pPr>
              <w:pStyle w:val="8"/>
              <w:snapToGrid w:val="0"/>
              <w:spacing w:line="240" w:lineRule="auto"/>
              <w:ind w:left="120" w:hanging="120"/>
              <w:jc w:val="center"/>
              <w:rPr>
                <w:i/>
                <w:color w:val="000000" w:themeColor="text1"/>
                <w:sz w:val="24"/>
                <w:szCs w:val="24"/>
                <w:lang w:val="zh-CN"/>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 w:hRule="atLeast"/>
          <w:jc w:val="center"/>
        </w:trPr>
        <w:tc>
          <w:tcPr>
            <w:tcW w:w="0" w:type="auto"/>
            <w:noWrap/>
            <w:vAlign w:val="center"/>
          </w:tcPr>
          <w:p>
            <w:pPr>
              <w:snapToGrid w:val="0"/>
              <w:ind w:left="80" w:hanging="8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w:t>
            </w:r>
          </w:p>
        </w:tc>
        <w:tc>
          <w:tcPr>
            <w:tcW w:w="0" w:type="auto"/>
            <w:vAlign w:val="center"/>
          </w:tcPr>
          <w:p>
            <w:pPr>
              <w:snapToGrid w:val="0"/>
              <w:ind w:left="80" w:hanging="80"/>
              <w:jc w:val="center"/>
              <w:rPr>
                <w:rStyle w:val="9"/>
                <w:rFonts w:ascii="Times New Roman" w:hAnsi="Times New Roman" w:cs="Times New Roman"/>
                <w:i w:val="0"/>
                <w:color w:val="000000" w:themeColor="text1"/>
                <w:sz w:val="24"/>
                <w:szCs w:val="24"/>
                <w14:textFill>
                  <w14:solidFill>
                    <w14:schemeClr w14:val="tx1"/>
                  </w14:solidFill>
                </w14:textFill>
              </w:rPr>
            </w:pPr>
            <w:r>
              <w:rPr>
                <w:rFonts w:ascii="Times New Roman" w:hAnsi="Times New Roman" w:eastAsia="宋体" w:cs="Times New Roman"/>
                <w:iCs/>
                <w:color w:val="000000" w:themeColor="text1"/>
                <w:kern w:val="0"/>
                <w:sz w:val="24"/>
                <w:szCs w:val="24"/>
                <w14:textFill>
                  <w14:solidFill>
                    <w14:schemeClr w14:val="tx1"/>
                  </w14:solidFill>
                </w14:textFill>
              </w:rPr>
              <w:t>Transmural inflammation (mucosa to muscularis</w:t>
            </w:r>
            <w:r>
              <w:rPr>
                <w:rStyle w:val="9"/>
                <w:rFonts w:ascii="Times New Roman" w:hAnsi="Times New Roman" w:cs="Times New Roman"/>
                <w:color w:val="000000" w:themeColor="text1"/>
                <w:sz w:val="24"/>
                <w:szCs w:val="24"/>
                <w14:textFill>
                  <w14:solidFill>
                    <w14:schemeClr w14:val="tx1"/>
                  </w14:solidFill>
                </w14:textFill>
              </w:rPr>
              <w:t>)</w:t>
            </w:r>
          </w:p>
        </w:tc>
        <w:tc>
          <w:tcPr>
            <w:tcW w:w="0" w:type="auto"/>
            <w:vAlign w:val="center"/>
          </w:tcPr>
          <w:p>
            <w:pPr>
              <w:snapToGrid w:val="0"/>
              <w:ind w:left="80" w:hanging="80"/>
              <w:jc w:val="center"/>
              <w:rPr>
                <w:rFonts w:ascii="Times New Roman" w:hAnsi="Times New Roman" w:cs="Times New Roman"/>
                <w:color w:val="000000" w:themeColor="text1"/>
                <w:sz w:val="24"/>
                <w:szCs w:val="24"/>
                <w14:textFill>
                  <w14:solidFill>
                    <w14:schemeClr w14:val="tx1"/>
                  </w14:solidFill>
                </w14:textFill>
              </w:rPr>
            </w:pPr>
          </w:p>
        </w:tc>
        <w:tc>
          <w:tcPr>
            <w:tcW w:w="0" w:type="auto"/>
            <w:vAlign w:val="center"/>
          </w:tcPr>
          <w:p>
            <w:pPr>
              <w:snapToGrid w:val="0"/>
              <w:ind w:left="80" w:hanging="80"/>
              <w:jc w:val="center"/>
              <w:rPr>
                <w:rFonts w:ascii="Times New Roman" w:hAnsi="Times New Roman" w:cs="Times New Roman"/>
                <w:color w:val="000000" w:themeColor="text1"/>
                <w:sz w:val="24"/>
                <w:szCs w:val="24"/>
                <w14:textFill>
                  <w14:solidFill>
                    <w14:schemeClr w14:val="tx1"/>
                  </w14:solidFill>
                </w14:textFill>
              </w:rPr>
            </w:pPr>
          </w:p>
        </w:tc>
        <w:tc>
          <w:tcPr>
            <w:tcW w:w="0" w:type="auto"/>
            <w:vAlign w:val="center"/>
          </w:tcPr>
          <w:p>
            <w:pPr>
              <w:snapToGrid w:val="0"/>
              <w:ind w:left="80" w:hanging="80"/>
              <w:jc w:val="center"/>
              <w:rPr>
                <w:rFonts w:ascii="Times New Roman" w:hAnsi="Times New Roman" w:cs="Times New Roman"/>
                <w:color w:val="000000" w:themeColor="text1"/>
                <w:sz w:val="24"/>
                <w:szCs w:val="24"/>
                <w14:textFill>
                  <w14:solidFill>
                    <w14:schemeClr w14:val="tx1"/>
                  </w14:solidFill>
                </w14:textFill>
              </w:rPr>
            </w:pPr>
          </w:p>
        </w:tc>
      </w:tr>
    </w:tbl>
    <w:p>
      <w:pPr>
        <w:rPr>
          <w:rFonts w:ascii="Times New Roman" w:hAnsi="Times New Roman" w:cs="Times New Roman"/>
          <w:sz w:val="24"/>
          <w:szCs w:val="24"/>
        </w:rPr>
      </w:pPr>
    </w:p>
    <w:p>
      <w:pPr>
        <w:rPr>
          <w:rFonts w:ascii="Times New Roman" w:hAnsi="Times New Roman"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DC147C"/>
    <w:multiLevelType w:val="singleLevel"/>
    <w:tmpl w:val="EEDC147C"/>
    <w:lvl w:ilvl="0" w:tentative="0">
      <w:start w:val="1"/>
      <w:numFmt w:val="lowerLetter"/>
      <w:suff w:val="space"/>
      <w:lvlText w:val="%1."/>
      <w:lvlJc w:val="left"/>
    </w:lvl>
  </w:abstractNum>
  <w:abstractNum w:abstractNumId="1">
    <w:nsid w:val="2D896DB5"/>
    <w:multiLevelType w:val="singleLevel"/>
    <w:tmpl w:val="2D896DB5"/>
    <w:lvl w:ilvl="0" w:tentative="0">
      <w:start w:val="7"/>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A11B9E"/>
    <w:rsid w:val="0051243F"/>
    <w:rsid w:val="007A34B2"/>
    <w:rsid w:val="00A11B9E"/>
    <w:rsid w:val="00AC6780"/>
    <w:rsid w:val="00C850B2"/>
    <w:rsid w:val="00DC26CD"/>
    <w:rsid w:val="00ED27A1"/>
    <w:rsid w:val="080C0DE8"/>
    <w:rsid w:val="0A920849"/>
    <w:rsid w:val="0ADA341F"/>
    <w:rsid w:val="0D8B6C53"/>
    <w:rsid w:val="32186458"/>
    <w:rsid w:val="4ECE0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1"/>
    <w:autoRedefine/>
    <w:unhideWhenUsed/>
    <w:qFormat/>
    <w:uiPriority w:val="99"/>
    <w:pPr>
      <w:tabs>
        <w:tab w:val="center" w:pos="4153"/>
        <w:tab w:val="right" w:pos="8306"/>
      </w:tabs>
      <w:snapToGrid w:val="0"/>
      <w:jc w:val="left"/>
    </w:pPr>
    <w:rPr>
      <w:sz w:val="18"/>
      <w:szCs w:val="18"/>
    </w:rPr>
  </w:style>
  <w:style w:type="paragraph" w:styleId="3">
    <w:name w:val="header"/>
    <w:basedOn w:val="1"/>
    <w:link w:val="10"/>
    <w:autoRedefine/>
    <w:unhideWhenUsed/>
    <w:qFormat/>
    <w:uiPriority w:val="99"/>
    <w:pP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autoRedefine/>
    <w:qFormat/>
    <w:uiPriority w:val="34"/>
    <w:pPr>
      <w:ind w:left="420" w:hanging="420"/>
    </w:pPr>
    <w:rPr>
      <w:rFonts w:ascii="Times New Roman" w:hAnsi="Times New Roman" w:cs="Times New Roman"/>
      <w:b/>
      <w:bCs/>
      <w:sz w:val="24"/>
      <w:szCs w:val="24"/>
    </w:rPr>
  </w:style>
  <w:style w:type="paragraph" w:customStyle="1" w:styleId="8">
    <w:name w:val="Decimal Aligned"/>
    <w:basedOn w:val="1"/>
    <w:autoRedefine/>
    <w:qFormat/>
    <w:uiPriority w:val="40"/>
    <w:pPr>
      <w:widowControl/>
      <w:tabs>
        <w:tab w:val="decimal" w:pos="360"/>
      </w:tabs>
      <w:autoSpaceDE w:val="0"/>
      <w:autoSpaceDN w:val="0"/>
      <w:adjustRightInd w:val="0"/>
      <w:spacing w:after="200" w:line="276" w:lineRule="auto"/>
      <w:ind w:left="90" w:hanging="90" w:hangingChars="50"/>
      <w:jc w:val="left"/>
    </w:pPr>
    <w:rPr>
      <w:rFonts w:ascii="Times New Roman" w:hAnsi="Times New Roman" w:eastAsia="宋体" w:cs="Times New Roman"/>
      <w:color w:val="000000"/>
      <w:kern w:val="0"/>
      <w:sz w:val="22"/>
      <w:szCs w:val="18"/>
    </w:rPr>
  </w:style>
  <w:style w:type="character" w:customStyle="1" w:styleId="9">
    <w:name w:val="不明显强调1"/>
    <w:basedOn w:val="6"/>
    <w:autoRedefine/>
    <w:qFormat/>
    <w:uiPriority w:val="19"/>
    <w:rPr>
      <w:i/>
      <w:iCs/>
    </w:rPr>
  </w:style>
  <w:style w:type="character" w:customStyle="1" w:styleId="10">
    <w:name w:val="页眉 字符"/>
    <w:basedOn w:val="6"/>
    <w:link w:val="3"/>
    <w:autoRedefine/>
    <w:qFormat/>
    <w:uiPriority w:val="99"/>
    <w:rPr>
      <w:sz w:val="18"/>
      <w:szCs w:val="18"/>
    </w:rPr>
  </w:style>
  <w:style w:type="character" w:customStyle="1" w:styleId="11">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1422</Words>
  <Characters>7628</Characters>
  <Lines>64</Lines>
  <Paragraphs>18</Paragraphs>
  <TotalTime>2</TotalTime>
  <ScaleCrop>false</ScaleCrop>
  <LinksUpToDate>false</LinksUpToDate>
  <CharactersWithSpaces>8803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2024-01-27T14:14:00Z</dcterms:created>
  <dc:creator>家莹 曾</dc:creator>
  <cp:lastModifiedBy>Panda聪</cp:lastModifiedBy>
  <dcterms:modified xsi:type="dcterms:W3CDTF">2024-01-30T03:27:24Z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6310EA5ADF7F4BA5A7D6F21943A04F74_13</vt:lpwstr>
  </property>
</Properties>
</file>