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06C5CD1" w14:textId="77777777" w:rsidR="007D6968" w:rsidRDefault="007D6968" w:rsidP="007D6968">
      <w:pPr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Vegetation Cover Change and its Response to Human Activities in the Southwestern Karst Region of China</w:t>
      </w:r>
    </w:p>
    <w:p w14:paraId="54CCF4AA" w14:textId="2B59E57E" w:rsidR="007D6968" w:rsidRDefault="007D6968" w:rsidP="00994A3D">
      <w:pPr>
        <w:spacing w:before="240" w:after="0"/>
        <w:rPr>
          <w:rFonts w:cs="Times New Roman"/>
          <w:b/>
        </w:rPr>
      </w:pPr>
      <w:proofErr w:type="spellStart"/>
      <w:r>
        <w:rPr>
          <w:rFonts w:eastAsia="宋体" w:cs="Times New Roman"/>
          <w:b/>
          <w:sz w:val="20"/>
          <w:szCs w:val="20"/>
        </w:rPr>
        <w:t>Zhaopu</w:t>
      </w:r>
      <w:proofErr w:type="spellEnd"/>
      <w:r>
        <w:rPr>
          <w:rFonts w:eastAsia="宋体" w:cs="Times New Roman"/>
          <w:b/>
          <w:sz w:val="20"/>
          <w:szCs w:val="20"/>
        </w:rPr>
        <w:t xml:space="preserve"> </w:t>
      </w:r>
      <w:proofErr w:type="spellStart"/>
      <w:r>
        <w:rPr>
          <w:rFonts w:eastAsia="宋体" w:cs="Times New Roman"/>
          <w:b/>
          <w:sz w:val="20"/>
          <w:szCs w:val="20"/>
        </w:rPr>
        <w:t>L</w:t>
      </w:r>
      <w:r>
        <w:rPr>
          <w:rFonts w:eastAsia="宋体" w:cs="Times New Roman" w:hint="eastAsia"/>
          <w:b/>
          <w:sz w:val="20"/>
          <w:szCs w:val="20"/>
        </w:rPr>
        <w:t>iu</w:t>
      </w:r>
      <w:r>
        <w:rPr>
          <w:rFonts w:eastAsia="宋体" w:cs="Times New Roman" w:hint="eastAsia"/>
          <w:b/>
          <w:sz w:val="20"/>
          <w:szCs w:val="20"/>
          <w:vertAlign w:val="superscript"/>
        </w:rPr>
        <w:t>a</w:t>
      </w:r>
      <w:proofErr w:type="spellEnd"/>
      <w:r>
        <w:rPr>
          <w:rFonts w:eastAsia="宋体" w:cs="Times New Roman"/>
          <w:b/>
          <w:sz w:val="20"/>
          <w:szCs w:val="20"/>
        </w:rPr>
        <w:t xml:space="preserve">, </w:t>
      </w:r>
      <w:bookmarkStart w:id="0" w:name="_Hlk143548435"/>
      <w:r>
        <w:rPr>
          <w:rFonts w:eastAsia="宋体" w:cs="Times New Roman"/>
          <w:b/>
          <w:sz w:val="20"/>
          <w:szCs w:val="20"/>
        </w:rPr>
        <w:t xml:space="preserve">Yushan </w:t>
      </w:r>
      <w:proofErr w:type="spellStart"/>
      <w:r>
        <w:rPr>
          <w:rFonts w:eastAsia="宋体" w:cs="Times New Roman"/>
          <w:b/>
          <w:sz w:val="20"/>
          <w:szCs w:val="20"/>
        </w:rPr>
        <w:t>Zhang</w:t>
      </w:r>
      <w:bookmarkEnd w:id="0"/>
      <w:r>
        <w:rPr>
          <w:rFonts w:eastAsia="宋体" w:cs="Times New Roman" w:hint="eastAsia"/>
          <w:b/>
          <w:sz w:val="20"/>
          <w:szCs w:val="20"/>
          <w:vertAlign w:val="superscript"/>
        </w:rPr>
        <w:t>a</w:t>
      </w:r>
      <w:proofErr w:type="spellEnd"/>
      <w:r w:rsidRPr="00994A3D">
        <w:rPr>
          <w:rFonts w:cs="Times New Roman"/>
          <w:b/>
        </w:rPr>
        <w:t xml:space="preserve"> *</w:t>
      </w:r>
    </w:p>
    <w:p w14:paraId="217F3AE0" w14:textId="0214B596" w:rsidR="002868E2" w:rsidRPr="00994A3D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="007D6968" w:rsidRPr="007D6968">
        <w:rPr>
          <w:rFonts w:eastAsia="黑体" w:cs="Times New Roman"/>
          <w:kern w:val="2"/>
          <w:sz w:val="20"/>
          <w:szCs w:val="20"/>
          <w:lang w:eastAsia="zh-CN"/>
        </w:rPr>
        <w:t xml:space="preserve">Yushan Zhang; </w:t>
      </w:r>
      <w:r w:rsidR="007D6968" w:rsidRPr="007D6968">
        <w:rPr>
          <w:rFonts w:eastAsia="宋体" w:cs="Times New Roman"/>
          <w:kern w:val="2"/>
          <w:sz w:val="20"/>
          <w:szCs w:val="20"/>
          <w:lang w:eastAsia="zh-CN"/>
        </w:rPr>
        <w:t xml:space="preserve">E-mail address: </w:t>
      </w:r>
      <w:hyperlink r:id="rId12" w:history="1">
        <w:r w:rsidR="007D6968" w:rsidRPr="007D6968">
          <w:rPr>
            <w:rFonts w:eastAsia="宋体" w:cs="Times New Roman"/>
            <w:color w:val="0563C1"/>
            <w:kern w:val="2"/>
            <w:sz w:val="20"/>
            <w:szCs w:val="20"/>
            <w:u w:val="single"/>
            <w:lang w:eastAsia="zh-CN"/>
          </w:rPr>
          <w:t>zys332400@163.com</w:t>
        </w:r>
      </w:hyperlink>
    </w:p>
    <w:p w14:paraId="11EC8DA1" w14:textId="1756DF9A" w:rsidR="00994A3D" w:rsidRDefault="00994A3D" w:rsidP="007D6968">
      <w:pPr>
        <w:pStyle w:val="2"/>
      </w:pPr>
      <w:r w:rsidRPr="0001436A">
        <w:t>Supplementary</w:t>
      </w:r>
      <w:r w:rsidRPr="001549D3">
        <w:t xml:space="preserve"> Figures</w:t>
      </w:r>
    </w:p>
    <w:p w14:paraId="461D53DC" w14:textId="208C13F6" w:rsidR="007D6968" w:rsidRPr="006E2433" w:rsidRDefault="006E2433" w:rsidP="007D6968">
      <w:r>
        <w:rPr>
          <w:noProof/>
        </w:rPr>
        <w:drawing>
          <wp:inline distT="0" distB="0" distL="0" distR="0" wp14:anchorId="5685BCB4" wp14:editId="7A5F655F">
            <wp:extent cx="6341533" cy="3563504"/>
            <wp:effectExtent l="0" t="0" r="2540" b="0"/>
            <wp:docPr id="17092384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641" cy="35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6EB1F" w14:textId="77777777" w:rsidR="007D6968" w:rsidRPr="006E2433" w:rsidRDefault="007D6968" w:rsidP="007D6968">
      <w:pPr>
        <w:jc w:val="center"/>
        <w:rPr>
          <w:rFonts w:cs="Times New Roman"/>
          <w:sz w:val="20"/>
          <w:szCs w:val="20"/>
        </w:rPr>
      </w:pPr>
      <w:r w:rsidRPr="006E2433">
        <w:rPr>
          <w:rFonts w:cs="Times New Roman"/>
          <w:sz w:val="20"/>
          <w:szCs w:val="20"/>
          <w:lang w:eastAsia="zh-CN"/>
        </w:rPr>
        <w:t xml:space="preserve">Fig. </w:t>
      </w:r>
      <w:r w:rsidRPr="006E2433">
        <w:rPr>
          <w:rFonts w:cs="Times New Roman" w:hint="eastAsia"/>
          <w:sz w:val="20"/>
          <w:szCs w:val="20"/>
          <w:lang w:eastAsia="zh-CN"/>
        </w:rPr>
        <w:t>S1</w:t>
      </w:r>
      <w:r w:rsidRPr="006E2433">
        <w:rPr>
          <w:rFonts w:cs="Times New Roman"/>
          <w:sz w:val="20"/>
          <w:szCs w:val="20"/>
          <w:lang w:eastAsia="zh-CN"/>
        </w:rPr>
        <w:t>. Correlation between GDP changes and NDVI in the Southwest Karst Region.</w:t>
      </w:r>
    </w:p>
    <w:p w14:paraId="6616FA0C" w14:textId="77777777" w:rsidR="007D6968" w:rsidRDefault="007D6968" w:rsidP="007D6968">
      <w:pPr>
        <w:jc w:val="center"/>
        <w:rPr>
          <w:rFonts w:cs="Times New Roman"/>
          <w:sz w:val="16"/>
          <w:szCs w:val="16"/>
        </w:rPr>
      </w:pPr>
    </w:p>
    <w:p w14:paraId="1A838CE2" w14:textId="77777777" w:rsidR="007D6968" w:rsidRDefault="007D6968" w:rsidP="006E2433">
      <w:pPr>
        <w:jc w:val="center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2AA0A851" wp14:editId="6E1E3ACD">
            <wp:extent cx="6057452" cy="3488267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77230" cy="349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06A81" w14:textId="77777777" w:rsidR="007D6968" w:rsidRPr="006E2433" w:rsidRDefault="007D6968" w:rsidP="007D6968">
      <w:pPr>
        <w:jc w:val="center"/>
        <w:rPr>
          <w:rFonts w:cs="Times New Roman"/>
          <w:sz w:val="20"/>
          <w:szCs w:val="20"/>
        </w:rPr>
      </w:pPr>
      <w:r w:rsidRPr="006E2433">
        <w:rPr>
          <w:rFonts w:cs="Times New Roman"/>
          <w:sz w:val="20"/>
          <w:szCs w:val="20"/>
        </w:rPr>
        <w:t>Fig.</w:t>
      </w:r>
      <w:r w:rsidRPr="006E2433">
        <w:rPr>
          <w:rFonts w:cs="Times New Roman" w:hint="eastAsia"/>
          <w:sz w:val="20"/>
          <w:szCs w:val="20"/>
          <w:lang w:eastAsia="zh-CN"/>
        </w:rPr>
        <w:t>S2</w:t>
      </w:r>
      <w:r w:rsidRPr="006E2433">
        <w:rPr>
          <w:rFonts w:cs="Times New Roman"/>
          <w:sz w:val="20"/>
          <w:szCs w:val="20"/>
        </w:rPr>
        <w:t>. Correlation between population changes and NDVI in the Southwest Karst Region.</w:t>
      </w:r>
    </w:p>
    <w:p w14:paraId="47C2BDBD" w14:textId="77777777" w:rsidR="007D6968" w:rsidRDefault="007D6968" w:rsidP="007D6968">
      <w:pPr>
        <w:jc w:val="center"/>
      </w:pPr>
      <w:r>
        <w:rPr>
          <w:noProof/>
        </w:rPr>
        <w:drawing>
          <wp:inline distT="0" distB="0" distL="114300" distR="114300" wp14:anchorId="118C39EB" wp14:editId="3311067D">
            <wp:extent cx="4458698" cy="2640784"/>
            <wp:effectExtent l="0" t="0" r="18415" b="7620"/>
            <wp:docPr id="14" name="图表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4F5E490" w14:textId="77777777" w:rsidR="007D6968" w:rsidRPr="006E2433" w:rsidRDefault="007D6968" w:rsidP="007D6968">
      <w:pPr>
        <w:jc w:val="center"/>
        <w:rPr>
          <w:rFonts w:cs="Times New Roman"/>
          <w:sz w:val="20"/>
          <w:szCs w:val="20"/>
        </w:rPr>
      </w:pPr>
      <w:r w:rsidRPr="006E2433">
        <w:rPr>
          <w:rFonts w:cs="Times New Roman"/>
          <w:sz w:val="20"/>
          <w:szCs w:val="20"/>
        </w:rPr>
        <w:t>Fig.</w:t>
      </w:r>
      <w:r w:rsidRPr="006E2433">
        <w:rPr>
          <w:rFonts w:cs="Times New Roman" w:hint="eastAsia"/>
          <w:sz w:val="20"/>
          <w:szCs w:val="20"/>
          <w:lang w:eastAsia="zh-CN"/>
        </w:rPr>
        <w:t>S3</w:t>
      </w:r>
      <w:r w:rsidRPr="006E2433">
        <w:rPr>
          <w:rFonts w:cs="Times New Roman"/>
          <w:sz w:val="20"/>
          <w:szCs w:val="20"/>
        </w:rPr>
        <w:t>. Yearly changes in labor force migration and NDVI in Southwest Karst Region.</w:t>
      </w:r>
    </w:p>
    <w:p w14:paraId="384E272E" w14:textId="77777777" w:rsidR="007D6968" w:rsidRDefault="007D6968" w:rsidP="007D6968">
      <w:pPr>
        <w:jc w:val="center"/>
        <w:rPr>
          <w:rFonts w:cs="Times New Roman"/>
          <w:sz w:val="18"/>
          <w:szCs w:val="18"/>
        </w:rPr>
      </w:pPr>
    </w:p>
    <w:p w14:paraId="2941D266" w14:textId="77777777" w:rsidR="007D6968" w:rsidRDefault="007D6968" w:rsidP="007D6968">
      <w:pPr>
        <w:jc w:val="center"/>
      </w:pPr>
      <w:r>
        <w:rPr>
          <w:noProof/>
        </w:rPr>
        <w:drawing>
          <wp:inline distT="0" distB="0" distL="114300" distR="114300" wp14:anchorId="6C7F1980" wp14:editId="63024340">
            <wp:extent cx="4106545" cy="2467610"/>
            <wp:effectExtent l="4445" t="5080" r="16510" b="16510"/>
            <wp:docPr id="15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D315FDB" w14:textId="77777777" w:rsidR="007D6968" w:rsidRPr="006E2433" w:rsidRDefault="007D6968" w:rsidP="007D6968">
      <w:pPr>
        <w:jc w:val="center"/>
        <w:rPr>
          <w:rFonts w:cs="Times New Roman"/>
          <w:sz w:val="20"/>
          <w:szCs w:val="21"/>
        </w:rPr>
      </w:pPr>
      <w:r w:rsidRPr="006E2433">
        <w:rPr>
          <w:rFonts w:cs="Times New Roman"/>
          <w:sz w:val="20"/>
          <w:szCs w:val="21"/>
        </w:rPr>
        <w:t>Fig</w:t>
      </w:r>
      <w:r w:rsidRPr="006E2433">
        <w:rPr>
          <w:rFonts w:cs="Times New Roman" w:hint="eastAsia"/>
          <w:sz w:val="20"/>
          <w:szCs w:val="21"/>
          <w:lang w:eastAsia="zh-CN"/>
        </w:rPr>
        <w:t>.S4</w:t>
      </w:r>
      <w:r w:rsidRPr="006E2433">
        <w:rPr>
          <w:rFonts w:cs="Times New Roman"/>
          <w:sz w:val="20"/>
          <w:szCs w:val="21"/>
        </w:rPr>
        <w:t>. Correlation between labor migration and NDVI.</w:t>
      </w:r>
    </w:p>
    <w:p w14:paraId="4A37355E" w14:textId="77777777" w:rsidR="007D6968" w:rsidRDefault="007D6968" w:rsidP="007D6968">
      <w:pPr>
        <w:jc w:val="center"/>
        <w:rPr>
          <w:rFonts w:cs="Times New Roman"/>
          <w:sz w:val="18"/>
          <w:szCs w:val="20"/>
        </w:rPr>
      </w:pPr>
    </w:p>
    <w:p w14:paraId="430724B3" w14:textId="77777777" w:rsidR="007D6968" w:rsidRDefault="007D6968" w:rsidP="007D6968">
      <w:pPr>
        <w:jc w:val="center"/>
        <w:rPr>
          <w:rFonts w:cs="Times New Roman"/>
          <w:sz w:val="18"/>
          <w:szCs w:val="20"/>
        </w:rPr>
      </w:pPr>
      <w:r>
        <w:rPr>
          <w:noProof/>
        </w:rPr>
        <w:drawing>
          <wp:inline distT="0" distB="0" distL="114300" distR="114300" wp14:anchorId="68DAE2E9" wp14:editId="303FFDBB">
            <wp:extent cx="3895725" cy="2419350"/>
            <wp:effectExtent l="4445" t="4445" r="11430" b="14605"/>
            <wp:docPr id="19" name="图表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417C0CC" w14:textId="77777777" w:rsidR="007D6968" w:rsidRPr="006E2433" w:rsidRDefault="007D6968" w:rsidP="007D6968">
      <w:pPr>
        <w:jc w:val="center"/>
        <w:rPr>
          <w:sz w:val="28"/>
          <w:szCs w:val="24"/>
        </w:rPr>
      </w:pPr>
      <w:r w:rsidRPr="006E2433">
        <w:rPr>
          <w:rFonts w:cs="Times New Roman"/>
          <w:sz w:val="20"/>
          <w:szCs w:val="21"/>
        </w:rPr>
        <w:t>Fig.</w:t>
      </w:r>
      <w:r w:rsidRPr="006E2433">
        <w:rPr>
          <w:rFonts w:cs="Times New Roman" w:hint="eastAsia"/>
          <w:sz w:val="20"/>
          <w:szCs w:val="21"/>
          <w:lang w:eastAsia="zh-CN"/>
        </w:rPr>
        <w:t>S5</w:t>
      </w:r>
      <w:r w:rsidRPr="006E2433">
        <w:rPr>
          <w:rFonts w:cs="Times New Roman"/>
          <w:sz w:val="20"/>
          <w:szCs w:val="21"/>
        </w:rPr>
        <w:t>. Correlation between urbanization rate and NDVI in the Southwest Karst Region</w:t>
      </w:r>
      <w:r w:rsidRPr="006E2433">
        <w:rPr>
          <w:sz w:val="20"/>
          <w:szCs w:val="21"/>
        </w:rPr>
        <w:t>.</w:t>
      </w:r>
      <w:r w:rsidRPr="006E2433">
        <w:rPr>
          <w:sz w:val="28"/>
          <w:szCs w:val="24"/>
        </w:rPr>
        <w:t xml:space="preserve"> </w:t>
      </w:r>
    </w:p>
    <w:p w14:paraId="1E4BF674" w14:textId="77777777" w:rsidR="007D6968" w:rsidRDefault="007D6968" w:rsidP="007D6968">
      <w:pPr>
        <w:jc w:val="center"/>
      </w:pPr>
      <w:r>
        <w:rPr>
          <w:noProof/>
        </w:rPr>
        <w:drawing>
          <wp:inline distT="0" distB="0" distL="0" distR="0" wp14:anchorId="21F5B6CB" wp14:editId="6A7244A3">
            <wp:extent cx="5271770" cy="3657600"/>
            <wp:effectExtent l="0" t="0" r="11430" b="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174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A7749" w14:textId="77777777" w:rsidR="007D6968" w:rsidRPr="006E2433" w:rsidRDefault="007D6968" w:rsidP="007D6968">
      <w:pPr>
        <w:jc w:val="center"/>
        <w:rPr>
          <w:rFonts w:cs="Times New Roman"/>
          <w:sz w:val="20"/>
          <w:szCs w:val="20"/>
        </w:rPr>
      </w:pPr>
      <w:r w:rsidRPr="006E2433">
        <w:rPr>
          <w:rFonts w:cs="Times New Roman"/>
          <w:sz w:val="20"/>
          <w:szCs w:val="20"/>
        </w:rPr>
        <w:t>Fig.</w:t>
      </w:r>
      <w:r w:rsidRPr="006E2433">
        <w:rPr>
          <w:rFonts w:cs="Times New Roman" w:hint="eastAsia"/>
          <w:sz w:val="20"/>
          <w:szCs w:val="20"/>
          <w:lang w:eastAsia="zh-CN"/>
        </w:rPr>
        <w:t>S6</w:t>
      </w:r>
      <w:r w:rsidRPr="006E2433">
        <w:rPr>
          <w:rFonts w:cs="Times New Roman"/>
          <w:sz w:val="20"/>
          <w:szCs w:val="20"/>
        </w:rPr>
        <w:t>. Correlation between urbanization rate and NDVI in Guizhou (a), Sichuan (b), Yunnan (c), and Chongqing (d).</w:t>
      </w:r>
    </w:p>
    <w:p w14:paraId="54FF1FBB" w14:textId="77777777" w:rsidR="007D6968" w:rsidRDefault="007D6968" w:rsidP="007D6968">
      <w:pPr>
        <w:rPr>
          <w:rFonts w:cs="Times New Roman"/>
          <w:sz w:val="16"/>
          <w:szCs w:val="16"/>
        </w:rPr>
      </w:pPr>
    </w:p>
    <w:p w14:paraId="5A713E92" w14:textId="77777777" w:rsidR="007D6968" w:rsidRDefault="007D6968" w:rsidP="007D6968">
      <w:pPr>
        <w:jc w:val="center"/>
      </w:pPr>
      <w:r>
        <w:rPr>
          <w:noProof/>
        </w:rPr>
        <w:drawing>
          <wp:inline distT="0" distB="0" distL="114300" distR="114300" wp14:anchorId="3CC01893" wp14:editId="307BA6CE">
            <wp:extent cx="4250055" cy="2374900"/>
            <wp:effectExtent l="5080" t="4445" r="12065" b="8255"/>
            <wp:docPr id="17" name="图表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273E764" w14:textId="77777777" w:rsidR="006E2433" w:rsidRPr="006E2433" w:rsidRDefault="006E2433" w:rsidP="006E2433">
      <w:pPr>
        <w:jc w:val="center"/>
        <w:rPr>
          <w:sz w:val="20"/>
          <w:szCs w:val="18"/>
        </w:rPr>
      </w:pPr>
      <w:r w:rsidRPr="006E2433">
        <w:rPr>
          <w:sz w:val="20"/>
          <w:szCs w:val="18"/>
        </w:rPr>
        <w:t>Fig.</w:t>
      </w:r>
      <w:r w:rsidRPr="006E2433">
        <w:rPr>
          <w:rFonts w:hint="eastAsia"/>
          <w:sz w:val="20"/>
          <w:szCs w:val="18"/>
        </w:rPr>
        <w:t>S7</w:t>
      </w:r>
      <w:r w:rsidRPr="006E2433">
        <w:rPr>
          <w:sz w:val="20"/>
          <w:szCs w:val="18"/>
        </w:rPr>
        <w:t>. Annual changes in afforested area and NDVI in the Southwest Karst Region.</w:t>
      </w:r>
    </w:p>
    <w:p w14:paraId="561F64E2" w14:textId="77777777" w:rsidR="006E2433" w:rsidRDefault="006E2433" w:rsidP="007D6968">
      <w:pPr>
        <w:jc w:val="center"/>
      </w:pPr>
    </w:p>
    <w:p w14:paraId="7F1A7DC4" w14:textId="77777777" w:rsidR="007D6968" w:rsidRDefault="007D6968" w:rsidP="007D6968">
      <w:pPr>
        <w:jc w:val="center"/>
      </w:pPr>
      <w:r>
        <w:rPr>
          <w:noProof/>
        </w:rPr>
        <w:drawing>
          <wp:inline distT="0" distB="0" distL="114300" distR="114300" wp14:anchorId="12BAF9CA" wp14:editId="2A0D82C4">
            <wp:extent cx="3968115" cy="2392680"/>
            <wp:effectExtent l="4445" t="4445" r="15240" b="15875"/>
            <wp:docPr id="21" name="图表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657D4B2" w14:textId="77777777" w:rsidR="007D6968" w:rsidRPr="006E2433" w:rsidRDefault="007D6968" w:rsidP="007D6968">
      <w:pPr>
        <w:jc w:val="center"/>
        <w:rPr>
          <w:rFonts w:cs="Times New Roman"/>
          <w:sz w:val="20"/>
          <w:szCs w:val="20"/>
        </w:rPr>
      </w:pPr>
      <w:r w:rsidRPr="006E2433">
        <w:rPr>
          <w:rFonts w:cs="Times New Roman"/>
          <w:sz w:val="20"/>
          <w:szCs w:val="20"/>
        </w:rPr>
        <w:t>Fig</w:t>
      </w:r>
      <w:r w:rsidRPr="006E2433">
        <w:rPr>
          <w:rFonts w:cs="Times New Roman" w:hint="eastAsia"/>
          <w:sz w:val="20"/>
          <w:szCs w:val="20"/>
        </w:rPr>
        <w:t>.</w:t>
      </w:r>
      <w:r w:rsidRPr="006E2433">
        <w:rPr>
          <w:rFonts w:cs="Times New Roman" w:hint="eastAsia"/>
          <w:sz w:val="20"/>
          <w:szCs w:val="20"/>
          <w:lang w:eastAsia="zh-CN"/>
        </w:rPr>
        <w:t>S8</w:t>
      </w:r>
      <w:r w:rsidRPr="006E2433">
        <w:rPr>
          <w:rFonts w:cs="Times New Roman"/>
          <w:sz w:val="20"/>
          <w:szCs w:val="20"/>
        </w:rPr>
        <w:t>. Correlation between afforestation area and NDVI in the Southwest Karst Region.</w:t>
      </w:r>
    </w:p>
    <w:p w14:paraId="58F1AED1" w14:textId="77777777" w:rsidR="00DE23E8" w:rsidRPr="001549D3" w:rsidRDefault="00DE23E8" w:rsidP="00654E8F">
      <w:pPr>
        <w:spacing w:before="240"/>
      </w:pPr>
    </w:p>
    <w:sectPr w:rsidR="00DE23E8" w:rsidRPr="001549D3" w:rsidSect="000211BD">
      <w:headerReference w:type="even" r:id="rId21"/>
      <w:footerReference w:type="even" r:id="rId22"/>
      <w:footerReference w:type="default" r:id="rId23"/>
      <w:headerReference w:type="first" r:id="rId2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F1B1F" w14:textId="77777777" w:rsidR="000211BD" w:rsidRDefault="000211BD" w:rsidP="00117666">
      <w:pPr>
        <w:spacing w:after="0"/>
      </w:pPr>
      <w:r>
        <w:separator/>
      </w:r>
    </w:p>
  </w:endnote>
  <w:endnote w:type="continuationSeparator" w:id="0">
    <w:p w14:paraId="467C4C49" w14:textId="77777777" w:rsidR="000211BD" w:rsidRDefault="000211B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000000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000000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000000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000000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6EFCB" w14:textId="77777777" w:rsidR="000211BD" w:rsidRDefault="000211BD" w:rsidP="00117666">
      <w:pPr>
        <w:spacing w:after="0"/>
      </w:pPr>
      <w:r>
        <w:separator/>
      </w:r>
    </w:p>
  </w:footnote>
  <w:footnote w:type="continuationSeparator" w:id="0">
    <w:p w14:paraId="38E3CA0F" w14:textId="77777777" w:rsidR="000211BD" w:rsidRDefault="000211B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000000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000000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211BD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6E2433"/>
    <w:rsid w:val="00701727"/>
    <w:rsid w:val="0070566C"/>
    <w:rsid w:val="00714C50"/>
    <w:rsid w:val="00725A7D"/>
    <w:rsid w:val="007501BE"/>
    <w:rsid w:val="00776FF6"/>
    <w:rsid w:val="00790BB3"/>
    <w:rsid w:val="007C206C"/>
    <w:rsid w:val="007D6968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qFormat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3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hyperlink" Target="mailto:zys332400@163.com" TargetMode="External"/><Relationship Id="rId17" Type="http://schemas.openxmlformats.org/officeDocument/2006/relationships/chart" Target="charts/chart3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0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chart" Target="charts/chart1.xml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chart" Target="charts/chart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2.bin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36164;&#26009;\&#35770;&#25991;4\&#32479;&#35745;&#25968;&#25454;&#65288;&#35770;&#25991;4&#65289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../embeddings/oleObject3.bin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4.bin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671901442477"/>
          <c:y val="5.57394825646794E-2"/>
          <c:w val="0.79087284687802994"/>
          <c:h val="0.75296198992686703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[人工造林面积.xlsx]Sheet2!$N$2</c:f>
              <c:strCache>
                <c:ptCount val="1"/>
                <c:pt idx="0">
                  <c:v>Labor migration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[人工造林面积.xlsx]Sheet2!$C$3:$C$25</c:f>
              <c:numCache>
                <c:formatCode>General</c:formatCode>
                <c:ptCount val="23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</c:numCache>
            </c:numRef>
          </c:cat>
          <c:val>
            <c:numRef>
              <c:f>[人工造林面积.xlsx]Sheet2!$N$3:$N$25</c:f>
              <c:numCache>
                <c:formatCode>General</c:formatCode>
                <c:ptCount val="23"/>
                <c:pt idx="0">
                  <c:v>672.19803634202003</c:v>
                </c:pt>
                <c:pt idx="1">
                  <c:v>800.25949669390695</c:v>
                </c:pt>
                <c:pt idx="2">
                  <c:v>976.69475269149302</c:v>
                </c:pt>
                <c:pt idx="3">
                  <c:v>1162.90251594647</c:v>
                </c:pt>
                <c:pt idx="4">
                  <c:v>1099.08680594526</c:v>
                </c:pt>
                <c:pt idx="5">
                  <c:v>1228.0323485215899</c:v>
                </c:pt>
                <c:pt idx="6">
                  <c:v>1328.0311604055</c:v>
                </c:pt>
                <c:pt idx="7">
                  <c:v>1263.7847821928301</c:v>
                </c:pt>
                <c:pt idx="8">
                  <c:v>1234.8052796085501</c:v>
                </c:pt>
                <c:pt idx="9">
                  <c:v>1231.3809117067799</c:v>
                </c:pt>
                <c:pt idx="10">
                  <c:v>1436.09983895445</c:v>
                </c:pt>
                <c:pt idx="11">
                  <c:v>1419.9419177366401</c:v>
                </c:pt>
                <c:pt idx="12">
                  <c:v>1418.2048857817099</c:v>
                </c:pt>
                <c:pt idx="13">
                  <c:v>1332.8450788323801</c:v>
                </c:pt>
                <c:pt idx="14">
                  <c:v>1453.38800376163</c:v>
                </c:pt>
                <c:pt idx="15">
                  <c:v>1460.0199882904401</c:v>
                </c:pt>
                <c:pt idx="16">
                  <c:v>1425.54833641355</c:v>
                </c:pt>
                <c:pt idx="17">
                  <c:v>1446.44701059569</c:v>
                </c:pt>
                <c:pt idx="18">
                  <c:v>1358.70971246826</c:v>
                </c:pt>
                <c:pt idx="19">
                  <c:v>1307.4600575756699</c:v>
                </c:pt>
                <c:pt idx="20">
                  <c:v>1354.64031449597</c:v>
                </c:pt>
                <c:pt idx="21">
                  <c:v>1515.15923627596</c:v>
                </c:pt>
                <c:pt idx="22">
                  <c:v>1503.13302153872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FA-4FCC-A482-AA979C3CC7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35681480"/>
        <c:axId val="463834941"/>
      </c:barChart>
      <c:lineChart>
        <c:grouping val="standard"/>
        <c:varyColors val="0"/>
        <c:ser>
          <c:idx val="0"/>
          <c:order val="0"/>
          <c:tx>
            <c:strRef>
              <c:f>[人工造林面积.xlsx]Sheet2!$H$2</c:f>
              <c:strCache>
                <c:ptCount val="1"/>
                <c:pt idx="0">
                  <c:v>NDVI</c:v>
                </c:pt>
              </c:strCache>
            </c:strRef>
          </c:tx>
          <c:spPr>
            <a:ln w="19050" cap="sq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[人工造林面积.xlsx]Sheet2!$C$3:$C$25</c:f>
              <c:numCache>
                <c:formatCode>General</c:formatCode>
                <c:ptCount val="23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</c:numCache>
            </c:numRef>
          </c:cat>
          <c:val>
            <c:numRef>
              <c:f>[人工造林面积.xlsx]Sheet2!$H$3:$H$25</c:f>
              <c:numCache>
                <c:formatCode>General</c:formatCode>
                <c:ptCount val="23"/>
                <c:pt idx="0">
                  <c:v>0.70399999999999996</c:v>
                </c:pt>
                <c:pt idx="1">
                  <c:v>0.70450000000000002</c:v>
                </c:pt>
                <c:pt idx="2">
                  <c:v>0.70620000000000005</c:v>
                </c:pt>
                <c:pt idx="3">
                  <c:v>0.71389999999999998</c:v>
                </c:pt>
                <c:pt idx="4">
                  <c:v>0.71089999999999998</c:v>
                </c:pt>
                <c:pt idx="5">
                  <c:v>0.73250000000000004</c:v>
                </c:pt>
                <c:pt idx="6">
                  <c:v>0.74329999999999996</c:v>
                </c:pt>
                <c:pt idx="7">
                  <c:v>0.74760000000000004</c:v>
                </c:pt>
                <c:pt idx="8">
                  <c:v>0.75129999999999997</c:v>
                </c:pt>
                <c:pt idx="9">
                  <c:v>0.74860000000000004</c:v>
                </c:pt>
                <c:pt idx="10">
                  <c:v>0.74719999999999998</c:v>
                </c:pt>
                <c:pt idx="11">
                  <c:v>0.74580000000000002</c:v>
                </c:pt>
                <c:pt idx="12">
                  <c:v>0.754</c:v>
                </c:pt>
                <c:pt idx="13">
                  <c:v>0.74739999999999995</c:v>
                </c:pt>
                <c:pt idx="14">
                  <c:v>0.75839999999999996</c:v>
                </c:pt>
                <c:pt idx="15">
                  <c:v>0.77380000000000004</c:v>
                </c:pt>
                <c:pt idx="16">
                  <c:v>0.8004</c:v>
                </c:pt>
                <c:pt idx="17">
                  <c:v>0.80100000000000005</c:v>
                </c:pt>
                <c:pt idx="18">
                  <c:v>0.80769999999999997</c:v>
                </c:pt>
                <c:pt idx="19">
                  <c:v>0.81130000000000002</c:v>
                </c:pt>
                <c:pt idx="20">
                  <c:v>0.80149999999999999</c:v>
                </c:pt>
                <c:pt idx="21">
                  <c:v>0.80979999999999996</c:v>
                </c:pt>
                <c:pt idx="22">
                  <c:v>0.81140000000000001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8FA-4FCC-A482-AA979C3CC7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98600152"/>
        <c:axId val="842136337"/>
      </c:lineChart>
      <c:catAx>
        <c:axId val="9356814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7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zh-CN"/>
          </a:p>
        </c:txPr>
        <c:crossAx val="463834941"/>
        <c:crosses val="autoZero"/>
        <c:auto val="1"/>
        <c:lblAlgn val="ctr"/>
        <c:lblOffset val="100"/>
        <c:noMultiLvlLbl val="0"/>
      </c:catAx>
      <c:valAx>
        <c:axId val="463834941"/>
        <c:scaling>
          <c:orientation val="minMax"/>
        </c:scaling>
        <c:delete val="0"/>
        <c:axPos val="l"/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8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r>
                  <a:rPr lang="en-US" altLang="zh-CN" sz="8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Labor </a:t>
                </a:r>
                <a:r>
                  <a:rPr lang="en-US" altLang="zh-CN" sz="800">
                    <a:solidFill>
                      <a:schemeClr val="tx1"/>
                    </a:solidFill>
                    <a:uFillTx/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migration</a:t>
                </a:r>
                <a:r>
                  <a:rPr lang="en-US" altLang="zh-CN" sz="8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/10</a:t>
                </a:r>
                <a:r>
                  <a:rPr lang="en-US" altLang="zh-CN" sz="800" baseline="3000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4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0" vertOverflow="ellipsis" vert="horz" wrap="square" anchor="ctr" anchorCtr="1"/>
            <a:lstStyle/>
            <a:p>
              <a:pPr defTabSz="914400">
                <a:defRPr lang="zh-CN" sz="800" b="0" i="0" u="none" strike="noStrike" kern="1200" baseline="0">
                  <a:solidFill>
                    <a:schemeClr val="tx1"/>
                  </a:solidFill>
                  <a:latin typeface="Times New Roman" panose="02020603050405020304" charset="0"/>
                  <a:ea typeface="Times New Roman" panose="02020603050405020304" charset="0"/>
                  <a:cs typeface="Times New Roman" panose="02020603050405020304" charset="0"/>
                  <a:sym typeface="Times New Roman" panose="02020603050405020304" charset="0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800" b="0" i="0" u="none" strike="noStrike" kern="1200" cap="none" spc="0" normalizeH="0" baseline="0">
                <a:solidFill>
                  <a:schemeClr val="tx1"/>
                </a:solidFill>
                <a:uFill>
                  <a:solidFill>
                    <a:schemeClr val="tx1">
                      <a:lumMod val="65000"/>
                      <a:lumOff val="35000"/>
                    </a:schemeClr>
                  </a:solidFill>
                </a:u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zh-CN"/>
          </a:p>
        </c:txPr>
        <c:crossAx val="935681480"/>
        <c:crosses val="autoZero"/>
        <c:crossBetween val="between"/>
      </c:valAx>
      <c:catAx>
        <c:axId val="99860015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42136337"/>
        <c:crosses val="autoZero"/>
        <c:auto val="1"/>
        <c:lblAlgn val="ctr"/>
        <c:lblOffset val="100"/>
        <c:noMultiLvlLbl val="0"/>
      </c:catAx>
      <c:valAx>
        <c:axId val="842136337"/>
        <c:scaling>
          <c:orientation val="minMax"/>
        </c:scaling>
        <c:delete val="0"/>
        <c:axPos val="r"/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r>
                  <a:rPr lang="en-US" altLang="zh-CN" sz="800">
                    <a:solidFill>
                      <a:schemeClr val="tx1">
                        <a:lumMod val="65000"/>
                        <a:lumOff val="35000"/>
                      </a:schemeClr>
                    </a:solidFill>
                    <a:uFillTx/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NDVI</a:t>
                </a:r>
              </a:p>
            </c:rich>
          </c:tx>
          <c:layout>
            <c:manualLayout>
              <c:xMode val="edge"/>
              <c:yMode val="edge"/>
              <c:x val="0.96204107031736197"/>
              <c:y val="0.3620709603147300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0" vertOverflow="ellipsis" vert="horz" wrap="square" anchor="ctr" anchorCtr="1"/>
            <a:lstStyle/>
            <a:p>
              <a:pPr defTabSz="914400">
                <a:defRPr lang="zh-CN"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charset="0"/>
                  <a:ea typeface="Times New Roman" panose="02020603050405020304" charset="0"/>
                  <a:cs typeface="Times New Roman" panose="02020603050405020304" charset="0"/>
                  <a:sym typeface="Times New Roman" panose="02020603050405020304" charset="0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8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uFill>
                  <a:solidFill>
                    <a:schemeClr val="tx1">
                      <a:lumMod val="65000"/>
                      <a:lumOff val="35000"/>
                    </a:schemeClr>
                  </a:solidFill>
                </a:u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zh-CN"/>
          </a:p>
        </c:txPr>
        <c:crossAx val="998600152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0" vertOverflow="ellipsis" vert="horz" wrap="square" anchor="ctr" anchorCtr="1"/>
          <a:lstStyle/>
          <a:p>
            <a:pPr>
              <a:defRPr lang="zh-CN" sz="800" b="0" i="0" u="none" strike="noStrike" kern="1200" cap="none" spc="0" normalizeH="0" baseline="0">
                <a:solidFill>
                  <a:schemeClr val="tx1"/>
                </a:solidFill>
                <a:uFill>
                  <a:solidFill>
                    <a:schemeClr val="tx1">
                      <a:lumMod val="65000"/>
                      <a:lumOff val="35000"/>
                    </a:schemeClr>
                  </a:solidFill>
                </a:u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zh-CN"/>
          </a:p>
        </c:txPr>
      </c:legendEntry>
      <c:legendEntry>
        <c:idx val="1"/>
        <c:txPr>
          <a:bodyPr rot="0" spcFirstLastPara="0" vertOverflow="ellipsis" vert="horz" wrap="square" anchor="ctr" anchorCtr="1"/>
          <a:lstStyle/>
          <a:p>
            <a:pPr>
              <a:defRPr lang="zh-CN" sz="800" b="0" i="0" u="none" strike="noStrike" kern="1200" cap="none" spc="0" normalizeH="0" baseline="0">
                <a:solidFill>
                  <a:schemeClr val="tx1"/>
                </a:solidFill>
                <a:uFill>
                  <a:solidFill>
                    <a:schemeClr val="tx1">
                      <a:lumMod val="65000"/>
                      <a:lumOff val="35000"/>
                    </a:schemeClr>
                  </a:solidFill>
                </a:u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zh-CN"/>
          </a:p>
        </c:txPr>
      </c:legendEntry>
      <c:layout>
        <c:manualLayout>
          <c:xMode val="edge"/>
          <c:yMode val="edge"/>
          <c:x val="0.29251085055679898"/>
          <c:y val="0.91173945943620704"/>
          <c:w val="0.41497829888640198"/>
          <c:h val="7.3361111708565602E-2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800" b="0" i="0" u="none" strike="noStrike" kern="1200" cap="none" spc="0" normalizeH="0" baseline="0">
              <a:solidFill>
                <a:schemeClr val="tx1"/>
              </a:solidFill>
              <a:uFill>
                <a:solidFill>
                  <a:schemeClr val="tx1">
                    <a:lumMod val="65000"/>
                    <a:lumOff val="35000"/>
                  </a:schemeClr>
                </a:solidFill>
              </a:uFill>
              <a:latin typeface="Times New Roman" panose="02020603050405020304" charset="0"/>
              <a:ea typeface="Times New Roman" panose="02020603050405020304" charset="0"/>
              <a:cs typeface="Times New Roman" panose="02020603050405020304" charset="0"/>
              <a:sym typeface="Times New Roman" panose="02020603050405020304" charset="0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>
          <a:latin typeface="Times New Roman" panose="02020603050405020304" charset="0"/>
          <a:ea typeface="Times New Roman" panose="02020603050405020304" charset="0"/>
          <a:cs typeface="Times New Roman" panose="02020603050405020304" charset="0"/>
          <a:sym typeface="Times New Roman" panose="02020603050405020304" charset="0"/>
        </a:defRPr>
      </a:pPr>
      <a:endParaRPr lang="zh-CN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867422557015199"/>
          <c:y val="5.1380860629415499E-2"/>
          <c:w val="0.82233938593933098"/>
          <c:h val="0.766463368379531"/>
        </c:manualLayout>
      </c:layout>
      <c:scatterChart>
        <c:scatterStyle val="lineMarker"/>
        <c:varyColors val="0"/>
        <c:ser>
          <c:idx val="0"/>
          <c:order val="0"/>
          <c:tx>
            <c:strRef>
              <c:f>'[统计数据（论文4）.xlsx]Sheet1'!$F$1</c:f>
              <c:strCache>
                <c:ptCount val="1"/>
                <c:pt idx="0">
                  <c:v>NDVI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2700" cap="rnd" cmpd="sng">
                <a:solidFill>
                  <a:schemeClr val="tx1"/>
                </a:solidFill>
                <a:prstDash val="solid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32316160425785401"/>
                  <c:y val="-0.108970410490596"/>
                </c:manualLayout>
              </c:layout>
              <c:tx>
                <c:rich>
                  <a:bodyPr rot="0" spcFirstLastPara="0" vertOverflow="ellipsis" vert="horz" wrap="square" anchor="ctr" anchorCtr="1"/>
                  <a:lstStyle/>
                  <a:p>
                    <a:pPr>
                      <a:defRPr lang="zh-CN" sz="8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800">
                        <a:solidFill>
                          <a:schemeClr val="tx1"/>
                        </a:solidFill>
                        <a:uFillTx/>
                        <a:latin typeface="Times New Roman" panose="02020603050405020304" charset="0"/>
                      </a:rPr>
                      <a:t>y = 0.3054x - 0.1887</a:t>
                    </a:r>
                    <a:br>
                      <a:rPr lang="en-US" sz="800">
                        <a:solidFill>
                          <a:schemeClr val="tx1"/>
                        </a:solidFill>
                        <a:uFillTx/>
                        <a:latin typeface="Times New Roman" panose="02020603050405020304" charset="0"/>
                      </a:rPr>
                    </a:br>
                    <a:r>
                      <a:rPr lang="en-US" sz="800">
                        <a:solidFill>
                          <a:schemeClr val="tx1"/>
                        </a:solidFill>
                        <a:uFillTx/>
                        <a:latin typeface="Times New Roman" panose="02020603050405020304" charset="0"/>
                      </a:rPr>
                      <a:t>R</a:t>
                    </a:r>
                    <a:r>
                      <a:rPr lang="en-US" sz="800" baseline="35000">
                        <a:solidFill>
                          <a:schemeClr val="tx1"/>
                        </a:solidFill>
                        <a:uFillTx/>
                        <a:latin typeface="Times New Roman" panose="02020603050405020304" charset="0"/>
                      </a:rPr>
                      <a:t>2</a:t>
                    </a:r>
                    <a:r>
                      <a:rPr lang="en-US" sz="800">
                        <a:solidFill>
                          <a:schemeClr val="tx1"/>
                        </a:solidFill>
                        <a:uFillTx/>
                        <a:latin typeface="Times New Roman" panose="02020603050405020304" charset="0"/>
                      </a:rPr>
                      <a:t> = 0.5133</a:t>
                    </a:r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anchor="ctr" anchorCtr="1"/>
                <a:lstStyle/>
                <a:p>
                  <a:pPr>
                    <a:defRPr lang="zh-CN" sz="8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</c:trendlineLbl>
          </c:trendline>
          <c:xVal>
            <c:numRef>
              <c:f>'[统计数据（论文4）.xlsx]Sheet1'!$AG$2:$AG$24</c:f>
              <c:numCache>
                <c:formatCode>General</c:formatCode>
                <c:ptCount val="23"/>
                <c:pt idx="0">
                  <c:v>2.8274972394528999</c:v>
                </c:pt>
                <c:pt idx="1">
                  <c:v>2.9032308366272099</c:v>
                </c:pt>
                <c:pt idx="2">
                  <c:v>2.9897588544708502</c:v>
                </c:pt>
                <c:pt idx="3">
                  <c:v>3.0655433101188301</c:v>
                </c:pt>
                <c:pt idx="4">
                  <c:v>3.0410319943836699</c:v>
                </c:pt>
                <c:pt idx="5">
                  <c:v>3.0892098070326601</c:v>
                </c:pt>
                <c:pt idx="6">
                  <c:v>3.1232082652679898</c:v>
                </c:pt>
                <c:pt idx="7">
                  <c:v>3.1016731215221398</c:v>
                </c:pt>
                <c:pt idx="8">
                  <c:v>3.0915984777099301</c:v>
                </c:pt>
                <c:pt idx="9">
                  <c:v>3.0903924170769099</c:v>
                </c:pt>
                <c:pt idx="10">
                  <c:v>3.1571846334994298</c:v>
                </c:pt>
                <c:pt idx="11">
                  <c:v>3.15227058007153</c:v>
                </c:pt>
                <c:pt idx="12">
                  <c:v>3.1517389772057598</c:v>
                </c:pt>
                <c:pt idx="13">
                  <c:v>3.12477967280602</c:v>
                </c:pt>
                <c:pt idx="14">
                  <c:v>3.16238157121321</c:v>
                </c:pt>
                <c:pt idx="15">
                  <c:v>3.1643588015000699</c:v>
                </c:pt>
                <c:pt idx="16">
                  <c:v>3.15398194762358</c:v>
                </c:pt>
                <c:pt idx="17">
                  <c:v>3.1603025282519499</c:v>
                </c:pt>
                <c:pt idx="18">
                  <c:v>3.1331266798821198</c:v>
                </c:pt>
                <c:pt idx="19">
                  <c:v>3.1164284302051302</c:v>
                </c:pt>
                <c:pt idx="20">
                  <c:v>3.1318239961947598</c:v>
                </c:pt>
                <c:pt idx="21">
                  <c:v>3.1804582775920398</c:v>
                </c:pt>
                <c:pt idx="22">
                  <c:v>3.1769974156926502</c:v>
                </c:pt>
              </c:numCache>
            </c:numRef>
          </c:xVal>
          <c:yVal>
            <c:numRef>
              <c:f>'[统计数据（论文4）.xlsx]Sheet1'!$F$2:$F$24</c:f>
              <c:numCache>
                <c:formatCode>General</c:formatCode>
                <c:ptCount val="23"/>
                <c:pt idx="0">
                  <c:v>0.70399999999999996</c:v>
                </c:pt>
                <c:pt idx="1">
                  <c:v>0.70450000000000002</c:v>
                </c:pt>
                <c:pt idx="2">
                  <c:v>0.70620000000000005</c:v>
                </c:pt>
                <c:pt idx="3">
                  <c:v>0.71389999999999998</c:v>
                </c:pt>
                <c:pt idx="4">
                  <c:v>0.71089999999999998</c:v>
                </c:pt>
                <c:pt idx="5">
                  <c:v>0.73250000000000004</c:v>
                </c:pt>
                <c:pt idx="6">
                  <c:v>0.74329999999999996</c:v>
                </c:pt>
                <c:pt idx="7">
                  <c:v>0.74760000000000004</c:v>
                </c:pt>
                <c:pt idx="8">
                  <c:v>0.75129999999999997</c:v>
                </c:pt>
                <c:pt idx="9">
                  <c:v>0.74860000000000004</c:v>
                </c:pt>
                <c:pt idx="10">
                  <c:v>0.74719999999999998</c:v>
                </c:pt>
                <c:pt idx="11">
                  <c:v>0.74580000000000002</c:v>
                </c:pt>
                <c:pt idx="12">
                  <c:v>0.754</c:v>
                </c:pt>
                <c:pt idx="13">
                  <c:v>0.74739999999999995</c:v>
                </c:pt>
                <c:pt idx="14">
                  <c:v>0.75839999999999996</c:v>
                </c:pt>
                <c:pt idx="15">
                  <c:v>0.77380000000000004</c:v>
                </c:pt>
                <c:pt idx="16">
                  <c:v>0.8004</c:v>
                </c:pt>
                <c:pt idx="17">
                  <c:v>0.80100000000000005</c:v>
                </c:pt>
                <c:pt idx="18">
                  <c:v>0.80769999999999997</c:v>
                </c:pt>
                <c:pt idx="19">
                  <c:v>0.81130000000000002</c:v>
                </c:pt>
                <c:pt idx="20">
                  <c:v>0.80149999999999999</c:v>
                </c:pt>
                <c:pt idx="21">
                  <c:v>0.80979999999999996</c:v>
                </c:pt>
                <c:pt idx="22">
                  <c:v>0.81140000000000001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AB74-436A-B01A-FEFE974DA0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01864254"/>
        <c:axId val="437701953"/>
      </c:scatterChart>
      <c:valAx>
        <c:axId val="701864254"/>
        <c:scaling>
          <c:orientation val="minMax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 defTabSz="914400">
                  <a:defRPr lang="zh-CN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 sz="900" baseline="0">
                    <a:solidFill>
                      <a:schemeClr val="tx1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Log (Labor migration</a:t>
                </a:r>
                <a:r>
                  <a:rPr lang="en-US" altLang="zh-CN" sz="900" baseline="0">
                    <a:solidFill>
                      <a:schemeClr val="tx1"/>
                    </a:solidFill>
                  </a:rPr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0" vertOverflow="ellipsis" vert="horz" wrap="square" anchor="ctr" anchorCtr="1"/>
            <a:lstStyle/>
            <a:p>
              <a:pPr defTabSz="914400">
                <a:defRPr lang="zh-CN" sz="9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#,##0.0_);[Red]\(#,##0.0\)" sourceLinked="0"/>
        <c:majorTickMark val="in"/>
        <c:minorTickMark val="none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800" b="0" i="0" u="none" strike="noStrike" kern="1200" cap="none" spc="0" normalizeH="0" baseline="0">
                <a:solidFill>
                  <a:schemeClr val="tx1"/>
                </a:solidFill>
                <a:uFill>
                  <a:solidFill>
                    <a:schemeClr val="tx1">
                      <a:lumMod val="65000"/>
                      <a:lumOff val="35000"/>
                    </a:schemeClr>
                  </a:solidFill>
                </a:uFill>
                <a:latin typeface="Times New Roman" panose="02020603050405020304" charset="0"/>
                <a:ea typeface="+mn-ea"/>
                <a:cs typeface="+mn-cs"/>
              </a:defRPr>
            </a:pPr>
            <a:endParaRPr lang="zh-CN"/>
          </a:p>
        </c:txPr>
        <c:crossAx val="437701953"/>
        <c:crosses val="autoZero"/>
        <c:crossBetween val="midCat"/>
      </c:valAx>
      <c:valAx>
        <c:axId val="437701953"/>
        <c:scaling>
          <c:orientation val="minMax"/>
          <c:min val="0.65"/>
        </c:scaling>
        <c:delete val="0"/>
        <c:axPos val="l"/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 sz="900" baseline="0">
                    <a:solidFill>
                      <a:schemeClr val="tx1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NDVI</a:t>
                </a:r>
              </a:p>
            </c:rich>
          </c:tx>
          <c:layout>
            <c:manualLayout>
              <c:xMode val="edge"/>
              <c:yMode val="edge"/>
              <c:x val="6.2301248271028802E-3"/>
              <c:y val="0.34877338309589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0" vertOverflow="ellipsis" vert="horz" wrap="square" anchor="ctr" anchorCtr="1"/>
            <a:lstStyle/>
            <a:p>
              <a:pPr defTabSz="914400">
                <a:defRPr lang="zh-CN" sz="9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800" b="0" i="0" u="none" strike="noStrike" kern="1200" cap="none" spc="0" normalizeH="0" baseline="0">
                <a:solidFill>
                  <a:schemeClr val="tx1"/>
                </a:solidFill>
                <a:uFill>
                  <a:solidFill>
                    <a:schemeClr val="tx1">
                      <a:lumMod val="65000"/>
                      <a:lumOff val="35000"/>
                    </a:schemeClr>
                  </a:solidFill>
                </a:uFill>
                <a:latin typeface="Times New Roman" panose="02020603050405020304" charset="0"/>
                <a:ea typeface="+mn-ea"/>
                <a:cs typeface="+mn-cs"/>
              </a:defRPr>
            </a:pPr>
            <a:endParaRPr lang="zh-CN"/>
          </a:p>
        </c:txPr>
        <c:crossAx val="701864254"/>
        <c:crosses val="autoZero"/>
        <c:crossBetween val="midCat"/>
      </c:valAx>
      <c:spPr>
        <a:noFill/>
        <a:ln w="25400" cap="flat" cmpd="sng" algn="ctr">
          <a:noFill/>
          <a:round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1724009366795"/>
          <c:y val="6.2217194570135699E-2"/>
          <c:w val="0.79364113359441402"/>
          <c:h val="0.75502458403106898"/>
        </c:manualLayout>
      </c:layout>
      <c:scatterChart>
        <c:scatterStyle val="lineMarker"/>
        <c:varyColors val="0"/>
        <c:ser>
          <c:idx val="0"/>
          <c:order val="0"/>
          <c:tx>
            <c:strRef>
              <c:f>'[统计数据（论文4）.xlsx]Sheet1'!$F$1</c:f>
              <c:strCache>
                <c:ptCount val="1"/>
                <c:pt idx="0">
                  <c:v>NDVI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2700" cap="rnd" cmpd="sng">
                <a:solidFill>
                  <a:schemeClr val="tx1"/>
                </a:solidFill>
                <a:prstDash val="solid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18277611037101499"/>
                  <c:y val="0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anchor="ctr" anchorCtr="1"/>
                <a:lstStyle/>
                <a:p>
                  <a:pPr>
                    <a:defRPr lang="zh-CN" sz="800" b="0" i="0" u="none" strike="noStrike" kern="1200" baseline="0">
                      <a:solidFill>
                        <a:schemeClr val="tx1"/>
                      </a:solidFill>
                      <a:latin typeface="Times New Roman" panose="02020603050405020304" charset="0"/>
                      <a:ea typeface="Times New Roman" panose="02020603050405020304" charset="0"/>
                      <a:cs typeface="Times New Roman" panose="02020603050405020304" charset="0"/>
                      <a:sym typeface="Times New Roman" panose="02020603050405020304" charset="0"/>
                    </a:defRPr>
                  </a:pPr>
                  <a:endParaRPr lang="zh-CN"/>
                </a:p>
              </c:txPr>
            </c:trendlineLbl>
          </c:trendline>
          <c:xVal>
            <c:numRef>
              <c:f>'[统计数据（论文4）.xlsx]Sheet1'!$AB$2:$AB$24</c:f>
              <c:numCache>
                <c:formatCode>General</c:formatCode>
                <c:ptCount val="23"/>
                <c:pt idx="0">
                  <c:v>1.40860811990783</c:v>
                </c:pt>
                <c:pt idx="1">
                  <c:v>1.42273411886561</c:v>
                </c:pt>
                <c:pt idx="2">
                  <c:v>1.4309256949697899</c:v>
                </c:pt>
                <c:pt idx="3">
                  <c:v>1.44565701795993</c:v>
                </c:pt>
                <c:pt idx="4">
                  <c:v>1.46460106615967</c:v>
                </c:pt>
                <c:pt idx="5">
                  <c:v>1.48331837314823</c:v>
                </c:pt>
                <c:pt idx="6">
                  <c:v>1.5037408135619099</c:v>
                </c:pt>
                <c:pt idx="7">
                  <c:v>1.5352145185615</c:v>
                </c:pt>
                <c:pt idx="8">
                  <c:v>1.55403931239144</c:v>
                </c:pt>
                <c:pt idx="9">
                  <c:v>1.57431162309733</c:v>
                </c:pt>
                <c:pt idx="10">
                  <c:v>1.59453110822586</c:v>
                </c:pt>
                <c:pt idx="11">
                  <c:v>1.6119359518295999</c:v>
                </c:pt>
                <c:pt idx="12">
                  <c:v>1.6360319936875201</c:v>
                </c:pt>
                <c:pt idx="13">
                  <c:v>1.6503288716803299</c:v>
                </c:pt>
                <c:pt idx="14">
                  <c:v>1.6645235408355801</c:v>
                </c:pt>
                <c:pt idx="15">
                  <c:v>1.6783323997361801</c:v>
                </c:pt>
                <c:pt idx="16">
                  <c:v>1.6917868764333199</c:v>
                </c:pt>
                <c:pt idx="17">
                  <c:v>1.70880165588954</c:v>
                </c:pt>
                <c:pt idx="18">
                  <c:v>1.72426409802988</c:v>
                </c:pt>
                <c:pt idx="19">
                  <c:v>1.7377377873331901</c:v>
                </c:pt>
                <c:pt idx="20">
                  <c:v>1.7498397431896799</c:v>
                </c:pt>
                <c:pt idx="21">
                  <c:v>1.7635934284038799</c:v>
                </c:pt>
                <c:pt idx="22">
                  <c:v>1.77297982933144</c:v>
                </c:pt>
              </c:numCache>
            </c:numRef>
          </c:xVal>
          <c:yVal>
            <c:numRef>
              <c:f>'[统计数据（论文4）.xlsx]Sheet1'!$F$2:$F$24</c:f>
              <c:numCache>
                <c:formatCode>General</c:formatCode>
                <c:ptCount val="23"/>
                <c:pt idx="0">
                  <c:v>0.70399999999999996</c:v>
                </c:pt>
                <c:pt idx="1">
                  <c:v>0.70450000000000002</c:v>
                </c:pt>
                <c:pt idx="2">
                  <c:v>0.70620000000000005</c:v>
                </c:pt>
                <c:pt idx="3">
                  <c:v>0.71389999999999998</c:v>
                </c:pt>
                <c:pt idx="4">
                  <c:v>0.71089999999999998</c:v>
                </c:pt>
                <c:pt idx="5">
                  <c:v>0.73250000000000004</c:v>
                </c:pt>
                <c:pt idx="6">
                  <c:v>0.74329999999999996</c:v>
                </c:pt>
                <c:pt idx="7">
                  <c:v>0.74760000000000004</c:v>
                </c:pt>
                <c:pt idx="8">
                  <c:v>0.75129999999999997</c:v>
                </c:pt>
                <c:pt idx="9">
                  <c:v>0.74860000000000004</c:v>
                </c:pt>
                <c:pt idx="10">
                  <c:v>0.74719999999999998</c:v>
                </c:pt>
                <c:pt idx="11">
                  <c:v>0.74580000000000002</c:v>
                </c:pt>
                <c:pt idx="12">
                  <c:v>0.754</c:v>
                </c:pt>
                <c:pt idx="13">
                  <c:v>0.74739999999999995</c:v>
                </c:pt>
                <c:pt idx="14">
                  <c:v>0.75839999999999996</c:v>
                </c:pt>
                <c:pt idx="15">
                  <c:v>0.77380000000000004</c:v>
                </c:pt>
                <c:pt idx="16">
                  <c:v>0.8004</c:v>
                </c:pt>
                <c:pt idx="17">
                  <c:v>0.80100000000000005</c:v>
                </c:pt>
                <c:pt idx="18">
                  <c:v>0.80769999999999997</c:v>
                </c:pt>
                <c:pt idx="19">
                  <c:v>0.81130000000000002</c:v>
                </c:pt>
                <c:pt idx="20">
                  <c:v>0.80149999999999999</c:v>
                </c:pt>
                <c:pt idx="21">
                  <c:v>0.80979999999999996</c:v>
                </c:pt>
                <c:pt idx="22">
                  <c:v>0.81140000000000001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3BA-405D-B4E4-8B33629596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75549958"/>
        <c:axId val="832186402"/>
      </c:scatterChart>
      <c:valAx>
        <c:axId val="575549958"/>
        <c:scaling>
          <c:orientation val="minMax"/>
          <c:min val="1.4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 defTabSz="914400">
                  <a:defRPr lang="zh-CN" sz="10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r>
                  <a:rPr lang="en-US" altLang="zh-CN" baseline="0">
                    <a:solidFill>
                      <a:schemeClr val="tx1"/>
                    </a:solidFill>
                  </a:rPr>
                  <a:t>Log (Urbanizaization rate)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0" vertOverflow="ellipsis" vert="horz" wrap="square" anchor="ctr" anchorCtr="1"/>
            <a:lstStyle/>
            <a:p>
              <a:pPr defTabSz="914400">
                <a:defRPr lang="zh-CN" sz="1000" b="0" i="0" u="none" strike="noStrike" kern="1200" baseline="0">
                  <a:solidFill>
                    <a:schemeClr val="tx1"/>
                  </a:solidFill>
                  <a:latin typeface="Times New Roman" panose="02020603050405020304" charset="0"/>
                  <a:ea typeface="Times New Roman" panose="02020603050405020304" charset="0"/>
                  <a:cs typeface="Times New Roman" panose="02020603050405020304" charset="0"/>
                  <a:sym typeface="Times New Roman" panose="02020603050405020304" charset="0"/>
                </a:defRPr>
              </a:pPr>
              <a:endParaRPr lang="zh-CN"/>
            </a:p>
          </c:txPr>
        </c:title>
        <c:numFmt formatCode="#,##0.00_);[Red]\(#,##0.00\)" sourceLinked="0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8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zh-CN"/>
          </a:p>
        </c:txPr>
        <c:crossAx val="832186402"/>
        <c:crosses val="autoZero"/>
        <c:crossBetween val="midCat"/>
      </c:valAx>
      <c:valAx>
        <c:axId val="832186402"/>
        <c:scaling>
          <c:orientation val="minMax"/>
        </c:scaling>
        <c:delete val="0"/>
        <c:axPos val="l"/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10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r>
                  <a:rPr lang="en-US" altLang="zh-CN" baseline="0">
                    <a:solidFill>
                      <a:schemeClr val="tx1"/>
                    </a:solidFill>
                  </a:rPr>
                  <a:t>NDVI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0" vertOverflow="ellipsis" vert="horz" wrap="square" anchor="ctr" anchorCtr="1"/>
            <a:lstStyle/>
            <a:p>
              <a:pPr defTabSz="914400">
                <a:defRPr lang="zh-CN" sz="1000" b="0" i="0" u="none" strike="noStrike" kern="1200" baseline="0">
                  <a:solidFill>
                    <a:schemeClr val="tx1"/>
                  </a:solidFill>
                  <a:latin typeface="Times New Roman" panose="02020603050405020304" charset="0"/>
                  <a:ea typeface="Times New Roman" panose="02020603050405020304" charset="0"/>
                  <a:cs typeface="Times New Roman" panose="02020603050405020304" charset="0"/>
                  <a:sym typeface="Times New Roman" panose="02020603050405020304" charset="0"/>
                </a:defRPr>
              </a:pPr>
              <a:endParaRPr lang="zh-CN"/>
            </a:p>
          </c:txPr>
        </c:title>
        <c:numFmt formatCode="#,##0.00_);[Red]\(#,##0.00\)" sourceLinked="0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8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zh-CN"/>
          </a:p>
        </c:txPr>
        <c:crossAx val="575549958"/>
        <c:crosses val="autoZero"/>
        <c:crossBetween val="midCat"/>
      </c:valAx>
      <c:spPr>
        <a:noFill/>
        <a:ln w="25400" cap="flat" cmpd="sng" algn="ctr">
          <a:noFill/>
          <a:round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>
          <a:latin typeface="Times New Roman" panose="02020603050405020304" charset="0"/>
          <a:ea typeface="Times New Roman" panose="02020603050405020304" charset="0"/>
          <a:cs typeface="Times New Roman" panose="02020603050405020304" charset="0"/>
          <a:sym typeface="Times New Roman" panose="02020603050405020304" charset="0"/>
        </a:defRPr>
      </a:pPr>
      <a:endParaRPr lang="zh-CN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053926838480999"/>
          <c:y val="5.1667787757686101E-2"/>
          <c:w val="0.75568327621919595"/>
          <c:h val="0.75768488109840504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[人工造林面积.xlsx]Sheet2!$M$2</c:f>
              <c:strCache>
                <c:ptCount val="1"/>
                <c:pt idx="0">
                  <c:v>Afforestation area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[人工造林面积.xlsx]Sheet2!$C$3:$C$25</c:f>
              <c:numCache>
                <c:formatCode>General</c:formatCode>
                <c:ptCount val="23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</c:numCache>
            </c:numRef>
          </c:cat>
          <c:val>
            <c:numRef>
              <c:f>[人工造林面积.xlsx]Sheet2!$M$3:$M$25</c:f>
              <c:numCache>
                <c:formatCode>General</c:formatCode>
                <c:ptCount val="23"/>
                <c:pt idx="0">
                  <c:v>1167.97</c:v>
                </c:pt>
                <c:pt idx="1">
                  <c:v>1157.81</c:v>
                </c:pt>
                <c:pt idx="2">
                  <c:v>1342.498</c:v>
                </c:pt>
                <c:pt idx="3">
                  <c:v>1191.96</c:v>
                </c:pt>
                <c:pt idx="4">
                  <c:v>1641.693</c:v>
                </c:pt>
                <c:pt idx="5">
                  <c:v>1948.9079999999999</c:v>
                </c:pt>
                <c:pt idx="6">
                  <c:v>882.59100000000001</c:v>
                </c:pt>
                <c:pt idx="7">
                  <c:v>694.67499999999995</c:v>
                </c:pt>
                <c:pt idx="8">
                  <c:v>801.42200000000003</c:v>
                </c:pt>
                <c:pt idx="9">
                  <c:v>915.57399999999996</c:v>
                </c:pt>
                <c:pt idx="10">
                  <c:v>1425.194</c:v>
                </c:pt>
                <c:pt idx="11">
                  <c:v>1533.106</c:v>
                </c:pt>
                <c:pt idx="12">
                  <c:v>1505.5630000000001</c:v>
                </c:pt>
                <c:pt idx="13">
                  <c:v>1318.94</c:v>
                </c:pt>
                <c:pt idx="14">
                  <c:v>1010.544</c:v>
                </c:pt>
                <c:pt idx="15">
                  <c:v>1218.4079999999999</c:v>
                </c:pt>
                <c:pt idx="16">
                  <c:v>1009.582</c:v>
                </c:pt>
                <c:pt idx="17">
                  <c:v>1721.412</c:v>
                </c:pt>
                <c:pt idx="18">
                  <c:v>1770.0170000000001</c:v>
                </c:pt>
                <c:pt idx="19">
                  <c:v>1951.88</c:v>
                </c:pt>
                <c:pt idx="20">
                  <c:v>1428.2909999999999</c:v>
                </c:pt>
                <c:pt idx="21">
                  <c:v>1376.3510000000001</c:v>
                </c:pt>
                <c:pt idx="22">
                  <c:v>1261.1980000000001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11-4DBB-BA08-CD030A185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8882170"/>
        <c:axId val="44353197"/>
      </c:barChart>
      <c:lineChart>
        <c:grouping val="standard"/>
        <c:varyColors val="0"/>
        <c:ser>
          <c:idx val="0"/>
          <c:order val="0"/>
          <c:tx>
            <c:strRef>
              <c:f>[人工造林面积.xlsx]Sheet2!$H$2</c:f>
              <c:strCache>
                <c:ptCount val="1"/>
                <c:pt idx="0">
                  <c:v>NDVI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[人工造林面积.xlsx]Sheet2!$C$3:$C$25</c:f>
              <c:numCache>
                <c:formatCode>General</c:formatCode>
                <c:ptCount val="23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</c:numCache>
            </c:numRef>
          </c:cat>
          <c:val>
            <c:numRef>
              <c:f>[人工造林面积.xlsx]Sheet2!$H$3:$H$25</c:f>
              <c:numCache>
                <c:formatCode>General</c:formatCode>
                <c:ptCount val="23"/>
                <c:pt idx="0">
                  <c:v>0.70399999999999996</c:v>
                </c:pt>
                <c:pt idx="1">
                  <c:v>0.70450000000000002</c:v>
                </c:pt>
                <c:pt idx="2">
                  <c:v>0.70620000000000005</c:v>
                </c:pt>
                <c:pt idx="3">
                  <c:v>0.71389999999999998</c:v>
                </c:pt>
                <c:pt idx="4">
                  <c:v>0.71089999999999998</c:v>
                </c:pt>
                <c:pt idx="5">
                  <c:v>0.73250000000000004</c:v>
                </c:pt>
                <c:pt idx="6">
                  <c:v>0.74329999999999996</c:v>
                </c:pt>
                <c:pt idx="7">
                  <c:v>0.74760000000000004</c:v>
                </c:pt>
                <c:pt idx="8">
                  <c:v>0.75129999999999997</c:v>
                </c:pt>
                <c:pt idx="9">
                  <c:v>0.74860000000000004</c:v>
                </c:pt>
                <c:pt idx="10">
                  <c:v>0.74719999999999998</c:v>
                </c:pt>
                <c:pt idx="11">
                  <c:v>0.74580000000000002</c:v>
                </c:pt>
                <c:pt idx="12">
                  <c:v>0.754</c:v>
                </c:pt>
                <c:pt idx="13">
                  <c:v>0.74739999999999995</c:v>
                </c:pt>
                <c:pt idx="14">
                  <c:v>0.75839999999999996</c:v>
                </c:pt>
                <c:pt idx="15">
                  <c:v>0.77380000000000004</c:v>
                </c:pt>
                <c:pt idx="16">
                  <c:v>0.8004</c:v>
                </c:pt>
                <c:pt idx="17">
                  <c:v>0.80100000000000005</c:v>
                </c:pt>
                <c:pt idx="18">
                  <c:v>0.80769999999999997</c:v>
                </c:pt>
                <c:pt idx="19">
                  <c:v>0.81130000000000002</c:v>
                </c:pt>
                <c:pt idx="20">
                  <c:v>0.80149999999999999</c:v>
                </c:pt>
                <c:pt idx="21">
                  <c:v>0.80979999999999996</c:v>
                </c:pt>
                <c:pt idx="22">
                  <c:v>0.81140000000000001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B11-4DBB-BA08-CD030A185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5938314"/>
        <c:axId val="420055505"/>
      </c:lineChart>
      <c:catAx>
        <c:axId val="5888217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700" b="0" i="0" u="none" strike="noStrike" kern="1200" cap="none" spc="0" normalizeH="0" baseline="0">
                <a:solidFill>
                  <a:schemeClr val="tx1"/>
                </a:solidFill>
                <a:uFill>
                  <a:solidFill>
                    <a:schemeClr val="tx1">
                      <a:lumMod val="65000"/>
                      <a:lumOff val="35000"/>
                    </a:schemeClr>
                  </a:solidFill>
                </a:u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zh-CN"/>
          </a:p>
        </c:txPr>
        <c:crossAx val="44353197"/>
        <c:crosses val="autoZero"/>
        <c:auto val="1"/>
        <c:lblAlgn val="ctr"/>
        <c:lblOffset val="100"/>
        <c:noMultiLvlLbl val="0"/>
      </c:catAx>
      <c:valAx>
        <c:axId val="44353197"/>
        <c:scaling>
          <c:orientation val="minMax"/>
        </c:scaling>
        <c:delete val="0"/>
        <c:axPos val="l"/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r>
                  <a:rPr lang="en-US" altLang="zh-CN" sz="800"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Afforestation area/hm</a:t>
                </a:r>
                <a:r>
                  <a:rPr lang="en-US" altLang="zh-CN" sz="800" baseline="30000"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2</a:t>
                </a:r>
              </a:p>
            </c:rich>
          </c:tx>
          <c:layout>
            <c:manualLayout>
              <c:xMode val="edge"/>
              <c:yMode val="edge"/>
              <c:x val="2.20871636994357E-3"/>
              <c:y val="0.24168461374760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0" vertOverflow="ellipsis" vert="horz" wrap="square" anchor="ctr" anchorCtr="1"/>
            <a:lstStyle/>
            <a:p>
              <a:pPr defTabSz="914400">
                <a:defRPr lang="zh-CN"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charset="0"/>
                  <a:ea typeface="Times New Roman" panose="02020603050405020304" charset="0"/>
                  <a:cs typeface="Times New Roman" panose="02020603050405020304" charset="0"/>
                  <a:sym typeface="Times New Roman" panose="02020603050405020304" charset="0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800" b="0" i="0" u="none" strike="noStrike" kern="1200" cap="none" spc="0" normalizeH="0" baseline="0">
                <a:solidFill>
                  <a:schemeClr val="tx1"/>
                </a:solidFill>
                <a:uFill>
                  <a:solidFill>
                    <a:schemeClr val="tx1">
                      <a:lumMod val="65000"/>
                      <a:lumOff val="35000"/>
                    </a:schemeClr>
                  </a:solidFill>
                </a:u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zh-CN"/>
          </a:p>
        </c:txPr>
        <c:crossAx val="58882170"/>
        <c:crosses val="autoZero"/>
        <c:crossBetween val="between"/>
      </c:valAx>
      <c:catAx>
        <c:axId val="97593831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20055505"/>
        <c:crosses val="autoZero"/>
        <c:auto val="1"/>
        <c:lblAlgn val="ctr"/>
        <c:lblOffset val="100"/>
        <c:noMultiLvlLbl val="0"/>
      </c:catAx>
      <c:valAx>
        <c:axId val="420055505"/>
        <c:scaling>
          <c:orientation val="minMax"/>
        </c:scaling>
        <c:delete val="0"/>
        <c:axPos val="r"/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r>
                  <a:rPr lang="en-US" altLang="zh-CN" sz="800"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rPr>
                  <a:t>NDVI</a:t>
                </a:r>
              </a:p>
            </c:rich>
          </c:tx>
          <c:layout>
            <c:manualLayout>
              <c:xMode val="edge"/>
              <c:yMode val="edge"/>
              <c:x val="0.94536493941251398"/>
              <c:y val="0.3292346977154579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0" vertOverflow="ellipsis" vert="horz" wrap="square" anchor="ctr" anchorCtr="1"/>
            <a:lstStyle/>
            <a:p>
              <a:pPr defTabSz="914400">
                <a:defRPr lang="zh-CN"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charset="0"/>
                  <a:ea typeface="Times New Roman" panose="02020603050405020304" charset="0"/>
                  <a:cs typeface="Times New Roman" panose="02020603050405020304" charset="0"/>
                  <a:sym typeface="Times New Roman" panose="02020603050405020304" charset="0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800" b="0" i="0" u="none" strike="noStrike" kern="1200" cap="none" spc="0" normalizeH="0" baseline="0">
                <a:solidFill>
                  <a:schemeClr val="tx1"/>
                </a:solidFill>
                <a:uFill>
                  <a:solidFill>
                    <a:schemeClr val="tx1">
                      <a:lumMod val="65000"/>
                      <a:lumOff val="35000"/>
                    </a:schemeClr>
                  </a:solidFill>
                </a:u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zh-CN"/>
          </a:p>
        </c:txPr>
        <c:crossAx val="975938314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0" vertOverflow="ellipsis" vert="horz" wrap="square" anchor="ctr" anchorCtr="1"/>
          <a:lstStyle/>
          <a:p>
            <a:pPr>
              <a:defRPr lang="zh-CN"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zh-CN"/>
          </a:p>
        </c:txPr>
      </c:legendEntry>
      <c:legendEntry>
        <c:idx val="1"/>
        <c:txPr>
          <a:bodyPr rot="0" spcFirstLastPara="0" vertOverflow="ellipsis" vert="horz" wrap="square" anchor="ctr" anchorCtr="1"/>
          <a:lstStyle/>
          <a:p>
            <a:pPr>
              <a:defRPr lang="zh-CN"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zh-CN"/>
          </a:p>
        </c:txPr>
      </c:legendEntry>
      <c:layout>
        <c:manualLayout>
          <c:xMode val="edge"/>
          <c:yMode val="edge"/>
          <c:x val="0.28982857345734397"/>
          <c:y val="0.91196584538154202"/>
          <c:w val="0.425978815491519"/>
          <c:h val="7.0490383405009197E-2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charset="0"/>
              <a:ea typeface="Times New Roman" panose="02020603050405020304" charset="0"/>
              <a:cs typeface="Times New Roman" panose="02020603050405020304" charset="0"/>
              <a:sym typeface="Times New Roman" panose="02020603050405020304" charset="0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>
          <a:latin typeface="Times New Roman" panose="02020603050405020304" charset="0"/>
          <a:ea typeface="Times New Roman" panose="02020603050405020304" charset="0"/>
          <a:cs typeface="Times New Roman" panose="02020603050405020304" charset="0"/>
          <a:sym typeface="Times New Roman" panose="02020603050405020304" charset="0"/>
        </a:defRPr>
      </a:pPr>
      <a:endParaRPr lang="zh-CN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535103739409001"/>
          <c:y val="2.9877106483184899E-2"/>
          <c:w val="0.83979471672504802"/>
          <c:h val="0.82193644479561201"/>
        </c:manualLayout>
      </c:layout>
      <c:scatterChart>
        <c:scatterStyle val="lineMarker"/>
        <c:varyColors val="0"/>
        <c:ser>
          <c:idx val="0"/>
          <c:order val="0"/>
          <c:tx>
            <c:strRef>
              <c:f>'[统计数据（论文4）.xlsx]Sheet1'!$F$1</c:f>
              <c:strCache>
                <c:ptCount val="1"/>
                <c:pt idx="0">
                  <c:v>NDVI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2700" cap="rnd" cmpd="sng">
                <a:solidFill>
                  <a:schemeClr val="tx1"/>
                </a:solidFill>
                <a:prstDash val="solid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36258535790157398"/>
                  <c:y val="-0.19816817880463899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anchor="ctr" anchorCtr="1"/>
                <a:lstStyle/>
                <a:p>
                  <a:pPr>
                    <a:defRPr lang="zh-CN" sz="8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charset="0"/>
                      <a:ea typeface="Times New Roman" panose="02020603050405020304" charset="0"/>
                      <a:cs typeface="Times New Roman" panose="02020603050405020304" charset="0"/>
                      <a:sym typeface="Times New Roman" panose="02020603050405020304" charset="0"/>
                    </a:defRPr>
                  </a:pPr>
                  <a:endParaRPr lang="zh-CN"/>
                </a:p>
              </c:txPr>
            </c:trendlineLbl>
          </c:trendline>
          <c:xVal>
            <c:numRef>
              <c:f>'[统计数据（论文4）.xlsx]Sheet1'!$AH$2:$AH$24</c:f>
              <c:numCache>
                <c:formatCode>General</c:formatCode>
                <c:ptCount val="23"/>
                <c:pt idx="0">
                  <c:v>3.0674316878090999</c:v>
                </c:pt>
                <c:pt idx="1">
                  <c:v>3.0636372962465601</c:v>
                </c:pt>
                <c:pt idx="2">
                  <c:v>3.1279136473774698</c:v>
                </c:pt>
                <c:pt idx="3">
                  <c:v>3.0762616815193602</c:v>
                </c:pt>
                <c:pt idx="4">
                  <c:v>3.21529194640613</c:v>
                </c:pt>
                <c:pt idx="5">
                  <c:v>3.2897913383298398</c:v>
                </c:pt>
                <c:pt idx="6">
                  <c:v>2.94575949452488</c:v>
                </c:pt>
                <c:pt idx="7">
                  <c:v>2.8417816697432001</c:v>
                </c:pt>
                <c:pt idx="8">
                  <c:v>2.9038612601673801</c:v>
                </c:pt>
                <c:pt idx="9">
                  <c:v>2.9616934513060702</c:v>
                </c:pt>
                <c:pt idx="10">
                  <c:v>3.1538739853234001</c:v>
                </c:pt>
                <c:pt idx="11">
                  <c:v>3.1855721833107302</c:v>
                </c:pt>
                <c:pt idx="12">
                  <c:v>3.17769893319976</c:v>
                </c:pt>
                <c:pt idx="13">
                  <c:v>3.1202250394723698</c:v>
                </c:pt>
                <c:pt idx="14">
                  <c:v>3.0045552278376499</c:v>
                </c:pt>
                <c:pt idx="15">
                  <c:v>3.0857927418910598</c:v>
                </c:pt>
                <c:pt idx="16">
                  <c:v>3.0041415988628501</c:v>
                </c:pt>
                <c:pt idx="17">
                  <c:v>3.23588482611635</c:v>
                </c:pt>
                <c:pt idx="18">
                  <c:v>3.2479774375317101</c:v>
                </c:pt>
                <c:pt idx="19">
                  <c:v>3.2904531140787299</c:v>
                </c:pt>
                <c:pt idx="20">
                  <c:v>3.1548166996103699</c:v>
                </c:pt>
                <c:pt idx="21">
                  <c:v>3.1387292027396398</c:v>
                </c:pt>
                <c:pt idx="22">
                  <c:v>3.1007832733749101</c:v>
                </c:pt>
              </c:numCache>
            </c:numRef>
          </c:xVal>
          <c:yVal>
            <c:numRef>
              <c:f>'[统计数据（论文4）.xlsx]Sheet1'!$F$2:$F$24</c:f>
              <c:numCache>
                <c:formatCode>General</c:formatCode>
                <c:ptCount val="23"/>
                <c:pt idx="0">
                  <c:v>0.70399999999999996</c:v>
                </c:pt>
                <c:pt idx="1">
                  <c:v>0.70450000000000002</c:v>
                </c:pt>
                <c:pt idx="2">
                  <c:v>0.70620000000000005</c:v>
                </c:pt>
                <c:pt idx="3">
                  <c:v>0.71389999999999998</c:v>
                </c:pt>
                <c:pt idx="4">
                  <c:v>0.71089999999999998</c:v>
                </c:pt>
                <c:pt idx="5">
                  <c:v>0.73250000000000004</c:v>
                </c:pt>
                <c:pt idx="6">
                  <c:v>0.74329999999999996</c:v>
                </c:pt>
                <c:pt idx="7">
                  <c:v>0.74760000000000004</c:v>
                </c:pt>
                <c:pt idx="8">
                  <c:v>0.75129999999999997</c:v>
                </c:pt>
                <c:pt idx="9">
                  <c:v>0.74860000000000004</c:v>
                </c:pt>
                <c:pt idx="10">
                  <c:v>0.74719999999999998</c:v>
                </c:pt>
                <c:pt idx="11">
                  <c:v>0.74580000000000002</c:v>
                </c:pt>
                <c:pt idx="12">
                  <c:v>0.754</c:v>
                </c:pt>
                <c:pt idx="13">
                  <c:v>0.74739999999999995</c:v>
                </c:pt>
                <c:pt idx="14">
                  <c:v>0.75839999999999996</c:v>
                </c:pt>
                <c:pt idx="15">
                  <c:v>0.77380000000000004</c:v>
                </c:pt>
                <c:pt idx="16">
                  <c:v>0.8004</c:v>
                </c:pt>
                <c:pt idx="17">
                  <c:v>0.80100000000000005</c:v>
                </c:pt>
                <c:pt idx="18">
                  <c:v>0.80769999999999997</c:v>
                </c:pt>
                <c:pt idx="19">
                  <c:v>0.81130000000000002</c:v>
                </c:pt>
                <c:pt idx="20">
                  <c:v>0.80149999999999999</c:v>
                </c:pt>
                <c:pt idx="21">
                  <c:v>0.80979999999999996</c:v>
                </c:pt>
                <c:pt idx="22">
                  <c:v>0.81140000000000001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F3A6-428B-AEFC-69332D5436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34002352"/>
        <c:axId val="759546395"/>
      </c:scatterChart>
      <c:valAx>
        <c:axId val="834002352"/>
        <c:scaling>
          <c:orientation val="minMax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 defTabSz="914400">
                  <a:defRPr lang="zh-CN" sz="9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r>
                  <a:rPr lang="en-US" altLang="zh-CN" sz="900" baseline="0">
                    <a:solidFill>
                      <a:schemeClr val="tx1"/>
                    </a:solidFill>
                  </a:rPr>
                  <a:t>Log (Afforestation area)</a:t>
                </a:r>
              </a:p>
            </c:rich>
          </c:tx>
          <c:layout>
            <c:manualLayout>
              <c:xMode val="edge"/>
              <c:yMode val="edge"/>
              <c:x val="0.39730982516460001"/>
              <c:y val="0.91796543219254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0" vertOverflow="ellipsis" vert="horz" wrap="square" anchor="ctr" anchorCtr="1"/>
            <a:lstStyle/>
            <a:p>
              <a:pPr defTabSz="914400">
                <a:defRPr lang="zh-CN" sz="900" b="0" i="0" u="none" strike="noStrike" kern="1200" baseline="0">
                  <a:solidFill>
                    <a:schemeClr val="tx1"/>
                  </a:solidFill>
                  <a:latin typeface="Times New Roman" panose="02020603050405020304" charset="0"/>
                  <a:ea typeface="Times New Roman" panose="02020603050405020304" charset="0"/>
                  <a:cs typeface="Times New Roman" panose="02020603050405020304" charset="0"/>
                  <a:sym typeface="Times New Roman" panose="02020603050405020304" charset="0"/>
                </a:defRPr>
              </a:pPr>
              <a:endParaRPr lang="zh-CN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800" b="0" i="0" u="none" strike="noStrike" kern="1200" cap="none" spc="0" normalizeH="0" baseline="0">
                <a:solidFill>
                  <a:schemeClr val="tx1"/>
                </a:solidFill>
                <a:uFill>
                  <a:solidFill>
                    <a:schemeClr val="tx1">
                      <a:lumMod val="65000"/>
                      <a:lumOff val="35000"/>
                    </a:schemeClr>
                  </a:solidFill>
                </a:u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zh-CN"/>
          </a:p>
        </c:txPr>
        <c:crossAx val="759546395"/>
        <c:crosses val="autoZero"/>
        <c:crossBetween val="midCat"/>
      </c:valAx>
      <c:valAx>
        <c:axId val="759546395"/>
        <c:scaling>
          <c:orientation val="minMax"/>
        </c:scaling>
        <c:delete val="0"/>
        <c:axPos val="l"/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10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r>
                  <a:rPr lang="en-US" altLang="zh-CN" baseline="0">
                    <a:solidFill>
                      <a:schemeClr val="tx1"/>
                    </a:solidFill>
                  </a:rPr>
                  <a:t>NDVI</a:t>
                </a:r>
              </a:p>
            </c:rich>
          </c:tx>
          <c:layout>
            <c:manualLayout>
              <c:xMode val="edge"/>
              <c:yMode val="edge"/>
              <c:x val="0"/>
              <c:y val="0.3479842686861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0" vertOverflow="ellipsis" vert="horz" wrap="square" anchor="ctr" anchorCtr="1"/>
            <a:lstStyle/>
            <a:p>
              <a:pPr defTabSz="914400">
                <a:defRPr lang="zh-CN" sz="1000" b="0" i="0" u="none" strike="noStrike" kern="1200" baseline="0">
                  <a:solidFill>
                    <a:schemeClr val="tx1"/>
                  </a:solidFill>
                  <a:latin typeface="Times New Roman" panose="02020603050405020304" charset="0"/>
                  <a:ea typeface="Times New Roman" panose="02020603050405020304" charset="0"/>
                  <a:cs typeface="Times New Roman" panose="02020603050405020304" charset="0"/>
                  <a:sym typeface="Times New Roman" panose="02020603050405020304" charset="0"/>
                </a:defRPr>
              </a:pPr>
              <a:endParaRPr lang="zh-CN"/>
            </a:p>
          </c:txPr>
        </c:title>
        <c:numFmt formatCode="#,##0.00_);[Red]\(#,##0.00\)" sourceLinked="0"/>
        <c:majorTickMark val="in"/>
        <c:minorTickMark val="none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800" b="0" i="0" u="none" strike="noStrike" kern="1200" cap="none" spc="0" normalizeH="0" baseline="0">
                <a:solidFill>
                  <a:schemeClr val="tx1"/>
                </a:solidFill>
                <a:uFill>
                  <a:solidFill>
                    <a:schemeClr val="tx1">
                      <a:lumMod val="65000"/>
                      <a:lumOff val="35000"/>
                    </a:schemeClr>
                  </a:solidFill>
                </a:u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zh-CN"/>
          </a:p>
        </c:txPr>
        <c:crossAx val="834002352"/>
        <c:crosses val="autoZero"/>
        <c:crossBetween val="midCat"/>
      </c:valAx>
      <c:spPr>
        <a:noFill/>
        <a:ln w="25400" cap="flat" cmpd="sng" algn="ctr">
          <a:noFill/>
          <a:round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>
          <a:latin typeface="Times New Roman" panose="02020603050405020304" charset="0"/>
          <a:ea typeface="Times New Roman" panose="02020603050405020304" charset="0"/>
          <a:cs typeface="Times New Roman" panose="02020603050405020304" charset="0"/>
          <a:sym typeface="Times New Roman" panose="02020603050405020304" charset="0"/>
        </a:defRPr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1017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1">
      <cs:styleClr val="auto"/>
    </cs:fillRef>
    <cs:effectRef idx="0"/>
    <cs:fontRef idx="minor">
      <a:schemeClr val="dk1"/>
    </cs:fontRef>
    <cs:spPr>
      <a:ln w="19050" cap="rnd">
        <a:noFill/>
        <a:round/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dk1"/>
    </cs:fontRef>
    <cs:spPr>
      <a:ln w="9525">
        <a:solidFill>
          <a:schemeClr val="phClr"/>
        </a:solidFill>
      </a:ln>
      <a:effectLst/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bg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1017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1">
      <cs:styleClr val="auto"/>
    </cs:fillRef>
    <cs:effectRef idx="0"/>
    <cs:fontRef idx="minor">
      <a:schemeClr val="dk1"/>
    </cs:fontRef>
    <cs:spPr>
      <a:ln w="19050" cap="rnd">
        <a:noFill/>
        <a:round/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dk1"/>
    </cs:fontRef>
    <cs:spPr>
      <a:ln w="9525">
        <a:solidFill>
          <a:schemeClr val="phClr"/>
        </a:solidFill>
      </a:ln>
      <a:effectLst/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bg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1017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1">
      <cs:styleClr val="auto"/>
    </cs:fillRef>
    <cs:effectRef idx="0"/>
    <cs:fontRef idx="minor">
      <a:schemeClr val="dk1"/>
    </cs:fontRef>
    <cs:spPr>
      <a:ln w="19050" cap="rnd">
        <a:noFill/>
        <a:round/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dk1"/>
    </cs:fontRef>
    <cs:spPr>
      <a:ln w="9525">
        <a:solidFill>
          <a:schemeClr val="phClr"/>
        </a:solidFill>
      </a:ln>
      <a:effectLst/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bg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15</TotalTime>
  <Pages>5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liu</cp:lastModifiedBy>
  <cp:revision>6</cp:revision>
  <cp:lastPrinted>2013-10-03T12:51:00Z</cp:lastPrinted>
  <dcterms:created xsi:type="dcterms:W3CDTF">2022-11-17T16:58:00Z</dcterms:created>
  <dcterms:modified xsi:type="dcterms:W3CDTF">2024-02-24T16:20:00Z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