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2B06" w14:textId="77777777" w:rsidR="004E6B42" w:rsidRPr="00F74FD6" w:rsidRDefault="004E6B42" w:rsidP="004E6B42">
      <w:pPr>
        <w:rPr>
          <w:rFonts w:cs="Times New Roman"/>
          <w:color w:val="000000" w:themeColor="text1"/>
          <w:szCs w:val="24"/>
        </w:rPr>
      </w:pPr>
      <w:r w:rsidRPr="00F74FD6">
        <w:rPr>
          <w:rFonts w:cs="Times New Roman"/>
          <w:color w:val="000000" w:themeColor="text1"/>
          <w:szCs w:val="24"/>
        </w:rPr>
        <w:t xml:space="preserve">Appendix: </w:t>
      </w:r>
    </w:p>
    <w:p w14:paraId="1F704F5C" w14:textId="77777777" w:rsidR="004E6B42" w:rsidRPr="00F74FD6" w:rsidRDefault="004E6B42" w:rsidP="004E6B42">
      <w:pPr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Assuming that </w:t>
      </w:r>
      <m:oMath>
        <m:r>
          <w:rPr>
            <w:rFonts w:ascii="Cambria Math" w:hAnsi="Cambria Math" w:cstheme="majorBidi"/>
            <w:color w:val="000000" w:themeColor="text1"/>
          </w:rPr>
          <m:t>S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</m:oMath>
      <w:r w:rsidRPr="00F74FD6">
        <w:rPr>
          <w:rFonts w:asciiTheme="majorBidi" w:hAnsiTheme="majorBidi" w:cstheme="majorBidi"/>
          <w:color w:val="000000" w:themeColor="text1"/>
        </w:rPr>
        <w:t xml:space="preserve"> is the shear wave spectrum at location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, the spectrum </w:t>
      </w: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</m:oMath>
      <w:r w:rsidRPr="00F74FD6">
        <w:rPr>
          <w:rFonts w:asciiTheme="majorBidi" w:hAnsiTheme="majorBidi" w:cstheme="majorBidi"/>
          <w:color w:val="000000" w:themeColor="text1"/>
        </w:rPr>
        <w:t xml:space="preserve"> after the shear wave has traveled a distance of </w: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m:t>Δ</m:t>
        </m:r>
        <m:r>
          <w:rPr>
            <w:rFonts w:ascii="Cambria Math" w:hAnsi="Cambria Math" w:cstheme="majorBidi"/>
            <w:color w:val="000000" w:themeColor="text1"/>
          </w:rPr>
          <m:t>x</m:t>
        </m:r>
      </m:oMath>
      <w:r w:rsidRPr="00F74FD6">
        <w:rPr>
          <w:rFonts w:asciiTheme="majorBidi" w:hAnsiTheme="majorBidi" w:cstheme="majorBidi"/>
          <w:color w:val="000000" w:themeColor="text1"/>
        </w:rPr>
        <w:t xml:space="preserve"> is given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715"/>
      </w:tblGrid>
      <w:tr w:rsidR="00F74FD6" w:rsidRPr="00F74FD6" w14:paraId="196C8453" w14:textId="77777777" w:rsidTr="00CE581B">
        <w:tc>
          <w:tcPr>
            <w:tcW w:w="8635" w:type="dxa"/>
            <w:vAlign w:val="center"/>
          </w:tcPr>
          <w:p w14:paraId="32A14F85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=S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∙G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f,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</w:rPr>
                      <m:t>Δ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∙H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f,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</w:rPr>
                      <m:t>Δ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,</m:t>
                </m:r>
              </m:oMath>
            </m:oMathPara>
          </w:p>
        </w:tc>
        <w:tc>
          <w:tcPr>
            <w:tcW w:w="715" w:type="dxa"/>
            <w:vAlign w:val="center"/>
          </w:tcPr>
          <w:p w14:paraId="717465A6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74FD6">
              <w:rPr>
                <w:rFonts w:asciiTheme="majorBidi" w:hAnsiTheme="majorBidi" w:cstheme="majorBidi"/>
                <w:color w:val="000000" w:themeColor="text1"/>
              </w:rPr>
              <w:t>(1)</w:t>
            </w:r>
          </w:p>
        </w:tc>
      </w:tr>
    </w:tbl>
    <w:p w14:paraId="731D10BB" w14:textId="77777777" w:rsidR="004E6B42" w:rsidRPr="00F74FD6" w:rsidRDefault="004E6B42" w:rsidP="004E6B42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where </w:t>
      </w:r>
      <m:oMath>
        <m:r>
          <w:rPr>
            <w:rFonts w:ascii="Cambria Math" w:hAnsi="Cambria Math" w:cstheme="majorBid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f,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>Δ</m:t>
            </m:r>
            <m:r>
              <w:rPr>
                <w:rFonts w:ascii="Cambria Math" w:hAnsi="Cambria Math" w:cstheme="majorBidi"/>
                <w:color w:val="000000" w:themeColor="text1"/>
              </w:rPr>
              <m:t>x</m:t>
            </m:r>
          </m:e>
        </m:d>
      </m:oMath>
      <w:r w:rsidRPr="00F74FD6">
        <w:rPr>
          <w:rFonts w:asciiTheme="majorBidi" w:hAnsiTheme="majorBidi" w:cstheme="majorBidi"/>
          <w:color w:val="000000" w:themeColor="text1"/>
        </w:rPr>
        <w:t xml:space="preserve"> and </w:t>
      </w:r>
      <m:oMath>
        <m:r>
          <w:rPr>
            <w:rFonts w:ascii="Cambria Math" w:hAnsi="Cambria Math" w:cstheme="majorBidi"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f,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>Δ</m:t>
            </m:r>
            <m:r>
              <w:rPr>
                <w:rFonts w:ascii="Cambria Math" w:hAnsi="Cambria Math" w:cstheme="majorBidi"/>
                <w:color w:val="000000" w:themeColor="text1"/>
              </w:rPr>
              <m:t>x</m:t>
            </m:r>
          </m:e>
        </m:d>
      </m:oMath>
      <w:r w:rsidRPr="00F74FD6">
        <w:rPr>
          <w:rFonts w:asciiTheme="majorBidi" w:hAnsiTheme="majorBidi" w:cstheme="majorBidi"/>
          <w:color w:val="000000" w:themeColor="text1"/>
        </w:rPr>
        <w:t xml:space="preserve"> represent geometric spreading and shear wave attenuation within the medium, respectively. The attenuation coefficient (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) varies linearly with frequency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(f)</w:t>
      </w:r>
      <w:r w:rsidRPr="00F74FD6">
        <w:rPr>
          <w:rFonts w:asciiTheme="majorBidi" w:hAnsiTheme="majorBidi" w:cstheme="majorBidi"/>
          <w:color w:val="000000" w:themeColor="text1"/>
        </w:rPr>
        <w:t xml:space="preserve"> and is defined as follows </w:t>
      </w:r>
      <w:r w:rsidRPr="00F74FD6">
        <w:rPr>
          <w:rFonts w:asciiTheme="majorBidi" w:hAnsiTheme="majorBidi" w:cstheme="majorBidi"/>
          <w:color w:val="000000" w:themeColor="text1"/>
        </w:rPr>
        <w:fldChar w:fldCharType="begin"/>
      </w:r>
      <w:r w:rsidRPr="00F74FD6">
        <w:rPr>
          <w:rFonts w:asciiTheme="majorBidi" w:hAnsiTheme="majorBidi" w:cstheme="majorBidi"/>
          <w:color w:val="000000" w:themeColor="text1"/>
        </w:rPr>
        <w:instrText xml:space="preserve"> ADDIN EN.CITE &lt;EndNote&gt;&lt;Cite&gt;&lt;Author&gt;Bernard&lt;/Author&gt;&lt;Year&gt;2016&lt;/Year&gt;&lt;RecNum&gt;19&lt;/RecNum&gt;&lt;DisplayText&gt;(Bernard et al., 2016)&lt;/DisplayText&gt;&lt;record&gt;&lt;rec-number&gt;19&lt;/rec-number&gt;&lt;foreign-keys&gt;&lt;key app="EN" db-id="dwpxf0f0kx2257ef50bpwvr9xsvzdp90d2wf" timestamp="1680708456"&gt;19&lt;/key&gt;&lt;/foreign-keys&gt;&lt;ref-type name="Journal Article"&gt;17&lt;/ref-type&gt;&lt;contributors&gt;&lt;authors&gt;&lt;author&gt;Bernard, Simon&lt;/author&gt;&lt;author&gt;Kazemirad, Siavash&lt;/author&gt;&lt;author&gt;Cloutier, Guy&lt;/author&gt;&lt;/authors&gt;&lt;/contributors&gt;&lt;titles&gt;&lt;title&gt;A frequency-shift method to measure shear-wave attenuation in soft tissues&lt;/title&gt;&lt;secondary-title&gt;IEEE transactions on ultrasonics, ferroelectrics, and frequency control&lt;/secondary-title&gt;&lt;/titles&gt;&lt;periodical&gt;&lt;full-title&gt;IEEE transactions on ultrasonics, ferroelectrics, and frequency control&lt;/full-title&gt;&lt;/periodical&gt;&lt;pages&gt;514-524&lt;/pages&gt;&lt;volume&gt;64&lt;/volume&gt;&lt;number&gt;3&lt;/number&gt;&lt;dates&gt;&lt;year&gt;2016&lt;/year&gt;&lt;/dates&gt;&lt;isbn&gt;0885-3010&lt;/isbn&gt;&lt;urls&gt;&lt;/urls&gt;&lt;/record&gt;&lt;/Cite&gt;&lt;/EndNote&gt;</w:instrText>
      </w:r>
      <w:r w:rsidRPr="00F74FD6">
        <w:rPr>
          <w:rFonts w:asciiTheme="majorBidi" w:hAnsiTheme="majorBidi" w:cstheme="majorBidi"/>
          <w:color w:val="000000" w:themeColor="text1"/>
        </w:rPr>
        <w:fldChar w:fldCharType="separate"/>
      </w:r>
      <w:r w:rsidRPr="00F74FD6">
        <w:rPr>
          <w:rFonts w:asciiTheme="majorBidi" w:hAnsiTheme="majorBidi" w:cstheme="majorBidi"/>
          <w:noProof/>
          <w:color w:val="000000" w:themeColor="text1"/>
        </w:rPr>
        <w:t>(Bernard et al., 2016)</w:t>
      </w:r>
      <w:r w:rsidRPr="00F74FD6">
        <w:rPr>
          <w:rFonts w:asciiTheme="majorBidi" w:hAnsiTheme="majorBidi" w:cstheme="majorBidi"/>
          <w:color w:val="000000" w:themeColor="text1"/>
        </w:rPr>
        <w:fldChar w:fldCharType="end"/>
      </w:r>
      <w:r w:rsidRPr="00F74FD6">
        <w:rPr>
          <w:rFonts w:asciiTheme="majorBidi" w:hAnsiTheme="majorBidi" w:cstheme="majorBidi"/>
          <w:color w:val="000000" w:themeColor="tex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715"/>
      </w:tblGrid>
      <w:tr w:rsidR="00F74FD6" w:rsidRPr="00F74FD6" w14:paraId="267AA718" w14:textId="77777777" w:rsidTr="00CE581B">
        <w:tc>
          <w:tcPr>
            <w:tcW w:w="8635" w:type="dxa"/>
            <w:vAlign w:val="center"/>
          </w:tcPr>
          <w:p w14:paraId="3D17D90F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H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f,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</w:rPr>
                      <m:t>Δ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</w:rPr>
                      <m:t>Δ</m:t>
                    </m:r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715" w:type="dxa"/>
            <w:vAlign w:val="center"/>
          </w:tcPr>
          <w:p w14:paraId="56EEE958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74FD6">
              <w:rPr>
                <w:rFonts w:asciiTheme="majorBidi" w:hAnsiTheme="majorBidi" w:cstheme="majorBidi"/>
                <w:color w:val="000000" w:themeColor="text1"/>
              </w:rPr>
              <w:t>(2)</w:t>
            </w:r>
          </w:p>
        </w:tc>
      </w:tr>
    </w:tbl>
    <w:p w14:paraId="4A68FA31" w14:textId="77777777" w:rsidR="004E6B42" w:rsidRPr="00F74FD6" w:rsidRDefault="004E6B42" w:rsidP="004E6B42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The shear wave spectrum can be fitted to a gamma distribution as follows </w:t>
      </w:r>
      <w:r w:rsidRPr="00F74FD6">
        <w:rPr>
          <w:rFonts w:asciiTheme="majorBidi" w:hAnsiTheme="majorBidi" w:cstheme="majorBidi"/>
          <w:color w:val="000000" w:themeColor="text1"/>
        </w:rPr>
        <w:fldChar w:fldCharType="begin"/>
      </w:r>
      <w:r w:rsidRPr="00F74FD6">
        <w:rPr>
          <w:rFonts w:asciiTheme="majorBidi" w:hAnsiTheme="majorBidi" w:cstheme="majorBidi"/>
          <w:color w:val="000000" w:themeColor="text1"/>
        </w:rPr>
        <w:instrText xml:space="preserve"> ADDIN EN.CITE &lt;EndNote&gt;&lt;Cite&gt;&lt;Author&gt;Bernard&lt;/Author&gt;&lt;Year&gt;2016&lt;/Year&gt;&lt;RecNum&gt;19&lt;/RecNum&gt;&lt;DisplayText&gt;(Bernard et al., 2016)&lt;/DisplayText&gt;&lt;record&gt;&lt;rec-number&gt;19&lt;/rec-number&gt;&lt;foreign-keys&gt;&lt;key app="EN" db-id="dwpxf0f0kx2257ef50bpwvr9xsvzdp90d2wf" timestamp="1680708456"&gt;19&lt;/key&gt;&lt;/foreign-keys&gt;&lt;ref-type name="Journal Article"&gt;17&lt;/ref-type&gt;&lt;contributors&gt;&lt;authors&gt;&lt;author&gt;Bernard, Simon&lt;/author&gt;&lt;author&gt;Kazemirad, Siavash&lt;/author&gt;&lt;author&gt;Cloutier, Guy&lt;/author&gt;&lt;/authors&gt;&lt;/contributors&gt;&lt;titles&gt;&lt;title&gt;A frequency-shift method to measure shear-wave attenuation in soft tissues&lt;/title&gt;&lt;secondary-title&gt;IEEE transactions on ultrasonics, ferroelectrics, and frequency control&lt;/secondary-title&gt;&lt;/titles&gt;&lt;periodical&gt;&lt;full-title&gt;IEEE transactions on ultrasonics, ferroelectrics, and frequency control&lt;/full-title&gt;&lt;/periodical&gt;&lt;pages&gt;514-524&lt;/pages&gt;&lt;volume&gt;64&lt;/volume&gt;&lt;number&gt;3&lt;/number&gt;&lt;dates&gt;&lt;year&gt;2016&lt;/year&gt;&lt;/dates&gt;&lt;isbn&gt;0885-3010&lt;/isbn&gt;&lt;urls&gt;&lt;/urls&gt;&lt;/record&gt;&lt;/Cite&gt;&lt;/EndNote&gt;</w:instrText>
      </w:r>
      <w:r w:rsidRPr="00F74FD6">
        <w:rPr>
          <w:rFonts w:asciiTheme="majorBidi" w:hAnsiTheme="majorBidi" w:cstheme="majorBidi"/>
          <w:color w:val="000000" w:themeColor="text1"/>
        </w:rPr>
        <w:fldChar w:fldCharType="separate"/>
      </w:r>
      <w:r w:rsidRPr="00F74FD6">
        <w:rPr>
          <w:rFonts w:asciiTheme="majorBidi" w:hAnsiTheme="majorBidi" w:cstheme="majorBidi"/>
          <w:noProof/>
          <w:color w:val="000000" w:themeColor="text1"/>
        </w:rPr>
        <w:t>(Bernard et al., 2016)</w:t>
      </w:r>
      <w:r w:rsidRPr="00F74FD6">
        <w:rPr>
          <w:rFonts w:asciiTheme="majorBidi" w:hAnsiTheme="majorBidi" w:cstheme="majorBidi"/>
          <w:color w:val="000000" w:themeColor="text1"/>
        </w:rPr>
        <w:fldChar w:fldCharType="end"/>
      </w:r>
      <w:r w:rsidRPr="00F74FD6">
        <w:rPr>
          <w:rFonts w:asciiTheme="majorBidi" w:hAnsiTheme="majorBidi" w:cstheme="majorBidi"/>
          <w:color w:val="000000" w:themeColor="text1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715"/>
      </w:tblGrid>
      <w:tr w:rsidR="00F74FD6" w:rsidRPr="00F74FD6" w14:paraId="657BA7AF" w14:textId="77777777" w:rsidTr="00CE581B">
        <w:tc>
          <w:tcPr>
            <w:tcW w:w="8635" w:type="dxa"/>
            <w:vAlign w:val="center"/>
          </w:tcPr>
          <w:p w14:paraId="385305AA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m:oMath>
              <m:r>
                <w:rPr>
                  <w:rFonts w:ascii="Cambria Math" w:hAnsi="Cambria Math" w:cstheme="majorBidi"/>
                  <w:color w:val="000000" w:themeColor="text1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 w:themeColor="text1"/>
                    </w:rPr>
                    <m:t>f</m:t>
                  </m:r>
                </m:e>
              </m:d>
              <m:r>
                <w:rPr>
                  <w:rFonts w:ascii="Cambria Math" w:hAnsi="Cambria Math" w:cstheme="majorBidi"/>
                  <w:color w:val="000000" w:themeColor="text1"/>
                </w:rPr>
                <m:t>∝A∙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</w:rPr>
                    <m:t>f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000000" w:themeColor="text1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color w:val="000000" w:themeColor="text1"/>
                </w:rPr>
                <m:t>∙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</w:rPr>
                    <m:t>-f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0</m:t>
                      </m:r>
                    </m:sub>
                  </m:sSub>
                </m:sup>
              </m:sSup>
            </m:oMath>
            <w:r w:rsidRPr="00F74FD6">
              <w:rPr>
                <w:rFonts w:asciiTheme="majorBidi" w:hAnsiTheme="majorBidi" w:cstheme="majorBidi"/>
                <w:iCs/>
                <w:color w:val="000000" w:themeColor="text1"/>
              </w:rPr>
              <w:t>,</w:t>
            </w:r>
          </w:p>
        </w:tc>
        <w:tc>
          <w:tcPr>
            <w:tcW w:w="715" w:type="dxa"/>
            <w:vAlign w:val="center"/>
          </w:tcPr>
          <w:p w14:paraId="640D18C2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74FD6">
              <w:rPr>
                <w:rFonts w:asciiTheme="majorBidi" w:hAnsiTheme="majorBidi" w:cstheme="majorBidi"/>
                <w:color w:val="000000" w:themeColor="text1"/>
              </w:rPr>
              <w:t>(3)</w:t>
            </w:r>
          </w:p>
        </w:tc>
      </w:tr>
    </w:tbl>
    <w:p w14:paraId="53DCE347" w14:textId="77777777" w:rsidR="004E6B42" w:rsidRPr="00F74FD6" w:rsidRDefault="004E6B42" w:rsidP="004E6B42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 represent the shape and rate parameters, respectively, which characterize a Gamma distribution;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 xml:space="preserve"> A</w:t>
      </w:r>
      <w:r w:rsidRPr="00F74FD6">
        <w:rPr>
          <w:rFonts w:asciiTheme="majorBidi" w:hAnsiTheme="majorBidi" w:cstheme="majorBidi"/>
          <w:color w:val="000000" w:themeColor="text1"/>
        </w:rPr>
        <w:t xml:space="preserve"> is the amplitude. In the standard frequency shift method </w:t>
      </w:r>
      <w:r w:rsidRPr="00F74FD6">
        <w:rPr>
          <w:rFonts w:asciiTheme="majorBidi" w:hAnsiTheme="majorBidi" w:cstheme="majorBidi"/>
          <w:color w:val="000000" w:themeColor="text1"/>
        </w:rPr>
        <w:fldChar w:fldCharType="begin"/>
      </w:r>
      <w:r w:rsidRPr="00F74FD6">
        <w:rPr>
          <w:rFonts w:asciiTheme="majorBidi" w:hAnsiTheme="majorBidi" w:cstheme="majorBidi"/>
          <w:color w:val="000000" w:themeColor="text1"/>
        </w:rPr>
        <w:instrText xml:space="preserve"> ADDIN EN.CITE &lt;EndNote&gt;&lt;Cite&gt;&lt;Author&gt;Bernard&lt;/Author&gt;&lt;Year&gt;2016&lt;/Year&gt;&lt;RecNum&gt;19&lt;/RecNum&gt;&lt;DisplayText&gt;(Bernard et al., 2016)&lt;/DisplayText&gt;&lt;record&gt;&lt;rec-number&gt;19&lt;/rec-number&gt;&lt;foreign-keys&gt;&lt;key app="EN" db-id="dwpxf0f0kx2257ef50bpwvr9xsvzdp90d2wf" timestamp="1680708456"&gt;19&lt;/key&gt;&lt;/foreign-keys&gt;&lt;ref-type name="Journal Article"&gt;17&lt;/ref-type&gt;&lt;contributors&gt;&lt;authors&gt;&lt;author&gt;Bernard, Simon&lt;/author&gt;&lt;author&gt;Kazemirad, Siavash&lt;/author&gt;&lt;author&gt;Cloutier, Guy&lt;/author&gt;&lt;/authors&gt;&lt;/contributors&gt;&lt;titles&gt;&lt;title&gt;A frequency-shift method to measure shear-wave attenuation in soft tissues&lt;/title&gt;&lt;secondary-title&gt;IEEE transactions on ultrasonics, ferroelectrics, and frequency control&lt;/secondary-title&gt;&lt;/titles&gt;&lt;periodical&gt;&lt;full-title&gt;IEEE transactions on ultrasonics, ferroelectrics, and frequency control&lt;/full-title&gt;&lt;/periodical&gt;&lt;pages&gt;514-524&lt;/pages&gt;&lt;volume&gt;64&lt;/volume&gt;&lt;number&gt;3&lt;/number&gt;&lt;dates&gt;&lt;year&gt;2016&lt;/year&gt;&lt;/dates&gt;&lt;isbn&gt;0885-3010&lt;/isbn&gt;&lt;urls&gt;&lt;/urls&gt;&lt;/record&gt;&lt;/Cite&gt;&lt;/EndNote&gt;</w:instrText>
      </w:r>
      <w:r w:rsidRPr="00F74FD6">
        <w:rPr>
          <w:rFonts w:asciiTheme="majorBidi" w:hAnsiTheme="majorBidi" w:cstheme="majorBidi"/>
          <w:color w:val="000000" w:themeColor="text1"/>
        </w:rPr>
        <w:fldChar w:fldCharType="separate"/>
      </w:r>
      <w:r w:rsidRPr="00F74FD6">
        <w:rPr>
          <w:rFonts w:asciiTheme="majorBidi" w:hAnsiTheme="majorBidi" w:cstheme="majorBidi"/>
          <w:noProof/>
          <w:color w:val="000000" w:themeColor="text1"/>
        </w:rPr>
        <w:t>(Bernard et al., 2016)</w:t>
      </w:r>
      <w:r w:rsidRPr="00F74FD6">
        <w:rPr>
          <w:rFonts w:asciiTheme="majorBidi" w:hAnsiTheme="majorBidi" w:cstheme="majorBidi"/>
          <w:color w:val="000000" w:themeColor="text1"/>
        </w:rPr>
        <w:fldChar w:fldCharType="end"/>
      </w:r>
      <w:r w:rsidRPr="00F74FD6">
        <w:rPr>
          <w:rFonts w:asciiTheme="majorBidi" w:hAnsiTheme="majorBidi" w:cstheme="majorBidi"/>
          <w:color w:val="000000" w:themeColor="text1"/>
        </w:rPr>
        <w:t xml:space="preserve">, the shape parameter,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, is assumed to be constant as the shear waves propagate, but the spatial variation of the attenuation coefficient changes the rate parameter. Therefore, </w:t>
      </w:r>
      <m:oMath>
        <m:r>
          <w:rPr>
            <w:rFonts w:ascii="Cambria Math" w:hAnsi="Cambria Math" w:cstheme="majorBidi"/>
            <w:color w:val="000000" w:themeColor="text1"/>
          </w:rPr>
          <m:t>Eq. 1</m:t>
        </m:r>
      </m:oMath>
      <w:r w:rsidRPr="00F74FD6">
        <w:rPr>
          <w:rFonts w:asciiTheme="majorBidi" w:hAnsiTheme="majorBidi" w:cstheme="majorBidi"/>
          <w:color w:val="000000" w:themeColor="text1"/>
        </w:rPr>
        <w:t xml:space="preserve"> can be expressed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715"/>
      </w:tblGrid>
      <w:tr w:rsidR="00F74FD6" w:rsidRPr="00F74FD6" w14:paraId="2E47E76F" w14:textId="77777777" w:rsidTr="00CE581B">
        <w:tc>
          <w:tcPr>
            <w:tcW w:w="8635" w:type="dxa"/>
            <w:vAlign w:val="center"/>
          </w:tcPr>
          <w:p w14:paraId="5C07FA8D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∝A∙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color w:val="000000" w:themeColor="text1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Δ</m:t>
                        </m:r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x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715" w:type="dxa"/>
            <w:vAlign w:val="center"/>
          </w:tcPr>
          <w:p w14:paraId="3923D24F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74FD6">
              <w:rPr>
                <w:rFonts w:asciiTheme="majorBidi" w:hAnsiTheme="majorBidi" w:cstheme="majorBidi"/>
                <w:color w:val="000000" w:themeColor="text1"/>
              </w:rPr>
              <w:t>(4)</w:t>
            </w:r>
          </w:p>
        </w:tc>
      </w:tr>
    </w:tbl>
    <w:p w14:paraId="178652C9" w14:textId="77777777" w:rsidR="004E6B42" w:rsidRPr="00F74FD6" w:rsidRDefault="004E6B42" w:rsidP="004E6B42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 is the slope of the line. Calculating the rate parameter over a range of lateral positions,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</m:oMath>
      <w:r w:rsidRPr="00F74FD6">
        <w:rPr>
          <w:rFonts w:asciiTheme="majorBidi" w:hAnsiTheme="majorBidi" w:cstheme="majorBidi"/>
          <w:color w:val="000000" w:themeColor="text1"/>
        </w:rPr>
        <w:t xml:space="preserve"> is estimated by minimizing the following optimization function in least squared sense: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715"/>
      </w:tblGrid>
      <w:tr w:rsidR="00F74FD6" w:rsidRPr="00F74FD6" w14:paraId="4AEED845" w14:textId="77777777" w:rsidTr="00CE581B">
        <w:tc>
          <w:tcPr>
            <w:tcW w:w="8635" w:type="dxa"/>
            <w:vAlign w:val="center"/>
          </w:tcPr>
          <w:p w14:paraId="1722AB1C" w14:textId="77777777" w:rsidR="004E6B42" w:rsidRPr="00F74FD6" w:rsidRDefault="00000000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A,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,β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Δ</m:t>
                        </m:r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</w:rPr>
                      <m:t>argmin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A,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,β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Δ</m:t>
                        </m:r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x</m:t>
                        </m:r>
                      </m:e>
                    </m:d>
                  </m:sub>
                </m:sSub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-S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715" w:type="dxa"/>
            <w:vAlign w:val="center"/>
          </w:tcPr>
          <w:p w14:paraId="280B0C98" w14:textId="77777777" w:rsidR="004E6B42" w:rsidRPr="00F74FD6" w:rsidRDefault="004E6B42" w:rsidP="00CE581B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74FD6">
              <w:rPr>
                <w:rFonts w:asciiTheme="majorBidi" w:hAnsiTheme="majorBidi" w:cstheme="majorBidi"/>
                <w:color w:val="000000" w:themeColor="text1"/>
              </w:rPr>
              <w:t>(5)</w:t>
            </w:r>
          </w:p>
        </w:tc>
      </w:tr>
    </w:tbl>
    <w:p w14:paraId="47EB999F" w14:textId="77777777" w:rsidR="004E6B42" w:rsidRPr="00F74FD6" w:rsidRDefault="004E6B42" w:rsidP="004E6B42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>Conversely, the shear wave spectrum (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S(f)</w:t>
      </w:r>
      <w:r w:rsidRPr="00F74FD6">
        <w:rPr>
          <w:rFonts w:asciiTheme="majorBidi" w:hAnsiTheme="majorBidi" w:cstheme="majorBidi"/>
          <w:color w:val="000000" w:themeColor="text1"/>
        </w:rPr>
        <w:t xml:space="preserve">) can be represented by a Gaussian distribution as follows </w:t>
      </w:r>
      <w:r w:rsidRPr="00F74FD6">
        <w:rPr>
          <w:rFonts w:asciiTheme="majorBidi" w:hAnsiTheme="majorBidi" w:cstheme="majorBidi"/>
          <w:color w:val="000000" w:themeColor="text1"/>
        </w:rPr>
        <w:fldChar w:fldCharType="begin"/>
      </w:r>
      <w:r w:rsidRPr="00F74FD6">
        <w:rPr>
          <w:rFonts w:asciiTheme="majorBidi" w:hAnsiTheme="majorBidi" w:cstheme="majorBidi"/>
          <w:color w:val="000000" w:themeColor="text1"/>
        </w:rPr>
        <w:instrText xml:space="preserve"> ADDIN EN.CITE &lt;EndNote&gt;&lt;Cite&gt;&lt;Author&gt;Parker&lt;/Author&gt;&lt;Year&gt;2014&lt;/Year&gt;&lt;RecNum&gt;35&lt;/RecNum&gt;&lt;DisplayText&gt;(Parker and Baddour, 2014)&lt;/DisplayText&gt;&lt;record&gt;&lt;rec-number&gt;35&lt;/rec-number&gt;&lt;foreign-keys&gt;&lt;key app="EN" db-id="adr0e5zf9aff97eft02x0ze2dz0tfpsvv09d" timestamp="1689346248"&gt;35&lt;/key&gt;&lt;/foreign-keys&gt;&lt;ref-type name="Journal Article"&gt;17&lt;/ref-type&gt;&lt;contributors&gt;&lt;authors&gt;&lt;author&gt;Parker, Kevin J&lt;/author&gt;&lt;author&gt;Baddour, Natalie&lt;/author&gt;&lt;/authors&gt;&lt;/contributors&gt;&lt;titles&gt;&lt;title&gt;The Gaussian shear wave in a dispersive medium&lt;/title&gt;&lt;secondary-title&gt;Ultrasound in medicine &amp;amp; biology&lt;/secondary-title&gt;&lt;/titles&gt;&lt;periodical&gt;&lt;full-title&gt;Ultrasound in medicine &amp;amp; biology&lt;/full-title&gt;&lt;/periodical&gt;&lt;pages&gt;675-684&lt;/pages&gt;&lt;volume&gt;40&lt;/volume&gt;&lt;number&gt;4&lt;/number&gt;&lt;dates&gt;&lt;year&gt;2014&lt;/year&gt;&lt;/dates&gt;&lt;isbn&gt;0301-5629&lt;/isbn&gt;&lt;urls&gt;&lt;/urls&gt;&lt;/record&gt;&lt;/Cite&gt;&lt;/EndNote&gt;</w:instrText>
      </w:r>
      <w:r w:rsidRPr="00F74FD6">
        <w:rPr>
          <w:rFonts w:asciiTheme="majorBidi" w:hAnsiTheme="majorBidi" w:cstheme="majorBidi"/>
          <w:color w:val="000000" w:themeColor="text1"/>
        </w:rPr>
        <w:fldChar w:fldCharType="separate"/>
      </w:r>
      <w:r w:rsidRPr="00F74FD6">
        <w:rPr>
          <w:rFonts w:asciiTheme="majorBidi" w:hAnsiTheme="majorBidi" w:cstheme="majorBidi"/>
          <w:noProof/>
          <w:color w:val="000000" w:themeColor="text1"/>
        </w:rPr>
        <w:t>(Parker and Baddour, 2014)</w:t>
      </w:r>
      <w:r w:rsidRPr="00F74FD6">
        <w:rPr>
          <w:rFonts w:asciiTheme="majorBidi" w:hAnsiTheme="majorBidi" w:cstheme="majorBidi"/>
          <w:color w:val="000000" w:themeColor="text1"/>
        </w:rPr>
        <w:fldChar w:fldCharType="end"/>
      </w:r>
      <w:r w:rsidRPr="00F74FD6">
        <w:rPr>
          <w:rFonts w:asciiTheme="majorBidi" w:hAnsiTheme="majorBidi" w:cstheme="majorBidi"/>
          <w:color w:val="000000" w:themeColor="text1"/>
        </w:rPr>
        <w:t xml:space="preserve">: </w:t>
      </w:r>
    </w:p>
    <w:p w14:paraId="34713856" w14:textId="77777777" w:rsidR="004E6B42" w:rsidRPr="00F74FD6" w:rsidRDefault="004E6B42" w:rsidP="004E6B42">
      <w:pPr>
        <w:spacing w:line="480" w:lineRule="auto"/>
        <w:ind w:left="2160" w:firstLine="720"/>
        <w:rPr>
          <w:rFonts w:asciiTheme="majorBidi" w:hAnsiTheme="majorBidi" w:cstheme="majorBidi"/>
          <w:color w:val="000000" w:themeColor="text1"/>
        </w:rPr>
      </w:pPr>
      <m:oMath>
        <m:r>
          <w:rPr>
            <w:rFonts w:ascii="Cambria Math" w:eastAsiaTheme="minorEastAsia" w:hAnsi="Cambria Math" w:cstheme="majorBidi"/>
            <w:color w:val="000000" w:themeColor="text1"/>
          </w:rPr>
          <w:lastRenderedPageBreak/>
          <m:t xml:space="preserve"> S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</w:rPr>
          <m:t>=A</m:t>
        </m:r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</w:rPr>
                                  <m:t>s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lang w:val="el-GR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bSup>
                  </m:den>
                </m:f>
              </m:e>
            </m:d>
          </m:e>
        </m:func>
        <m:r>
          <w:rPr>
            <w:rFonts w:ascii="Cambria Math" w:eastAsiaTheme="minorEastAsia" w:hAnsi="Cambria Math" w:cstheme="majorBidi"/>
            <w:color w:val="000000" w:themeColor="text1"/>
          </w:rPr>
          <m:t xml:space="preserve">   </m:t>
        </m:r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</w:t>
      </w:r>
      <w:r w:rsidRPr="00F74FD6">
        <w:rPr>
          <w:rFonts w:asciiTheme="majorBidi" w:hAnsiTheme="majorBidi" w:cstheme="majorBidi"/>
          <w:color w:val="000000" w:themeColor="text1"/>
        </w:rPr>
        <w:t>(6)</w:t>
      </w:r>
    </w:p>
    <w:p w14:paraId="768B1155" w14:textId="77777777" w:rsidR="004E6B42" w:rsidRPr="00F74FD6" w:rsidRDefault="004E6B42" w:rsidP="004E6B42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Here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f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s</w:t>
      </w:r>
      <w:r w:rsidRPr="00F74FD6">
        <w:rPr>
          <w:rFonts w:asciiTheme="majorBidi" w:hAnsiTheme="majorBidi" w:cstheme="majorBidi"/>
          <w:color w:val="000000" w:themeColor="text1"/>
        </w:rPr>
        <w:t xml:space="preserve">, and </w:t>
      </w:r>
      <w:r w:rsidRPr="00F74FD6">
        <w:rPr>
          <w:rFonts w:asciiTheme="majorBidi" w:hAnsiTheme="majorBidi" w:cstheme="majorBidi"/>
          <w:i/>
          <w:iCs/>
          <w:color w:val="000000" w:themeColor="text1"/>
          <w:lang w:val="el-GR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s</w:t>
      </w:r>
      <w:r w:rsidRPr="00F74FD6">
        <w:rPr>
          <w:rFonts w:asciiTheme="majorBidi" w:hAnsiTheme="majorBidi" w:cstheme="majorBidi"/>
          <w:color w:val="000000" w:themeColor="text1"/>
          <w:vertAlign w:val="subscript"/>
        </w:rPr>
        <w:t xml:space="preserve"> </w:t>
      </w:r>
      <w:r w:rsidRPr="00F74FD6">
        <w:rPr>
          <w:rFonts w:asciiTheme="majorBidi" w:hAnsiTheme="majorBidi" w:cstheme="majorBidi"/>
          <w:color w:val="000000" w:themeColor="text1"/>
        </w:rPr>
        <w:t xml:space="preserve">represent the centroid frequency and standard deviation of the shear wave spectrum, respectively. After traveling </w:t>
      </w:r>
      <w:proofErr w:type="spellStart"/>
      <w:r w:rsidRPr="00F74FD6">
        <w:rPr>
          <w:rFonts w:asciiTheme="majorBidi" w:hAnsiTheme="majorBidi" w:cstheme="majorBidi"/>
          <w:i/>
          <w:iCs/>
          <w:color w:val="000000" w:themeColor="text1"/>
        </w:rPr>
        <w:t>Δx</w:t>
      </w:r>
      <w:proofErr w:type="spellEnd"/>
      <w:r w:rsidRPr="00F74FD6">
        <w:rPr>
          <w:rFonts w:asciiTheme="majorBidi" w:hAnsiTheme="majorBidi" w:cstheme="majorBidi"/>
          <w:color w:val="000000" w:themeColor="text1"/>
        </w:rPr>
        <w:t>, the shear wave spectrum can be represented with a new Gaussian distribution (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V(f)</w:t>
      </w:r>
      <w:r w:rsidRPr="00F74FD6">
        <w:rPr>
          <w:rFonts w:asciiTheme="majorBidi" w:hAnsiTheme="majorBidi" w:cstheme="majorBidi"/>
          <w:color w:val="000000" w:themeColor="text1"/>
        </w:rPr>
        <w:t xml:space="preserve">) with a centroid frequency of </w:t>
      </w:r>
      <w:proofErr w:type="spellStart"/>
      <w:r w:rsidRPr="00F74FD6">
        <w:rPr>
          <w:rFonts w:asciiTheme="majorBidi" w:hAnsiTheme="majorBidi" w:cstheme="majorBidi"/>
          <w:i/>
          <w:iCs/>
          <w:color w:val="000000" w:themeColor="text1"/>
        </w:rPr>
        <w:t>f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v</w:t>
      </w:r>
      <w:proofErr w:type="spellEnd"/>
      <w:r w:rsidRPr="00F74FD6">
        <w:rPr>
          <w:rFonts w:asciiTheme="majorBidi" w:hAnsiTheme="majorBidi" w:cstheme="majorBidi"/>
          <w:color w:val="000000" w:themeColor="text1"/>
        </w:rPr>
        <w:t xml:space="preserve"> and a standard deviation of </w:t>
      </w:r>
      <w:r w:rsidRPr="00F74FD6">
        <w:rPr>
          <w:rFonts w:asciiTheme="majorBidi" w:hAnsiTheme="majorBidi" w:cstheme="majorBidi"/>
          <w:i/>
          <w:iCs/>
          <w:color w:val="000000" w:themeColor="text1"/>
          <w:lang w:val="el-GR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v</w:t>
      </w:r>
      <w:r w:rsidRPr="00F74FD6">
        <w:rPr>
          <w:rFonts w:asciiTheme="majorBidi" w:hAnsiTheme="majorBidi" w:cstheme="majorBidi"/>
          <w:color w:val="000000" w:themeColor="text1"/>
        </w:rPr>
        <w:t xml:space="preserve"> or alternatively as a function of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S(f)</w:t>
      </w:r>
      <w:r w:rsidRPr="00F74FD6">
        <w:rPr>
          <w:rFonts w:asciiTheme="majorBidi" w:hAnsiTheme="majorBidi" w:cstheme="majorBidi"/>
          <w:color w:val="000000" w:themeColor="text1"/>
        </w:rPr>
        <w:t xml:space="preserve"> and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H(f)</w:t>
      </w:r>
      <w:r w:rsidRPr="00F74FD6">
        <w:rPr>
          <w:rFonts w:asciiTheme="majorBidi" w:hAnsiTheme="majorBidi" w:cstheme="majorBidi"/>
          <w:color w:val="000000" w:themeColor="text1"/>
        </w:rPr>
        <w:t xml:space="preserve"> as follows: </w:t>
      </w:r>
      <w:r w:rsidRPr="00F74FD6">
        <w:rPr>
          <w:rFonts w:asciiTheme="majorBidi" w:hAnsiTheme="majorBidi" w:cstheme="majorBidi"/>
          <w:color w:val="000000" w:themeColor="text1"/>
        </w:rPr>
        <w:tab/>
      </w:r>
    </w:p>
    <w:p w14:paraId="5024DEC4" w14:textId="77777777" w:rsidR="004E6B42" w:rsidRPr="00F74FD6" w:rsidRDefault="004E6B42" w:rsidP="004E6B42">
      <w:pPr>
        <w:spacing w:line="480" w:lineRule="auto"/>
        <w:ind w:firstLine="720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</w:t>
      </w: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≈S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i/>
            <w:color w:val="000000" w:themeColor="text1"/>
          </w:rPr>
          <w:sym w:font="Symbol" w:char="F0D7"/>
        </m:r>
        <m:r>
          <w:rPr>
            <w:rFonts w:ascii="Cambria Math" w:hAnsi="Cambria Math" w:cstheme="majorBidi"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 xml:space="preserve"> =</m:t>
        </m:r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m:oMath>
        <m:r>
          <w:rPr>
            <w:rFonts w:ascii="Cambria Math" w:hAnsi="Cambria Math" w:cstheme="majorBidi"/>
            <w:color w:val="000000" w:themeColor="text1"/>
          </w:rPr>
          <m:t>A exp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</w:rPr>
                                      <m:t>f-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  <w:lang w:val="el-G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 xml:space="preserve"> </m:t>
                    </m:r>
                  </m:sup>
                </m:sSup>
                <m:ctrlPr>
                  <w:rPr>
                    <w:rFonts w:ascii="Cambria Math" w:hAnsi="Cambria Math" w:cstheme="majorBidi"/>
                    <w:i/>
                    <w:color w:val="000000" w:themeColor="text1"/>
                    <w:lang w:val="el-GR"/>
                  </w:rPr>
                </m:ctrlPr>
              </m:e>
            </m:d>
            <m: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  <m:r>
              <w:rPr>
                <w:rFonts w:ascii="Cambria Math" w:hAnsi="Cambria Math" w:cstheme="majorBidi"/>
                <w:color w:val="000000" w:themeColor="text1"/>
                <w:lang w:val="el-GR"/>
              </w:rPr>
              <m:t>exp</m:t>
            </m:r>
            <m:r>
              <w:rPr>
                <w:rFonts w:ascii="Cambria Math" w:hAnsi="Cambria Math" w:cstheme="majorBidi"/>
                <w:color w:val="000000" w:themeColor="text1"/>
              </w:rPr>
              <m:t>⁡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>(-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  <m:r>
              <w:rPr>
                <w:rFonts w:ascii="Cambria Math" w:hAnsi="Cambria Math" w:cstheme="majorBidi"/>
                <w:color w:val="000000" w:themeColor="text1"/>
                <w:lang w:val="el-GR"/>
              </w:rPr>
              <m:t>Δ</m:t>
            </m:r>
            <m:r>
              <w:rPr>
                <w:rFonts w:ascii="Cambria Math" w:hAnsi="Cambria Math" w:cstheme="majorBidi"/>
                <w:color w:val="000000" w:themeColor="text1"/>
              </w:rPr>
              <m:t>x)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e>
          <m:sup>
            <m: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</m:sup>
        </m:sSup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</w:t>
      </w:r>
      <w:r w:rsidRPr="00F74FD6">
        <w:rPr>
          <w:rFonts w:asciiTheme="majorBidi" w:hAnsiTheme="majorBidi" w:cstheme="majorBidi"/>
          <w:color w:val="000000" w:themeColor="text1"/>
        </w:rPr>
        <w:t>(7)</w:t>
      </w:r>
    </w:p>
    <w:p w14:paraId="3182ECD5" w14:textId="77777777" w:rsidR="004E6B42" w:rsidRPr="00F74FD6" w:rsidRDefault="004E6B42" w:rsidP="004E6B42">
      <w:pPr>
        <w:keepNext/>
        <w:spacing w:line="480" w:lineRule="auto"/>
        <w:ind w:left="1440" w:firstLine="720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 xml:space="preserve">     </w:t>
      </w: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 exp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</w:rPr>
                                      <m:t>f-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  <w:lang w:val="el-G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ajorBidi"/>
                    <w:color w:val="000000" w:themeColor="text1"/>
                    <w:lang w:val="el-GR"/>
                  </w:rPr>
                  <m:t>Δ</m:t>
                </m:r>
                <m:r>
                  <w:rPr>
                    <w:rFonts w:ascii="Cambria Math" w:hAnsi="Cambria Math" w:cstheme="majorBidi"/>
                    <w:color w:val="000000" w:themeColor="text1"/>
                  </w:rPr>
                  <m:t xml:space="preserve">x </m:t>
                </m:r>
                <m:ctrlPr>
                  <w:rPr>
                    <w:rFonts w:ascii="Cambria Math" w:hAnsi="Cambria Math" w:cstheme="majorBidi"/>
                    <w:i/>
                    <w:color w:val="000000" w:themeColor="text1"/>
                    <w:lang w:val="el-GR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e>
          <m:sup>
            <m: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</m:sup>
        </m:sSup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                                           </w:t>
      </w:r>
      <w:r w:rsidRPr="00F74FD6">
        <w:rPr>
          <w:rFonts w:asciiTheme="majorBidi" w:hAnsiTheme="majorBidi" w:cstheme="majorBidi"/>
          <w:color w:val="000000" w:themeColor="text1"/>
        </w:rPr>
        <w:t>(8)</w:t>
      </w:r>
    </w:p>
    <w:p w14:paraId="06C462E0" w14:textId="77777777" w:rsidR="004E6B42" w:rsidRPr="00F74FD6" w:rsidRDefault="004E6B42" w:rsidP="004E6B42">
      <w:pPr>
        <w:spacing w:line="480" w:lineRule="auto"/>
        <w:rPr>
          <w:rFonts w:asciiTheme="majorBidi" w:hAnsiTheme="majorBidi" w:cstheme="majorBidi"/>
          <w:iCs/>
          <w:color w:val="000000" w:themeColor="text1"/>
        </w:rPr>
      </w:pPr>
      <w:r w:rsidRPr="00F74FD6">
        <w:rPr>
          <w:rFonts w:asciiTheme="majorBidi" w:hAnsiTheme="majorBidi" w:cstheme="majorBidi"/>
          <w:iCs/>
          <w:color w:val="000000" w:themeColor="text1"/>
        </w:rPr>
        <w:t xml:space="preserve">Furthermore, we can rearrange the equation as follows: </w:t>
      </w:r>
    </w:p>
    <w:p w14:paraId="3711E765" w14:textId="77777777" w:rsidR="004E6B42" w:rsidRPr="00F74FD6" w:rsidRDefault="004E6B42" w:rsidP="004E6B42">
      <w:pPr>
        <w:spacing w:line="480" w:lineRule="auto"/>
        <w:ind w:left="1440" w:firstLine="720"/>
        <w:rPr>
          <w:rFonts w:asciiTheme="majorBidi" w:hAnsiTheme="majorBidi" w:cstheme="majorBidi"/>
          <w:iCs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   </w:t>
      </w: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 exp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</w:rPr>
                                      <m:t>f-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000000" w:themeColor="text1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 xml:space="preserve">+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lang w:val="el-GR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x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σ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  <w:lang w:val="el-GR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  <w:lang w:val="el-G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 xml:space="preserve"> </m:t>
                    </m:r>
                  </m:sup>
                </m:sSup>
                <m:ctrlPr>
                  <w:rPr>
                    <w:rFonts w:ascii="Cambria Math" w:hAnsi="Cambria Math" w:cstheme="majorBidi"/>
                    <w:i/>
                    <w:color w:val="000000" w:themeColor="text1"/>
                    <w:lang w:val="el-GR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e>
          <m:sup>
            <m: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</m:sup>
        </m:sSup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                                   </w:t>
      </w:r>
      <w:r w:rsidRPr="00F74FD6">
        <w:rPr>
          <w:rFonts w:asciiTheme="majorBidi" w:hAnsiTheme="majorBidi" w:cstheme="majorBidi"/>
          <w:color w:val="000000" w:themeColor="text1"/>
        </w:rPr>
        <w:t>(9)</w:t>
      </w:r>
    </w:p>
    <w:p w14:paraId="44E6D420" w14:textId="77777777" w:rsidR="004E6B42" w:rsidRPr="00F74FD6" w:rsidRDefault="004E6B42" w:rsidP="004E6B42">
      <w:pPr>
        <w:spacing w:line="480" w:lineRule="auto"/>
        <w:rPr>
          <w:rFonts w:asciiTheme="majorBidi" w:hAnsiTheme="majorBidi" w:cstheme="majorBidi"/>
          <w:iCs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Mathematically, a relationship between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S(f)</w:t>
      </w:r>
      <w:r w:rsidRPr="00F74FD6">
        <w:rPr>
          <w:rFonts w:asciiTheme="majorBidi" w:hAnsiTheme="majorBidi" w:cstheme="majorBidi"/>
          <w:color w:val="000000" w:themeColor="text1"/>
        </w:rPr>
        <w:t xml:space="preserve"> and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V(f)</w:t>
      </w:r>
      <w:r w:rsidRPr="00F74FD6">
        <w:rPr>
          <w:rFonts w:asciiTheme="majorBidi" w:hAnsiTheme="majorBidi" w:cstheme="majorBidi"/>
          <w:color w:val="000000" w:themeColor="text1"/>
        </w:rPr>
        <w:t xml:space="preserve"> can only be established if both spectra have a common standard deviation (</w:t>
      </w:r>
      <w:r w:rsidRPr="00F74FD6">
        <w:rPr>
          <w:rFonts w:asciiTheme="majorBidi" w:hAnsiTheme="majorBidi" w:cstheme="majorBidi"/>
          <w:i/>
          <w:iCs/>
          <w:color w:val="000000" w:themeColor="text1"/>
          <w:lang w:val="el-GR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v</w:t>
      </w:r>
      <w:r w:rsidRPr="00F74FD6">
        <w:rPr>
          <w:rFonts w:asciiTheme="majorBidi" w:hAnsiTheme="majorBidi" w:cstheme="majorBidi"/>
          <w:color w:val="000000" w:themeColor="text1"/>
          <w:vertAlign w:val="subscript"/>
        </w:rPr>
        <w:t xml:space="preserve"> </w:t>
      </w:r>
      <w:r w:rsidRPr="00F74FD6">
        <w:rPr>
          <w:rFonts w:asciiTheme="majorBidi" w:hAnsiTheme="majorBidi" w:cstheme="majorBidi"/>
          <w:color w:val="000000" w:themeColor="text1"/>
        </w:rPr>
        <w:t xml:space="preserve">= </w:t>
      </w:r>
      <w:proofErr w:type="spellStart"/>
      <w:r w:rsidRPr="00F74FD6">
        <w:rPr>
          <w:rFonts w:asciiTheme="majorBidi" w:hAnsiTheme="majorBidi" w:cstheme="majorBidi"/>
          <w:i/>
          <w:iCs/>
          <w:color w:val="000000" w:themeColor="text1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s</w:t>
      </w:r>
      <w:proofErr w:type="spellEnd"/>
      <w:r w:rsidRPr="00F74FD6">
        <w:rPr>
          <w:rFonts w:asciiTheme="majorBidi" w:hAnsiTheme="majorBidi" w:cstheme="majorBidi"/>
          <w:color w:val="000000" w:themeColor="text1"/>
        </w:rPr>
        <w:t xml:space="preserve">). Hence, the centroid frequencies is the only varying parameter for the Gaussian distribution. Assuming that </w:t>
      </w:r>
      <w:r w:rsidRPr="00F74FD6">
        <w:rPr>
          <w:rFonts w:asciiTheme="majorBidi" w:hAnsiTheme="majorBidi" w:cstheme="majorBidi"/>
          <w:i/>
          <w:iCs/>
          <w:color w:val="000000" w:themeColor="text1"/>
          <w:lang w:val="el-GR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v</w:t>
      </w:r>
      <w:r w:rsidRPr="00F74FD6">
        <w:rPr>
          <w:rFonts w:asciiTheme="majorBidi" w:hAnsiTheme="majorBidi" w:cstheme="majorBidi"/>
          <w:color w:val="000000" w:themeColor="text1"/>
          <w:vertAlign w:val="subscript"/>
        </w:rPr>
        <w:t xml:space="preserve"> </w:t>
      </w:r>
      <w:r w:rsidRPr="00F74FD6">
        <w:rPr>
          <w:rFonts w:asciiTheme="majorBidi" w:hAnsiTheme="majorBidi" w:cstheme="majorBidi"/>
          <w:color w:val="000000" w:themeColor="text1"/>
        </w:rPr>
        <w:t xml:space="preserve">is equal to </w:t>
      </w:r>
      <w:proofErr w:type="spellStart"/>
      <w:r w:rsidRPr="00F74FD6">
        <w:rPr>
          <w:rFonts w:asciiTheme="majorBidi" w:hAnsiTheme="majorBidi" w:cstheme="majorBidi"/>
          <w:i/>
          <w:iCs/>
          <w:color w:val="000000" w:themeColor="text1"/>
        </w:rPr>
        <w:t>σ</w:t>
      </w:r>
      <w:r w:rsidRPr="00F74FD6">
        <w:rPr>
          <w:rFonts w:asciiTheme="majorBidi" w:hAnsiTheme="majorBidi" w:cstheme="majorBidi"/>
          <w:i/>
          <w:iCs/>
          <w:color w:val="000000" w:themeColor="text1"/>
          <w:vertAlign w:val="subscript"/>
        </w:rPr>
        <w:t>s</w:t>
      </w:r>
      <w:proofErr w:type="spellEnd"/>
      <w:r w:rsidRPr="00F74FD6">
        <w:rPr>
          <w:rFonts w:asciiTheme="majorBidi" w:hAnsiTheme="majorBidi" w:cstheme="majorBidi"/>
          <w:color w:val="000000" w:themeColor="text1"/>
        </w:rPr>
        <w:t xml:space="preserve">,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Eq. 5</w:t>
      </w:r>
      <w:r w:rsidRPr="00F74FD6">
        <w:rPr>
          <w:rFonts w:asciiTheme="majorBidi" w:hAnsiTheme="majorBidi" w:cstheme="majorBidi"/>
          <w:color w:val="000000" w:themeColor="text1"/>
        </w:rPr>
        <w:t xml:space="preserve"> is expanded as follows:</w:t>
      </w:r>
    </w:p>
    <w:p w14:paraId="66649F92" w14:textId="77777777" w:rsidR="004E6B42" w:rsidRPr="00F74FD6" w:rsidRDefault="004E6B42" w:rsidP="004E6B42">
      <w:pPr>
        <w:keepNext/>
        <w:spacing w:line="480" w:lineRule="auto"/>
        <w:ind w:left="1440" w:firstLine="720"/>
        <w:jc w:val="both"/>
        <w:rPr>
          <w:rFonts w:asciiTheme="majorBidi" w:hAnsiTheme="majorBidi" w:cstheme="majorBidi"/>
          <w:color w:val="000000" w:themeColor="text1"/>
        </w:rPr>
      </w:pPr>
      <m:oMath>
        <m:r>
          <w:rPr>
            <w:rFonts w:ascii="Cambria Math" w:hAnsi="Cambria Math" w:cstheme="majorBidi"/>
            <w:color w:val="000000" w:themeColor="text1"/>
          </w:rPr>
          <w:lastRenderedPageBreak/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</m:t>
        </m:r>
        <m:func>
          <m:func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 w:cstheme="majorBidi"/>
                <w:color w:val="000000" w:themeColor="text1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 xml:space="preserve">-2 f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 xml:space="preserve">f </m:t>
                        </m:r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l-GR"/>
                          </w:rPr>
                          <m:t>Δ</m:t>
                        </m:r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 xml:space="preserve">x 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lang w:val="el-GR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2</m:t>
                            </m:r>
                          </m:sup>
                        </m:sSubSup>
                      </m:e>
                    </m:d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l-GR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bSup>
                  </m:den>
                </m:f>
              </m:e>
            </m:d>
            <m:r>
              <w:rPr>
                <w:rFonts w:ascii="Cambria Math" w:hAnsi="Cambria Math" w:cstheme="majorBidi"/>
                <w:color w:val="000000" w:themeColor="text1"/>
              </w:rPr>
              <m:t xml:space="preserve"> </m:t>
            </m:r>
          </m:e>
        </m:func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</w:t>
      </w:r>
      <w:r w:rsidRPr="00F74FD6">
        <w:rPr>
          <w:rFonts w:asciiTheme="majorBidi" w:hAnsiTheme="majorBidi" w:cstheme="majorBidi"/>
          <w:color w:val="000000" w:themeColor="text1"/>
        </w:rPr>
        <w:t>(10)</w:t>
      </w:r>
    </w:p>
    <w:p w14:paraId="3D4A9CF9" w14:textId="77777777" w:rsidR="004E6B42" w:rsidRPr="00F74FD6" w:rsidRDefault="004E6B42" w:rsidP="004E6B42">
      <w:pPr>
        <w:keepNext/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Simplifying further: </w:t>
      </w:r>
    </w:p>
    <w:p w14:paraId="7274DCBD" w14:textId="77777777" w:rsidR="004E6B42" w:rsidRPr="00F74FD6" w:rsidRDefault="004E6B42" w:rsidP="004E6B42">
      <w:pPr>
        <w:keepNext/>
        <w:spacing w:line="480" w:lineRule="auto"/>
        <w:ind w:left="1440" w:firstLine="720"/>
        <w:rPr>
          <w:rFonts w:asciiTheme="majorBidi" w:hAnsiTheme="majorBidi" w:cstheme="majorBidi"/>
          <w:color w:val="000000" w:themeColor="text1"/>
        </w:rPr>
      </w:pP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 exp⁡(-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color w:val="000000" w:themeColor="text1"/>
                  </w:rPr>
                  <m:t xml:space="preserve">-2 f(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</w:rPr>
                  <m:t>-0.5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theme="majorBidi"/>
                    <w:color w:val="000000" w:themeColor="text1"/>
                    <w:lang w:val="el-GR"/>
                  </w:rPr>
                  <m:t>Δ</m:t>
                </m:r>
                <m:r>
                  <w:rPr>
                    <w:rFonts w:ascii="Cambria Math" w:hAnsi="Cambria Math" w:cstheme="majorBidi"/>
                    <w:color w:val="000000" w:themeColor="text1"/>
                  </w:rPr>
                  <m:t xml:space="preserve">x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l-G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ajorBidi"/>
                    <w:color w:val="000000" w:themeColor="text1"/>
                  </w:rPr>
                  <m:t>)+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2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hAnsi="Cambria Math" w:cstheme="majorBidi"/>
                    <w:color w:val="000000" w:themeColor="text1"/>
                    <w:lang w:val="el-GR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</w:rPr>
                  <m:t>s</m:t>
                </m:r>
              </m:sub>
              <m:sup>
                <m:r>
                  <w:rPr>
                    <w:rFonts w:ascii="Cambria Math" w:hAnsi="Cambria Math" w:cstheme="majorBidi"/>
                    <w:color w:val="000000" w:themeColor="text1"/>
                  </w:rPr>
                  <m:t>2</m:t>
                </m:r>
              </m:sup>
            </m:sSubSup>
          </m:den>
        </m:f>
        <m:r>
          <w:rPr>
            <w:rFonts w:ascii="Cambria Math" w:hAnsi="Cambria Math" w:cstheme="majorBidi"/>
            <w:color w:val="000000" w:themeColor="text1"/>
          </w:rPr>
          <m:t>)</m:t>
        </m:r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                                         </w:t>
      </w:r>
      <w:r w:rsidRPr="00F74FD6">
        <w:rPr>
          <w:rFonts w:asciiTheme="majorBidi" w:hAnsiTheme="majorBidi" w:cstheme="majorBidi"/>
          <w:color w:val="000000" w:themeColor="text1"/>
        </w:rPr>
        <w:t>(11)</w:t>
      </w:r>
    </w:p>
    <w:p w14:paraId="0845282A" w14:textId="77777777" w:rsidR="004E6B42" w:rsidRPr="00F74FD6" w:rsidRDefault="004E6B42" w:rsidP="004E6B42">
      <w:pPr>
        <w:keepNext/>
        <w:spacing w:line="480" w:lineRule="auto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hAnsiTheme="majorBidi" w:cstheme="majorBidi"/>
          <w:color w:val="000000" w:themeColor="text1"/>
        </w:rPr>
        <w:t xml:space="preserve">This can be rewritten as: </w:t>
      </w:r>
    </w:p>
    <w:p w14:paraId="60227D24" w14:textId="77777777" w:rsidR="004E6B42" w:rsidRPr="00F74FD6" w:rsidRDefault="004E6B42" w:rsidP="004E6B42">
      <w:pPr>
        <w:keepNext/>
        <w:spacing w:line="480" w:lineRule="auto"/>
        <w:ind w:left="1440" w:firstLine="720"/>
        <w:jc w:val="both"/>
        <w:rPr>
          <w:rFonts w:asciiTheme="majorBidi" w:hAnsiTheme="majorBidi" w:cstheme="majorBidi"/>
          <w:color w:val="000000" w:themeColor="text1"/>
        </w:rPr>
      </w:pP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</m:t>
        </m:r>
        <m:func>
          <m:func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 w:cstheme="majorBidi"/>
                <w:color w:val="000000" w:themeColor="text1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(f-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fs-0.5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Δx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  <w:lang w:val="el-GR"/>
                                  </w:rPr>
                                  <m:t>σ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  <w:lang w:val="el-GR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+Q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l-GR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bSup>
                  </m:den>
                </m:f>
              </m:e>
            </m:d>
            <m:ctrlP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</m:ctrlPr>
          </m:e>
        </m:func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 </w:t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            </w:t>
      </w:r>
      <w:r w:rsidRPr="00F74FD6">
        <w:rPr>
          <w:rFonts w:asciiTheme="majorBidi" w:hAnsiTheme="majorBidi" w:cstheme="majorBidi"/>
          <w:color w:val="000000" w:themeColor="text1"/>
        </w:rPr>
        <w:t>(12)</w:t>
      </w:r>
    </w:p>
    <w:p w14:paraId="2627BC86" w14:textId="77777777" w:rsidR="004E6B42" w:rsidRPr="00F74FD6" w:rsidRDefault="004E6B42" w:rsidP="004E6B42">
      <w:pPr>
        <w:keepNext/>
        <w:spacing w:line="480" w:lineRule="auto"/>
        <w:ind w:left="1440" w:firstLine="720"/>
        <w:jc w:val="both"/>
        <w:rPr>
          <w:rFonts w:asciiTheme="majorBidi" w:hAnsiTheme="majorBidi" w:cstheme="majorBidi"/>
          <w:color w:val="000000" w:themeColor="text1"/>
        </w:rPr>
      </w:pPr>
      <m:oMath>
        <m:r>
          <w:rPr>
            <w:rFonts w:ascii="Cambria Math" w:hAnsi="Cambria Math" w:cstheme="majorBid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</w:rPr>
          <m:t>≈A</m:t>
        </m:r>
        <m:func>
          <m:func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 w:cstheme="majorBidi"/>
                <w:color w:val="000000" w:themeColor="text1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 w:themeColor="text1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  <w:lang w:val="el-G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l-GR"/>
                          </w:rPr>
                          <m:t>σ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s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</w:rPr>
                          <m:t>2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</w:rPr>
                        </m:ctrlPr>
                      </m:sup>
                    </m:sSubSup>
                  </m:den>
                </m:f>
              </m:e>
            </m:d>
          </m:e>
        </m:func>
        <m:r>
          <w:rPr>
            <w:rFonts w:ascii="Cambria Math" w:hAnsi="Cambria Math" w:cstheme="majorBidi"/>
            <w:color w:val="000000" w:themeColor="text1"/>
          </w:rPr>
          <m:t>exp⁡(-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</w:rPr>
              <m:t>Q</m:t>
            </m:r>
          </m:num>
          <m:den>
            <m:sSubSup>
              <m:sSubSupPr>
                <m:ctrlPr>
                  <w:rPr>
                    <w:rFonts w:ascii="Cambria Math" w:hAnsi="Cambria Math" w:cstheme="majorBidi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hAnsi="Cambria Math" w:cstheme="majorBidi"/>
                    <w:color w:val="000000" w:themeColor="text1"/>
                    <w:lang w:val="el-GR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</w:rPr>
                  <m:t>s</m:t>
                </m:r>
              </m:sub>
              <m:sup>
                <m:r>
                  <w:rPr>
                    <w:rFonts w:ascii="Cambria Math" w:hAnsi="Cambria Math" w:cstheme="majorBidi"/>
                    <w:color w:val="000000" w:themeColor="text1"/>
                  </w:rPr>
                  <m:t>2</m:t>
                </m:r>
              </m:sup>
            </m:sSubSup>
          </m:den>
        </m:f>
        <m:r>
          <w:rPr>
            <w:rFonts w:ascii="Cambria Math" w:hAnsi="Cambria Math" w:cstheme="majorBidi"/>
            <w:color w:val="000000" w:themeColor="text1"/>
          </w:rPr>
          <m:t>)</m:t>
        </m:r>
      </m:oMath>
      <w:r w:rsidRPr="00F74FD6">
        <w:rPr>
          <w:rFonts w:asciiTheme="majorBidi" w:eastAsiaTheme="minorEastAsia" w:hAnsiTheme="majorBidi" w:cstheme="majorBidi"/>
          <w:color w:val="000000" w:themeColor="text1"/>
        </w:rPr>
        <w:t xml:space="preserve">   </w:t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</w:t>
      </w:r>
      <w:r w:rsidRPr="00F74FD6">
        <w:rPr>
          <w:rFonts w:asciiTheme="majorBidi" w:hAnsiTheme="majorBidi" w:cstheme="majorBidi"/>
          <w:color w:val="000000" w:themeColor="text1"/>
        </w:rPr>
        <w:t>(13)</w:t>
      </w:r>
    </w:p>
    <w:p w14:paraId="5D78307A" w14:textId="77777777" w:rsidR="004E6B42" w:rsidRPr="00F74FD6" w:rsidRDefault="004E6B42" w:rsidP="004E6B42">
      <w:pPr>
        <w:spacing w:line="480" w:lineRule="auto"/>
        <w:rPr>
          <w:rFonts w:asciiTheme="majorBidi" w:eastAsiaTheme="minorEastAsia" w:hAnsiTheme="majorBidi" w:cstheme="majorBidi"/>
          <w:iCs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where: </w:t>
      </w:r>
    </w:p>
    <w:p w14:paraId="66E8A351" w14:textId="77777777" w:rsidR="004E6B42" w:rsidRPr="00F74FD6" w:rsidRDefault="00000000" w:rsidP="004E6B42">
      <w:pPr>
        <w:keepNext/>
        <w:spacing w:line="480" w:lineRule="auto"/>
        <w:ind w:left="2160" w:firstLine="720"/>
        <w:jc w:val="both"/>
        <w:rPr>
          <w:rFonts w:asciiTheme="majorBidi" w:hAnsiTheme="majorBidi" w:cstheme="majorBidi"/>
          <w:color w:val="000000" w:themeColor="text1"/>
        </w:rPr>
      </w:pP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v</m:t>
            </m:r>
          </m:sub>
        </m:sSub>
        <m:r>
          <w:rPr>
            <w:rFonts w:ascii="Cambria Math" w:hAnsi="Cambria Math" w:cstheme="majorBidi"/>
            <w:color w:val="000000" w:themeColor="text1"/>
          </w:rPr>
          <m:t>=fs-0.5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ajorBidi"/>
            <w:color w:val="000000" w:themeColor="text1"/>
            <w:lang w:val="el-GR"/>
          </w:rPr>
          <m:t>Δ</m:t>
        </m:r>
        <m:r>
          <w:rPr>
            <w:rFonts w:ascii="Cambria Math" w:hAnsi="Cambria Math" w:cstheme="majorBidi"/>
            <w:color w:val="000000" w:themeColor="text1"/>
          </w:rPr>
          <m:t>x</m:t>
        </m:r>
        <m:sSubSup>
          <m:sSubSup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 w:cstheme="majorBidi"/>
                <w:color w:val="000000" w:themeColor="text1"/>
                <w:lang w:val="el-GR"/>
              </w:rPr>
              <m:t>σ</m:t>
            </m:r>
            <m:ctrlPr>
              <w:rPr>
                <w:rFonts w:ascii="Cambria Math" w:hAnsi="Cambria Math" w:cstheme="majorBidi"/>
                <w:i/>
                <w:color w:val="000000" w:themeColor="text1"/>
                <w:lang w:val="el-GR"/>
              </w:rPr>
            </m:ctrlPr>
          </m:e>
          <m:sub>
            <m:r>
              <w:rPr>
                <w:rFonts w:ascii="Cambria Math" w:hAnsi="Cambria Math" w:cstheme="majorBidi"/>
                <w:color w:val="000000" w:themeColor="text1"/>
              </w:rPr>
              <m:t>s</m:t>
            </m:r>
          </m:sub>
          <m:sup>
            <m:r>
              <w:rPr>
                <w:rFonts w:ascii="Cambria Math" w:hAnsi="Cambria Math" w:cstheme="majorBidi"/>
                <w:color w:val="000000" w:themeColor="text1"/>
              </w:rPr>
              <m:t>2</m:t>
            </m:r>
          </m:sup>
        </m:sSubSup>
      </m:oMath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ab/>
      </w:r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</w:t>
      </w:r>
      <w:r w:rsidR="004E6B42" w:rsidRPr="00F74FD6">
        <w:rPr>
          <w:rFonts w:asciiTheme="majorBidi" w:eastAsiaTheme="minorEastAsia" w:hAnsiTheme="majorBidi" w:cstheme="majorBidi"/>
          <w:color w:val="000000" w:themeColor="text1"/>
        </w:rPr>
        <w:tab/>
        <w:t xml:space="preserve">     </w:t>
      </w:r>
      <w:r w:rsidR="004E6B42" w:rsidRPr="00F74FD6">
        <w:rPr>
          <w:rFonts w:asciiTheme="majorBidi" w:hAnsiTheme="majorBidi" w:cstheme="majorBidi"/>
          <w:color w:val="000000" w:themeColor="text1"/>
        </w:rPr>
        <w:t>(14)</w:t>
      </w:r>
    </w:p>
    <w:p w14:paraId="05CE42F4" w14:textId="77777777" w:rsidR="004E6B42" w:rsidRPr="00F74FD6" w:rsidRDefault="004E6B42" w:rsidP="004E6B42">
      <w:pPr>
        <w:spacing w:line="480" w:lineRule="auto"/>
        <w:rPr>
          <w:rFonts w:asciiTheme="majorBidi" w:eastAsiaTheme="minorEastAsia" w:hAnsiTheme="majorBidi" w:cstheme="majorBidi"/>
          <w:iCs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>and:</w:t>
      </w:r>
    </w:p>
    <w:p w14:paraId="54EB4D07" w14:textId="77777777" w:rsidR="004E6B42" w:rsidRPr="00F74FD6" w:rsidRDefault="004E6B42" w:rsidP="004E6B42">
      <w:pPr>
        <w:keepNext/>
        <w:spacing w:line="480" w:lineRule="auto"/>
        <w:ind w:left="2160"/>
        <w:jc w:val="both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theme="majorBidi"/>
            <w:color w:val="000000" w:themeColor="text1"/>
          </w:rPr>
          <m:t>Q=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</w:rPr>
              <m:t>α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</w:rPr>
          <m:t>Δx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lang w:val="el-GR"/>
              </w:rPr>
              <m:t>σ</m:t>
            </m: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lang w:val="el-GR"/>
              </w:rPr>
            </m:ctrlP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</w:rPr>
              <m:t>s</m:t>
            </m:r>
          </m:sub>
          <m:sup>
            <m:r>
              <w:rPr>
                <w:rFonts w:ascii="Cambria Math" w:eastAsiaTheme="minorEastAsia" w:hAnsi="Cambria Math" w:cstheme="majorBidi"/>
                <w:color w:val="000000" w:themeColor="text1"/>
              </w:rPr>
              <m:t>2</m:t>
            </m:r>
          </m:sup>
        </m:sSubSup>
        <m:r>
          <w:rPr>
            <w:rFonts w:ascii="Cambria Math" w:eastAsiaTheme="minorEastAsia" w:hAnsi="Cambria Math" w:cstheme="majorBidi"/>
            <w:color w:val="000000" w:themeColor="text1"/>
          </w:rPr>
          <m:t>-</m:t>
        </m:r>
        <m:sSup>
          <m:s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</w:rPr>
                  <m:t>0.5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color w:val="000000" w:themeColor="text1"/>
                  </w:rPr>
                  <m:t>Δ</m:t>
                </m:r>
                <m:r>
                  <w:rPr>
                    <w:rFonts w:ascii="Cambria Math" w:eastAsiaTheme="minorEastAsia" w:hAnsi="Cambria Math" w:cstheme="majorBidi"/>
                    <w:color w:val="000000" w:themeColor="text1"/>
                    <w:lang w:val="el-GR"/>
                  </w:rPr>
                  <m:t>x</m:t>
                </m:r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lang w:val="el-GR"/>
                      </w:rPr>
                      <m:t>σ</m:t>
                    </m: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</w:rPr>
                      <m:t>s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theme="majorBidi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color w:val="000000" w:themeColor="text1"/>
          </w:rPr>
          <m:t xml:space="preserve">   </m:t>
        </m:r>
      </m:oMath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 xml:space="preserve">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ab/>
        <w:t xml:space="preserve">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ab/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ab/>
        <w:t xml:space="preserve">     </w:t>
      </w:r>
      <w:r w:rsidRPr="00F74FD6">
        <w:rPr>
          <w:rFonts w:asciiTheme="majorBidi" w:hAnsiTheme="majorBidi" w:cstheme="majorBidi"/>
          <w:color w:val="000000" w:themeColor="text1"/>
        </w:rPr>
        <w:t>(15)</w:t>
      </w:r>
    </w:p>
    <w:p w14:paraId="61F6DCD5" w14:textId="77777777" w:rsidR="004E6B42" w:rsidRPr="00F74FD6" w:rsidRDefault="004E6B42" w:rsidP="004E6B42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Since the shear wave spectra are normalized by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>S(f)</w:t>
      </w: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 amplitude, the term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funcPr>
          <m:fName>
            <m:r>
              <w:rPr>
                <w:rFonts w:ascii="Cambria Math" w:eastAsiaTheme="minorEastAsia" w:hAnsi="Cambria Math" w:cstheme="majorBidi"/>
                <w:color w:val="000000" w:themeColor="text1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</w:rPr>
                      <m:t>Q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lang w:val="el-GR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lang w:val="el-GR"/>
                          </w:rPr>
                          <m:t>σ</m:t>
                        </m: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</w:rPr>
                          <m:t>s</m:t>
                        </m: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</w:rPr>
                        </m:ctrlPr>
                      </m:sub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</w:rPr>
                        </m:ctrlPr>
                      </m:sup>
                    </m:sSubSup>
                  </m:den>
                </m:f>
              </m:e>
            </m:d>
          </m:e>
        </m:func>
        <m:r>
          <w:rPr>
            <w:rFonts w:ascii="Cambria Math" w:eastAsiaTheme="minorEastAsia" w:hAnsi="Cambria Math" w:cstheme="majorBidi"/>
            <w:color w:val="000000" w:themeColor="text1"/>
          </w:rPr>
          <m:t xml:space="preserve"> </m:t>
        </m:r>
      </m:oMath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in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 xml:space="preserve">Eq.13 </w:t>
      </w: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is ignored. The attenuation coefficient is estimated from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>Eq. 14</w:t>
      </w: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 by </w:t>
      </w:r>
      <w:r w:rsidRPr="00F74FD6">
        <w:rPr>
          <w:rFonts w:asciiTheme="majorBidi" w:hAnsiTheme="majorBidi" w:cstheme="majorBidi"/>
          <w:color w:val="000000" w:themeColor="text1"/>
        </w:rPr>
        <w:t xml:space="preserve">minimizing </w:t>
      </w:r>
      <w:r w:rsidRPr="00F74FD6">
        <w:rPr>
          <w:rFonts w:asciiTheme="majorBidi" w:hAnsiTheme="majorBidi" w:cstheme="majorBidi"/>
          <w:i/>
          <w:iCs/>
          <w:color w:val="000000" w:themeColor="text1"/>
        </w:rPr>
        <w:t>Eq. 5</w:t>
      </w:r>
      <w:r w:rsidRPr="00F74FD6">
        <w:rPr>
          <w:rFonts w:asciiTheme="majorBidi" w:hAnsiTheme="majorBidi" w:cstheme="majorBidi"/>
          <w:color w:val="000000" w:themeColor="text1"/>
        </w:rPr>
        <w:t xml:space="preserve"> in the least squares sense with multiple lateral positions using the estimated </w:t>
      </w:r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>f</w:t>
      </w:r>
      <w:r w:rsidRPr="00F74FD6">
        <w:rPr>
          <w:rFonts w:asciiTheme="majorBidi" w:eastAsiaTheme="minorEastAsia" w:hAnsiTheme="majorBidi" w:cstheme="majorBidi"/>
          <w:i/>
          <w:color w:val="000000" w:themeColor="text1"/>
          <w:vertAlign w:val="subscript"/>
        </w:rPr>
        <w:t>s</w:t>
      </w:r>
      <w:r w:rsidRPr="00F74FD6">
        <w:rPr>
          <w:rFonts w:asciiTheme="majorBidi" w:eastAsiaTheme="minorEastAsia" w:hAnsiTheme="majorBidi" w:cstheme="majorBidi"/>
          <w:iCs/>
          <w:color w:val="000000" w:themeColor="text1"/>
        </w:rPr>
        <w:t xml:space="preserve"> and </w:t>
      </w:r>
      <w:proofErr w:type="spellStart"/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>f</w:t>
      </w:r>
      <w:r w:rsidRPr="00F74FD6">
        <w:rPr>
          <w:rFonts w:asciiTheme="majorBidi" w:eastAsiaTheme="minorEastAsia" w:hAnsiTheme="majorBidi" w:cstheme="majorBidi"/>
          <w:i/>
          <w:color w:val="000000" w:themeColor="text1"/>
          <w:vertAlign w:val="subscript"/>
        </w:rPr>
        <w:t>v</w:t>
      </w:r>
      <w:proofErr w:type="spellEnd"/>
      <w:r w:rsidRPr="00F74FD6">
        <w:rPr>
          <w:rFonts w:asciiTheme="majorBidi" w:eastAsiaTheme="minorEastAsia" w:hAnsiTheme="majorBidi" w:cstheme="majorBidi"/>
          <w:i/>
          <w:color w:val="000000" w:themeColor="text1"/>
        </w:rPr>
        <w:t>.</w:t>
      </w:r>
    </w:p>
    <w:p w14:paraId="5682C8AB" w14:textId="77777777" w:rsidR="004E6B42" w:rsidRPr="00F74FD6" w:rsidRDefault="004E6B42" w:rsidP="004E6B42">
      <w:pPr>
        <w:rPr>
          <w:rFonts w:cs="Times New Roman"/>
          <w:color w:val="000000" w:themeColor="text1"/>
          <w:szCs w:val="24"/>
        </w:rPr>
      </w:pPr>
    </w:p>
    <w:p w14:paraId="4EC74370" w14:textId="77777777" w:rsidR="00314D43" w:rsidRPr="00F74FD6" w:rsidRDefault="00314D43">
      <w:pPr>
        <w:rPr>
          <w:color w:val="000000" w:themeColor="text1"/>
        </w:rPr>
      </w:pPr>
    </w:p>
    <w:sectPr w:rsidR="00314D43" w:rsidRPr="00F74FD6" w:rsidSect="00E24502"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A2AB" w14:textId="77777777" w:rsidR="00E24502" w:rsidRDefault="00E24502">
      <w:pPr>
        <w:spacing w:before="0" w:after="0"/>
      </w:pPr>
      <w:r>
        <w:separator/>
      </w:r>
    </w:p>
  </w:endnote>
  <w:endnote w:type="continuationSeparator" w:id="0">
    <w:p w14:paraId="2A96FE46" w14:textId="77777777" w:rsidR="00E24502" w:rsidRDefault="00E245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F391" w14:textId="77777777" w:rsidR="001B059C" w:rsidRPr="00577C4C" w:rsidRDefault="00000000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F07A7" wp14:editId="29C58E2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593A89" w14:textId="77777777" w:rsidR="001B059C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F0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72593A89" w14:textId="77777777" w:rsidR="00000000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4BCE" w14:textId="77777777" w:rsidR="001B059C" w:rsidRPr="00577C4C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A3027" wp14:editId="2546096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A48129" w14:textId="77777777" w:rsidR="001B059C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A302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AA48129" w14:textId="77777777" w:rsidR="00000000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0F197" w14:textId="77777777" w:rsidR="00E24502" w:rsidRDefault="00E24502">
      <w:pPr>
        <w:spacing w:before="0" w:after="0"/>
      </w:pPr>
      <w:r>
        <w:separator/>
      </w:r>
    </w:p>
  </w:footnote>
  <w:footnote w:type="continuationSeparator" w:id="0">
    <w:p w14:paraId="1DB6932B" w14:textId="77777777" w:rsidR="00E24502" w:rsidRDefault="00E245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6E06" w14:textId="77777777" w:rsidR="001B059C" w:rsidRDefault="00000000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0AE4A2D2" wp14:editId="00470E50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42"/>
    <w:rsid w:val="000012A2"/>
    <w:rsid w:val="00087F71"/>
    <w:rsid w:val="000B22CE"/>
    <w:rsid w:val="000D5E71"/>
    <w:rsid w:val="000E1923"/>
    <w:rsid w:val="001031D2"/>
    <w:rsid w:val="00157737"/>
    <w:rsid w:val="00163A04"/>
    <w:rsid w:val="0017367F"/>
    <w:rsid w:val="001B059C"/>
    <w:rsid w:val="001B7E73"/>
    <w:rsid w:val="001C7EF7"/>
    <w:rsid w:val="001D361F"/>
    <w:rsid w:val="001D6590"/>
    <w:rsid w:val="002265C3"/>
    <w:rsid w:val="00226F36"/>
    <w:rsid w:val="00233DA9"/>
    <w:rsid w:val="002477A6"/>
    <w:rsid w:val="00250858"/>
    <w:rsid w:val="0027237F"/>
    <w:rsid w:val="002F5CEC"/>
    <w:rsid w:val="0030757D"/>
    <w:rsid w:val="00314B32"/>
    <w:rsid w:val="00314D43"/>
    <w:rsid w:val="00374E64"/>
    <w:rsid w:val="003B0FF8"/>
    <w:rsid w:val="003D7121"/>
    <w:rsid w:val="003E11A3"/>
    <w:rsid w:val="00410759"/>
    <w:rsid w:val="00486CDE"/>
    <w:rsid w:val="004B168D"/>
    <w:rsid w:val="004E6B42"/>
    <w:rsid w:val="0057115C"/>
    <w:rsid w:val="00593977"/>
    <w:rsid w:val="005B38F0"/>
    <w:rsid w:val="005E377F"/>
    <w:rsid w:val="006620D4"/>
    <w:rsid w:val="00664092"/>
    <w:rsid w:val="00666BA0"/>
    <w:rsid w:val="006E6BDF"/>
    <w:rsid w:val="006F60D4"/>
    <w:rsid w:val="007A5FBC"/>
    <w:rsid w:val="008023A8"/>
    <w:rsid w:val="00807AC5"/>
    <w:rsid w:val="00832550"/>
    <w:rsid w:val="0083415E"/>
    <w:rsid w:val="008765D3"/>
    <w:rsid w:val="008B7580"/>
    <w:rsid w:val="008C4355"/>
    <w:rsid w:val="009525D7"/>
    <w:rsid w:val="009548C6"/>
    <w:rsid w:val="00957BB0"/>
    <w:rsid w:val="009806F3"/>
    <w:rsid w:val="009A12F4"/>
    <w:rsid w:val="009A5C93"/>
    <w:rsid w:val="009C672D"/>
    <w:rsid w:val="009D0015"/>
    <w:rsid w:val="009F6945"/>
    <w:rsid w:val="00A03717"/>
    <w:rsid w:val="00A24DB9"/>
    <w:rsid w:val="00A355E5"/>
    <w:rsid w:val="00A3763E"/>
    <w:rsid w:val="00A57693"/>
    <w:rsid w:val="00A622E7"/>
    <w:rsid w:val="00A7793A"/>
    <w:rsid w:val="00A831E4"/>
    <w:rsid w:val="00A92EC7"/>
    <w:rsid w:val="00AC4714"/>
    <w:rsid w:val="00AE7320"/>
    <w:rsid w:val="00AF40BE"/>
    <w:rsid w:val="00B423CD"/>
    <w:rsid w:val="00B44ED2"/>
    <w:rsid w:val="00B9494E"/>
    <w:rsid w:val="00B95D91"/>
    <w:rsid w:val="00BC1E55"/>
    <w:rsid w:val="00BE7140"/>
    <w:rsid w:val="00C455AD"/>
    <w:rsid w:val="00CB7271"/>
    <w:rsid w:val="00D52755"/>
    <w:rsid w:val="00D60F16"/>
    <w:rsid w:val="00DC0072"/>
    <w:rsid w:val="00DC689B"/>
    <w:rsid w:val="00E24502"/>
    <w:rsid w:val="00E57E0A"/>
    <w:rsid w:val="00E91F6E"/>
    <w:rsid w:val="00EA7F74"/>
    <w:rsid w:val="00EE36AA"/>
    <w:rsid w:val="00EF55EA"/>
    <w:rsid w:val="00F436EF"/>
    <w:rsid w:val="00F67CA7"/>
    <w:rsid w:val="00F74FD6"/>
    <w:rsid w:val="00F77676"/>
    <w:rsid w:val="00FB7AAF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FD91"/>
  <w15:chartTrackingRefBased/>
  <w15:docId w15:val="{36B72720-D0ED-2547-990E-59E5298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42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B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B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B4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B4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B4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B42"/>
    <w:pPr>
      <w:numPr>
        <w:ilvl w:val="1"/>
      </w:numPr>
      <w:spacing w:before="0"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B42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B42"/>
    <w:pPr>
      <w:spacing w:before="0" w:after="0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B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B42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E6B42"/>
    <w:rPr>
      <w:rFonts w:ascii="Times New Roman" w:hAnsi="Times New Roman"/>
      <w:b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B42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6B42"/>
    <w:rPr>
      <w:rFonts w:ascii="Times New Roman" w:hAnsi="Times New Roman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E6B42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Mislati, Reem</dc:creator>
  <cp:keywords/>
  <dc:description/>
  <cp:lastModifiedBy>Giulia Valsecchi</cp:lastModifiedBy>
  <cp:revision>3</cp:revision>
  <dcterms:created xsi:type="dcterms:W3CDTF">2024-04-02T19:54:00Z</dcterms:created>
  <dcterms:modified xsi:type="dcterms:W3CDTF">2024-04-05T08:37:00Z</dcterms:modified>
</cp:coreProperties>
</file>