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0170C1" w:rsidRDefault="00654E8F" w:rsidP="0001436A">
      <w:pPr>
        <w:pStyle w:val="SupplementaryMaterial"/>
        <w:rPr>
          <w:b w:val="0"/>
          <w:i w:val="0"/>
          <w:iCs/>
        </w:rPr>
      </w:pPr>
      <w:r w:rsidRPr="000170C1">
        <w:rPr>
          <w:i w:val="0"/>
          <w:iCs/>
        </w:rPr>
        <w:t>Supplementary Material</w:t>
      </w:r>
    </w:p>
    <w:p w14:paraId="4CA30A66" w14:textId="50C8984A" w:rsidR="00817DD6" w:rsidRPr="000170C1" w:rsidRDefault="0034309E" w:rsidP="0001436A">
      <w:pPr>
        <w:pStyle w:val="Title"/>
        <w:rPr>
          <w:iCs/>
        </w:rPr>
      </w:pPr>
      <w:r w:rsidRPr="000170C1">
        <w:rPr>
          <w:iCs/>
        </w:rPr>
        <w:t xml:space="preserve">Analyzing the ER stress response in ALS patient derived motor neurons identifies druggable neuroprotective </w:t>
      </w:r>
      <w:proofErr w:type="gramStart"/>
      <w:r w:rsidRPr="000170C1">
        <w:rPr>
          <w:iCs/>
        </w:rPr>
        <w:t>targets</w:t>
      </w:r>
      <w:proofErr w:type="gramEnd"/>
    </w:p>
    <w:p w14:paraId="25D2C293" w14:textId="57268536" w:rsidR="002868E2" w:rsidRPr="000170C1" w:rsidRDefault="00914D0E" w:rsidP="0001436A">
      <w:pPr>
        <w:pStyle w:val="AuthorList"/>
        <w:rPr>
          <w:iCs/>
        </w:rPr>
      </w:pPr>
      <w:r w:rsidRPr="000170C1">
        <w:rPr>
          <w:iCs/>
        </w:rPr>
        <w:t xml:space="preserve">Michelle E. Watts, Richard M. Giadone, Alban </w:t>
      </w:r>
      <w:proofErr w:type="spellStart"/>
      <w:r w:rsidRPr="000170C1">
        <w:rPr>
          <w:iCs/>
        </w:rPr>
        <w:t>Ordureau</w:t>
      </w:r>
      <w:proofErr w:type="spellEnd"/>
      <w:r w:rsidRPr="000170C1">
        <w:rPr>
          <w:iCs/>
        </w:rPr>
        <w:t>, Kristina M. Holton, J. Wade Harper, Lee L. Rubin</w:t>
      </w:r>
      <w:r w:rsidRPr="000170C1">
        <w:rPr>
          <w:iCs/>
          <w:vertAlign w:val="superscript"/>
        </w:rPr>
        <w:t>*</w:t>
      </w:r>
    </w:p>
    <w:p w14:paraId="217F3AE0" w14:textId="53202729" w:rsidR="002868E2" w:rsidRPr="000170C1" w:rsidRDefault="002868E2" w:rsidP="00994A3D">
      <w:pPr>
        <w:spacing w:before="240" w:after="0"/>
        <w:rPr>
          <w:rFonts w:cs="Times New Roman"/>
          <w:iCs/>
        </w:rPr>
      </w:pPr>
      <w:r w:rsidRPr="000170C1">
        <w:rPr>
          <w:rFonts w:cs="Times New Roman"/>
          <w:b/>
          <w:iCs/>
        </w:rPr>
        <w:t xml:space="preserve">* Correspondence: </w:t>
      </w:r>
      <w:r w:rsidR="005E13A0" w:rsidRPr="000170C1">
        <w:rPr>
          <w:rFonts w:cs="Times New Roman"/>
          <w:iCs/>
        </w:rPr>
        <w:t>Dr. Lee L. Rubin</w:t>
      </w:r>
      <w:r w:rsidR="00994A3D" w:rsidRPr="000170C1">
        <w:rPr>
          <w:rFonts w:cs="Times New Roman"/>
          <w:iCs/>
        </w:rPr>
        <w:t xml:space="preserve">: </w:t>
      </w:r>
      <w:hyperlink r:id="rId12" w:history="1">
        <w:r w:rsidR="00C27289" w:rsidRPr="000170C1">
          <w:rPr>
            <w:rStyle w:val="Hyperlink"/>
            <w:rFonts w:cs="Times New Roman"/>
            <w:iCs/>
            <w:szCs w:val="24"/>
            <w:lang w:val="de-DE"/>
          </w:rPr>
          <w:t>lee_rubin@harvard.edu</w:t>
        </w:r>
      </w:hyperlink>
    </w:p>
    <w:p w14:paraId="11EC8DA1" w14:textId="315AC53D" w:rsidR="00994A3D" w:rsidRPr="000170C1" w:rsidRDefault="00994A3D" w:rsidP="00E54484">
      <w:pPr>
        <w:keepNext/>
        <w:rPr>
          <w:rFonts w:cs="Times New Roman"/>
          <w:iCs/>
          <w:szCs w:val="24"/>
        </w:rPr>
      </w:pPr>
    </w:p>
    <w:p w14:paraId="117ED21A" w14:textId="4DCACDC3" w:rsidR="00110C64" w:rsidRPr="000170C1" w:rsidRDefault="00994A3D" w:rsidP="00F11007">
      <w:pPr>
        <w:keepNext/>
        <w:rPr>
          <w:rFonts w:cs="Times New Roman"/>
          <w:b/>
          <w:bCs/>
          <w:iCs/>
          <w:szCs w:val="24"/>
        </w:rPr>
      </w:pPr>
      <w:r w:rsidRPr="000170C1">
        <w:rPr>
          <w:rFonts w:cs="Times New Roman"/>
          <w:b/>
          <w:iCs/>
          <w:szCs w:val="24"/>
        </w:rPr>
        <w:t xml:space="preserve">Supplementary Figure </w:t>
      </w:r>
      <w:r w:rsidR="002B2569" w:rsidRPr="000170C1">
        <w:rPr>
          <w:rFonts w:cs="Times New Roman"/>
          <w:b/>
          <w:iCs/>
          <w:szCs w:val="24"/>
        </w:rPr>
        <w:t>S</w:t>
      </w:r>
      <w:r w:rsidRPr="000170C1">
        <w:rPr>
          <w:rFonts w:cs="Times New Roman"/>
          <w:b/>
          <w:iCs/>
          <w:szCs w:val="24"/>
        </w:rPr>
        <w:fldChar w:fldCharType="begin"/>
      </w:r>
      <w:r w:rsidRPr="000170C1">
        <w:rPr>
          <w:rFonts w:cs="Times New Roman"/>
          <w:b/>
          <w:iCs/>
          <w:szCs w:val="24"/>
        </w:rPr>
        <w:instrText xml:space="preserve"> SEQ Figure \* ARABIC </w:instrText>
      </w:r>
      <w:r w:rsidRPr="000170C1">
        <w:rPr>
          <w:rFonts w:cs="Times New Roman"/>
          <w:b/>
          <w:iCs/>
          <w:szCs w:val="24"/>
        </w:rPr>
        <w:fldChar w:fldCharType="separate"/>
      </w:r>
      <w:r w:rsidR="00803D24" w:rsidRPr="000170C1">
        <w:rPr>
          <w:rFonts w:cs="Times New Roman"/>
          <w:b/>
          <w:iCs/>
          <w:noProof/>
          <w:szCs w:val="24"/>
        </w:rPr>
        <w:t>1</w:t>
      </w:r>
      <w:r w:rsidRPr="000170C1">
        <w:rPr>
          <w:rFonts w:cs="Times New Roman"/>
          <w:b/>
          <w:iCs/>
          <w:szCs w:val="24"/>
        </w:rPr>
        <w:fldChar w:fldCharType="end"/>
      </w:r>
      <w:r w:rsidRPr="000170C1">
        <w:rPr>
          <w:rFonts w:cs="Times New Roman"/>
          <w:b/>
          <w:iCs/>
          <w:szCs w:val="24"/>
        </w:rPr>
        <w:t xml:space="preserve">. </w:t>
      </w:r>
      <w:r w:rsidR="00F11007" w:rsidRPr="000170C1">
        <w:rPr>
          <w:rFonts w:cs="Times New Roman"/>
          <w:b/>
          <w:iCs/>
          <w:szCs w:val="24"/>
        </w:rPr>
        <w:t>Extended analyses of iPSC-derived MN cultures and response to proteostatic stressors.</w:t>
      </w:r>
      <w:r w:rsidR="00F11007" w:rsidRPr="000170C1">
        <w:rPr>
          <w:rFonts w:cs="Times New Roman"/>
          <w:iCs/>
          <w:szCs w:val="24"/>
        </w:rPr>
        <w:t xml:space="preserve"> (A) MN and non-MN viability from </w:t>
      </w:r>
      <w:r w:rsidR="008B346C" w:rsidRPr="000170C1">
        <w:rPr>
          <w:rFonts w:cs="Times New Roman"/>
          <w:iCs/>
          <w:szCs w:val="24"/>
        </w:rPr>
        <w:t xml:space="preserve">1016 healthy control </w:t>
      </w:r>
      <w:r w:rsidR="00F11007" w:rsidRPr="000170C1">
        <w:rPr>
          <w:rFonts w:cs="Times New Roman"/>
          <w:iCs/>
          <w:szCs w:val="24"/>
        </w:rPr>
        <w:t>cultures</w:t>
      </w:r>
      <w:r w:rsidR="008B346C" w:rsidRPr="000170C1">
        <w:rPr>
          <w:rFonts w:cs="Times New Roman"/>
          <w:iCs/>
          <w:szCs w:val="24"/>
        </w:rPr>
        <w:t xml:space="preserve"> at low density</w:t>
      </w:r>
      <w:r w:rsidR="00F11007" w:rsidRPr="000170C1">
        <w:rPr>
          <w:rFonts w:cs="Times New Roman"/>
          <w:iCs/>
          <w:szCs w:val="24"/>
        </w:rPr>
        <w:t xml:space="preserve"> (25K/96 well or 12.5K/96 well) </w:t>
      </w:r>
      <w:r w:rsidR="008B346C" w:rsidRPr="000170C1">
        <w:rPr>
          <w:rFonts w:cs="Times New Roman"/>
          <w:iCs/>
          <w:szCs w:val="24"/>
        </w:rPr>
        <w:t>or with maturation</w:t>
      </w:r>
      <w:r w:rsidR="00F11007" w:rsidRPr="000170C1">
        <w:rPr>
          <w:rFonts w:cs="Times New Roman"/>
          <w:iCs/>
          <w:szCs w:val="24"/>
        </w:rPr>
        <w:t xml:space="preserve"> (14 days in vitro (DIV) at 50K/96well) after 48hrs exposure to increasing doses of ER stressors. Nb=3, nt=2, two-way ANOVA; 25K thapsigargin- p = 7.67x10</w:t>
      </w:r>
      <w:r w:rsidR="00F11007" w:rsidRPr="000170C1">
        <w:rPr>
          <w:rFonts w:cs="Times New Roman"/>
          <w:iCs/>
          <w:szCs w:val="24"/>
          <w:vertAlign w:val="superscript"/>
        </w:rPr>
        <w:t>-6</w:t>
      </w:r>
      <w:r w:rsidR="00F11007" w:rsidRPr="000170C1">
        <w:rPr>
          <w:rFonts w:cs="Times New Roman"/>
          <w:iCs/>
          <w:szCs w:val="24"/>
        </w:rPr>
        <w:t>, 12.5K thapsigargin- p = 0.000258, 2week thapsigargin- p = 0.000691, 25K tunicamycin- p = 0.008. 12.5K tunicamycin- p = 2.63x10</w:t>
      </w:r>
      <w:r w:rsidR="00F11007" w:rsidRPr="000170C1">
        <w:rPr>
          <w:rFonts w:cs="Times New Roman"/>
          <w:iCs/>
          <w:szCs w:val="24"/>
          <w:vertAlign w:val="superscript"/>
        </w:rPr>
        <w:t>-7</w:t>
      </w:r>
      <w:r w:rsidR="00F11007" w:rsidRPr="000170C1">
        <w:rPr>
          <w:rFonts w:cs="Times New Roman"/>
          <w:iCs/>
          <w:szCs w:val="24"/>
        </w:rPr>
        <w:t>, 2week tunicamycin- p = 0.002. For simplicity, stars indicating significance are shown for the condition with the least significance. (B) Quantification of MN and non-MN viability 48hrs after treatment with increasing concentrations of MG132</w:t>
      </w:r>
      <w:r w:rsidR="00C4104A" w:rsidRPr="000170C1">
        <w:rPr>
          <w:rFonts w:cs="Times New Roman"/>
          <w:iCs/>
          <w:szCs w:val="24"/>
        </w:rPr>
        <w:t xml:space="preserve"> (1016 healthy control line)</w:t>
      </w:r>
      <w:r w:rsidR="00F11007" w:rsidRPr="000170C1">
        <w:rPr>
          <w:rFonts w:cs="Times New Roman"/>
          <w:iCs/>
          <w:szCs w:val="24"/>
        </w:rPr>
        <w:t>. Nb=3, nt=12, two-way ANOVA, p = 0.394. (C) Quantification of MN and non-MN viability after treatment with 1μM MG132 for various lengths of time</w:t>
      </w:r>
      <w:r w:rsidR="00C4104A" w:rsidRPr="000170C1">
        <w:rPr>
          <w:rFonts w:cs="Times New Roman"/>
          <w:iCs/>
          <w:szCs w:val="24"/>
        </w:rPr>
        <w:t xml:space="preserve"> (1016 healthy control line)</w:t>
      </w:r>
      <w:r w:rsidR="00F11007" w:rsidRPr="000170C1">
        <w:rPr>
          <w:rFonts w:cs="Times New Roman"/>
          <w:iCs/>
          <w:szCs w:val="24"/>
        </w:rPr>
        <w:t>. (D) MN and non-MN viability from low density cultures (25K/96 well or 12.5K/96 well) or mature cultures (14 days in vitro (DIV) at 50K/96well) after 48hrs exposure to increasing doses of MG132</w:t>
      </w:r>
      <w:r w:rsidR="00C4104A" w:rsidRPr="000170C1">
        <w:rPr>
          <w:rFonts w:cs="Times New Roman"/>
          <w:iCs/>
          <w:szCs w:val="24"/>
        </w:rPr>
        <w:t xml:space="preserve"> (1016 healthy control line)</w:t>
      </w:r>
      <w:r w:rsidR="00F11007" w:rsidRPr="000170C1">
        <w:rPr>
          <w:rFonts w:cs="Times New Roman"/>
          <w:iCs/>
          <w:szCs w:val="24"/>
        </w:rPr>
        <w:t xml:space="preserve">. Nb=3, nt=2, two-way ANOVA; 25K- p = 0.894. 12.5K- p = 0.947. 2week- p = 0.284. </w:t>
      </w:r>
      <w:r w:rsidR="00CE15D2" w:rsidRPr="000170C1">
        <w:rPr>
          <w:rFonts w:cs="Times New Roman"/>
          <w:iCs/>
          <w:szCs w:val="24"/>
        </w:rPr>
        <w:t>(E) Western blot quantification of phosphorylated eIF2α</w:t>
      </w:r>
      <w:r w:rsidR="00F509CF" w:rsidRPr="000170C1">
        <w:rPr>
          <w:rFonts w:cs="Times New Roman"/>
          <w:iCs/>
          <w:szCs w:val="24"/>
        </w:rPr>
        <w:t xml:space="preserve"> with increasing time of DMSO, 1μM thapsigargin or 1μM tunicamycin</w:t>
      </w:r>
      <w:r w:rsidR="00C4104A" w:rsidRPr="000170C1">
        <w:rPr>
          <w:rFonts w:cs="Times New Roman"/>
          <w:iCs/>
          <w:szCs w:val="24"/>
        </w:rPr>
        <w:t xml:space="preserve"> (1016 healthy control line)</w:t>
      </w:r>
      <w:r w:rsidR="00CD2A2F" w:rsidRPr="000170C1">
        <w:rPr>
          <w:rFonts w:cs="Times New Roman"/>
          <w:iCs/>
          <w:szCs w:val="24"/>
        </w:rPr>
        <w:t>;</w:t>
      </w:r>
      <w:r w:rsidR="00306DDA" w:rsidRPr="000170C1">
        <w:rPr>
          <w:rFonts w:cs="Times New Roman"/>
          <w:iCs/>
          <w:szCs w:val="24"/>
        </w:rPr>
        <w:t xml:space="preserve"> </w:t>
      </w:r>
      <w:r w:rsidR="008F0CE9" w:rsidRPr="000170C1">
        <w:rPr>
          <w:rFonts w:cs="Times New Roman"/>
          <w:iCs/>
          <w:szCs w:val="24"/>
        </w:rPr>
        <w:t xml:space="preserve">Nb = 3, Nt=1, </w:t>
      </w:r>
      <w:r w:rsidR="00CD2A2F" w:rsidRPr="000170C1">
        <w:rPr>
          <w:rFonts w:cs="Times New Roman"/>
          <w:iCs/>
          <w:szCs w:val="24"/>
        </w:rPr>
        <w:t>two tailed s</w:t>
      </w:r>
      <w:r w:rsidR="00D63E53" w:rsidRPr="000170C1">
        <w:rPr>
          <w:rFonts w:cs="Times New Roman"/>
          <w:iCs/>
          <w:szCs w:val="24"/>
        </w:rPr>
        <w:t xml:space="preserve">tudents </w:t>
      </w:r>
      <w:proofErr w:type="spellStart"/>
      <w:r w:rsidR="00D63E53" w:rsidRPr="000170C1">
        <w:rPr>
          <w:rFonts w:cs="Times New Roman"/>
          <w:iCs/>
          <w:szCs w:val="24"/>
        </w:rPr>
        <w:t>t.</w:t>
      </w:r>
      <w:r w:rsidR="00CD2A2F" w:rsidRPr="000170C1">
        <w:rPr>
          <w:rFonts w:cs="Times New Roman"/>
          <w:iCs/>
          <w:szCs w:val="24"/>
        </w:rPr>
        <w:t>t</w:t>
      </w:r>
      <w:r w:rsidR="00D63E53" w:rsidRPr="000170C1">
        <w:rPr>
          <w:rFonts w:cs="Times New Roman"/>
          <w:iCs/>
          <w:szCs w:val="24"/>
        </w:rPr>
        <w:t>est</w:t>
      </w:r>
      <w:proofErr w:type="spellEnd"/>
      <w:r w:rsidR="00D60D9B" w:rsidRPr="000170C1">
        <w:rPr>
          <w:rFonts w:cs="Times New Roman"/>
          <w:iCs/>
          <w:szCs w:val="24"/>
        </w:rPr>
        <w:t xml:space="preserve"> </w:t>
      </w:r>
      <w:r w:rsidR="00F60ECF" w:rsidRPr="000170C1">
        <w:rPr>
          <w:rFonts w:cs="Times New Roman"/>
          <w:iCs/>
          <w:szCs w:val="24"/>
        </w:rPr>
        <w:t xml:space="preserve">to DMSO control </w:t>
      </w:r>
      <w:r w:rsidR="00CD2A2F" w:rsidRPr="000170C1">
        <w:rPr>
          <w:rFonts w:cs="Times New Roman"/>
          <w:iCs/>
          <w:szCs w:val="24"/>
        </w:rPr>
        <w:t>p&lt;0.05 = *, p&lt;0.01 = **.</w:t>
      </w:r>
      <w:r w:rsidR="00C05B7D" w:rsidRPr="000170C1">
        <w:rPr>
          <w:rFonts w:cs="Times New Roman"/>
          <w:iCs/>
          <w:szCs w:val="24"/>
        </w:rPr>
        <w:t xml:space="preserve"> </w:t>
      </w:r>
      <w:r w:rsidR="00670B1C" w:rsidRPr="000170C1">
        <w:rPr>
          <w:rFonts w:cs="Times New Roman"/>
          <w:iCs/>
          <w:szCs w:val="24"/>
        </w:rPr>
        <w:t xml:space="preserve">(F) Quantification of spliced XBP1 template, normalized to unspliced </w:t>
      </w:r>
      <w:r w:rsidR="00696A25" w:rsidRPr="000170C1">
        <w:rPr>
          <w:rFonts w:cs="Times New Roman"/>
          <w:iCs/>
          <w:szCs w:val="24"/>
        </w:rPr>
        <w:t>XBP1 template</w:t>
      </w:r>
      <w:r w:rsidR="00670B1C" w:rsidRPr="000170C1">
        <w:rPr>
          <w:rFonts w:cs="Times New Roman"/>
          <w:iCs/>
          <w:szCs w:val="24"/>
        </w:rPr>
        <w:t xml:space="preserve"> </w:t>
      </w:r>
      <w:r w:rsidR="00696A25" w:rsidRPr="000170C1">
        <w:rPr>
          <w:rFonts w:cs="Times New Roman"/>
          <w:iCs/>
          <w:szCs w:val="24"/>
        </w:rPr>
        <w:t>after 2 and 4hrs of</w:t>
      </w:r>
      <w:r w:rsidR="00670B1C" w:rsidRPr="000170C1">
        <w:rPr>
          <w:rFonts w:cs="Times New Roman"/>
          <w:iCs/>
          <w:szCs w:val="24"/>
        </w:rPr>
        <w:t xml:space="preserve"> DMSO, 1μM thapsigargin or 1μM tunicamycin</w:t>
      </w:r>
      <w:r w:rsidR="00696A25" w:rsidRPr="000170C1">
        <w:rPr>
          <w:rFonts w:cs="Times New Roman"/>
          <w:iCs/>
          <w:szCs w:val="24"/>
        </w:rPr>
        <w:t xml:space="preserve"> treatment</w:t>
      </w:r>
      <w:r w:rsidR="00C4104A" w:rsidRPr="000170C1">
        <w:rPr>
          <w:rFonts w:cs="Times New Roman"/>
          <w:iCs/>
          <w:szCs w:val="24"/>
        </w:rPr>
        <w:t xml:space="preserve"> (1016 healthy control line)</w:t>
      </w:r>
      <w:r w:rsidR="00670B1C" w:rsidRPr="000170C1">
        <w:rPr>
          <w:rFonts w:cs="Times New Roman"/>
          <w:iCs/>
          <w:szCs w:val="24"/>
        </w:rPr>
        <w:t xml:space="preserve">; Nb = 3, Nt=1, two tailed students </w:t>
      </w:r>
      <w:proofErr w:type="spellStart"/>
      <w:r w:rsidR="00670B1C" w:rsidRPr="000170C1">
        <w:rPr>
          <w:rFonts w:cs="Times New Roman"/>
          <w:iCs/>
          <w:szCs w:val="24"/>
        </w:rPr>
        <w:t>t.test</w:t>
      </w:r>
      <w:proofErr w:type="spellEnd"/>
      <w:r w:rsidR="00670B1C" w:rsidRPr="000170C1">
        <w:rPr>
          <w:rFonts w:cs="Times New Roman"/>
          <w:iCs/>
          <w:szCs w:val="24"/>
        </w:rPr>
        <w:t xml:space="preserve"> </w:t>
      </w:r>
      <w:r w:rsidR="00F60ECF" w:rsidRPr="000170C1">
        <w:rPr>
          <w:rFonts w:cs="Times New Roman"/>
          <w:iCs/>
          <w:szCs w:val="24"/>
        </w:rPr>
        <w:t xml:space="preserve">to DMSO ctrl </w:t>
      </w:r>
      <w:r w:rsidR="00670B1C" w:rsidRPr="000170C1">
        <w:rPr>
          <w:rFonts w:cs="Times New Roman"/>
          <w:iCs/>
          <w:szCs w:val="24"/>
        </w:rPr>
        <w:t>p&lt;0.05 = *, p&lt;0.01 = **.</w:t>
      </w:r>
      <w:r w:rsidR="005B434A" w:rsidRPr="000170C1">
        <w:rPr>
          <w:rFonts w:cs="Times New Roman"/>
          <w:iCs/>
          <w:szCs w:val="24"/>
        </w:rPr>
        <w:t xml:space="preserve"> (G) Western blot quantification of </w:t>
      </w:r>
      <w:proofErr w:type="spellStart"/>
      <w:r w:rsidR="00E7742A" w:rsidRPr="000170C1">
        <w:rPr>
          <w:rFonts w:cs="Times New Roman"/>
          <w:iCs/>
          <w:szCs w:val="24"/>
        </w:rPr>
        <w:t>BiP</w:t>
      </w:r>
      <w:proofErr w:type="spellEnd"/>
      <w:r w:rsidR="00E7742A" w:rsidRPr="000170C1">
        <w:rPr>
          <w:rFonts w:cs="Times New Roman"/>
          <w:iCs/>
          <w:szCs w:val="24"/>
        </w:rPr>
        <w:t xml:space="preserve"> at 8 and 24hrs</w:t>
      </w:r>
      <w:r w:rsidR="005B434A" w:rsidRPr="000170C1">
        <w:rPr>
          <w:rFonts w:cs="Times New Roman"/>
          <w:iCs/>
          <w:szCs w:val="24"/>
        </w:rPr>
        <w:t xml:space="preserve"> </w:t>
      </w:r>
      <w:r w:rsidR="00E7742A" w:rsidRPr="000170C1">
        <w:rPr>
          <w:rFonts w:cs="Times New Roman"/>
          <w:iCs/>
          <w:szCs w:val="24"/>
        </w:rPr>
        <w:t xml:space="preserve">of </w:t>
      </w:r>
      <w:r w:rsidR="005B434A" w:rsidRPr="000170C1">
        <w:rPr>
          <w:rFonts w:cs="Times New Roman"/>
          <w:iCs/>
          <w:szCs w:val="24"/>
        </w:rPr>
        <w:t>DMSO, 1μM thapsigargin or 1μM tunicamycin</w:t>
      </w:r>
      <w:r w:rsidR="00E7742A" w:rsidRPr="000170C1">
        <w:rPr>
          <w:rFonts w:cs="Times New Roman"/>
          <w:iCs/>
          <w:szCs w:val="24"/>
        </w:rPr>
        <w:t xml:space="preserve"> treatment</w:t>
      </w:r>
      <w:r w:rsidR="00C4104A" w:rsidRPr="000170C1">
        <w:rPr>
          <w:rFonts w:cs="Times New Roman"/>
          <w:iCs/>
          <w:szCs w:val="24"/>
        </w:rPr>
        <w:t xml:space="preserve"> (1016 healthy control line);</w:t>
      </w:r>
      <w:r w:rsidR="005B434A" w:rsidRPr="000170C1">
        <w:rPr>
          <w:rFonts w:cs="Times New Roman"/>
          <w:iCs/>
          <w:szCs w:val="24"/>
        </w:rPr>
        <w:t xml:space="preserve"> Nb = 3, Nt=1, two tailed students </w:t>
      </w:r>
      <w:proofErr w:type="spellStart"/>
      <w:r w:rsidR="005B434A" w:rsidRPr="000170C1">
        <w:rPr>
          <w:rFonts w:cs="Times New Roman"/>
          <w:iCs/>
          <w:szCs w:val="24"/>
        </w:rPr>
        <w:t>t.test</w:t>
      </w:r>
      <w:proofErr w:type="spellEnd"/>
      <w:r w:rsidR="005B434A" w:rsidRPr="000170C1">
        <w:rPr>
          <w:rFonts w:cs="Times New Roman"/>
          <w:iCs/>
          <w:szCs w:val="24"/>
        </w:rPr>
        <w:t xml:space="preserve"> to DMSO control</w:t>
      </w:r>
      <w:r w:rsidR="00C4104A" w:rsidRPr="000170C1">
        <w:rPr>
          <w:rFonts w:cs="Times New Roman"/>
          <w:iCs/>
          <w:szCs w:val="24"/>
        </w:rPr>
        <w:t xml:space="preserve"> </w:t>
      </w:r>
      <w:r w:rsidR="005B434A" w:rsidRPr="000170C1">
        <w:rPr>
          <w:rFonts w:cs="Times New Roman"/>
          <w:iCs/>
          <w:szCs w:val="24"/>
        </w:rPr>
        <w:t>p&lt;0.05 = *, p&lt;0.01 = **.</w:t>
      </w:r>
      <w:r w:rsidR="00E7742A" w:rsidRPr="000170C1">
        <w:rPr>
          <w:rFonts w:cs="Times New Roman"/>
          <w:iCs/>
          <w:szCs w:val="24"/>
        </w:rPr>
        <w:t xml:space="preserve"> (H) Western blot quantification of CHOP at 8 and 24hrs of DMSO, 1μM thapsigargin or 1μM tunicamycin treatment</w:t>
      </w:r>
      <w:r w:rsidR="00C4104A" w:rsidRPr="000170C1">
        <w:rPr>
          <w:rFonts w:cs="Times New Roman"/>
          <w:iCs/>
          <w:szCs w:val="24"/>
        </w:rPr>
        <w:t xml:space="preserve"> (1016 healthy control line)</w:t>
      </w:r>
      <w:r w:rsidR="00E7742A" w:rsidRPr="000170C1">
        <w:rPr>
          <w:rFonts w:cs="Times New Roman"/>
          <w:iCs/>
          <w:szCs w:val="24"/>
        </w:rPr>
        <w:t xml:space="preserve">; Nb = 3, Nt=1, two tailed students </w:t>
      </w:r>
      <w:proofErr w:type="spellStart"/>
      <w:r w:rsidR="00E7742A" w:rsidRPr="000170C1">
        <w:rPr>
          <w:rFonts w:cs="Times New Roman"/>
          <w:iCs/>
          <w:szCs w:val="24"/>
        </w:rPr>
        <w:t>t.test</w:t>
      </w:r>
      <w:proofErr w:type="spellEnd"/>
      <w:r w:rsidR="00E7742A" w:rsidRPr="000170C1">
        <w:rPr>
          <w:rFonts w:cs="Times New Roman"/>
          <w:iCs/>
          <w:szCs w:val="24"/>
        </w:rPr>
        <w:t xml:space="preserve"> to DMSO control p&lt;0.05 = *, p&lt;0.01 = **. (I) Western blot quantification of cleaved caspase 3 at 8 and 24hrs of DMSO, 1μM thapsigargin or 1μM tunicamycin treatment</w:t>
      </w:r>
      <w:r w:rsidR="00C4104A" w:rsidRPr="000170C1">
        <w:rPr>
          <w:rFonts w:cs="Times New Roman"/>
          <w:iCs/>
          <w:szCs w:val="24"/>
        </w:rPr>
        <w:t xml:space="preserve"> (1016 healthy control line)</w:t>
      </w:r>
      <w:r w:rsidR="00E7742A" w:rsidRPr="000170C1">
        <w:rPr>
          <w:rFonts w:cs="Times New Roman"/>
          <w:iCs/>
          <w:szCs w:val="24"/>
        </w:rPr>
        <w:t xml:space="preserve">; Nb = 3, Nt=1, two tailed students </w:t>
      </w:r>
      <w:proofErr w:type="spellStart"/>
      <w:r w:rsidR="00E7742A" w:rsidRPr="000170C1">
        <w:rPr>
          <w:rFonts w:cs="Times New Roman"/>
          <w:iCs/>
          <w:szCs w:val="24"/>
        </w:rPr>
        <w:t>t.test</w:t>
      </w:r>
      <w:proofErr w:type="spellEnd"/>
      <w:r w:rsidR="00E7742A" w:rsidRPr="000170C1">
        <w:rPr>
          <w:rFonts w:cs="Times New Roman"/>
          <w:iCs/>
          <w:szCs w:val="24"/>
        </w:rPr>
        <w:t xml:space="preserve"> to DMSO control p&lt;0.05 = *, p&lt;0.01 = **. </w:t>
      </w:r>
      <w:r w:rsidR="00297C99" w:rsidRPr="000170C1">
        <w:rPr>
          <w:rFonts w:cs="Times New Roman"/>
          <w:iCs/>
          <w:szCs w:val="24"/>
        </w:rPr>
        <w:t xml:space="preserve">(J) </w:t>
      </w:r>
      <w:r w:rsidR="00C4104A" w:rsidRPr="000170C1">
        <w:rPr>
          <w:rFonts w:cs="Times New Roman"/>
          <w:iCs/>
          <w:szCs w:val="24"/>
        </w:rPr>
        <w:t>Healthy control</w:t>
      </w:r>
      <w:r w:rsidR="00297C99" w:rsidRPr="000170C1">
        <w:rPr>
          <w:rFonts w:cs="Times New Roman"/>
          <w:iCs/>
          <w:szCs w:val="24"/>
        </w:rPr>
        <w:t xml:space="preserve"> 1016A, SOD1, and TDP43 iPSCs were differentiated into MN cultures (containing MN and non-MN cell populations) and exposed to 1 </w:t>
      </w:r>
      <w:proofErr w:type="spellStart"/>
      <w:r w:rsidR="00297C99" w:rsidRPr="000170C1">
        <w:rPr>
          <w:rFonts w:cs="Times New Roman"/>
          <w:iCs/>
          <w:szCs w:val="24"/>
        </w:rPr>
        <w:t>μM</w:t>
      </w:r>
      <w:proofErr w:type="spellEnd"/>
      <w:r w:rsidR="00297C99" w:rsidRPr="000170C1">
        <w:rPr>
          <w:rFonts w:cs="Times New Roman"/>
          <w:iCs/>
          <w:szCs w:val="24"/>
        </w:rPr>
        <w:t xml:space="preserve"> </w:t>
      </w:r>
      <w:proofErr w:type="spellStart"/>
      <w:r w:rsidR="00297C99" w:rsidRPr="000170C1">
        <w:rPr>
          <w:rFonts w:cs="Times New Roman"/>
          <w:iCs/>
          <w:szCs w:val="24"/>
        </w:rPr>
        <w:t>thapsigargin</w:t>
      </w:r>
      <w:proofErr w:type="spellEnd"/>
      <w:r w:rsidR="00297C99" w:rsidRPr="000170C1">
        <w:rPr>
          <w:rFonts w:cs="Times New Roman"/>
          <w:iCs/>
          <w:szCs w:val="24"/>
        </w:rPr>
        <w:t xml:space="preserve"> for 16 hours. qRT-PCR revealed no </w:t>
      </w:r>
      <w:r w:rsidR="005F57A7" w:rsidRPr="000170C1">
        <w:rPr>
          <w:rFonts w:cs="Times New Roman"/>
          <w:iCs/>
          <w:szCs w:val="24"/>
        </w:rPr>
        <w:t>differences in</w:t>
      </w:r>
      <w:r w:rsidR="00297C99" w:rsidRPr="000170C1">
        <w:rPr>
          <w:rFonts w:cs="Times New Roman"/>
          <w:iCs/>
          <w:szCs w:val="24"/>
        </w:rPr>
        <w:t xml:space="preserve"> response to thapsigargin exposure across </w:t>
      </w:r>
      <w:r w:rsidR="00C4104A" w:rsidRPr="000170C1">
        <w:rPr>
          <w:rFonts w:cs="Times New Roman"/>
          <w:iCs/>
          <w:szCs w:val="24"/>
        </w:rPr>
        <w:t>healthy control</w:t>
      </w:r>
      <w:r w:rsidR="00297C99" w:rsidRPr="000170C1">
        <w:rPr>
          <w:rFonts w:cs="Times New Roman"/>
          <w:iCs/>
          <w:szCs w:val="24"/>
        </w:rPr>
        <w:t xml:space="preserve"> and ALS MNs </w:t>
      </w:r>
      <w:r w:rsidR="00E643EA" w:rsidRPr="000170C1">
        <w:rPr>
          <w:rFonts w:cs="Times New Roman"/>
          <w:iCs/>
          <w:szCs w:val="24"/>
        </w:rPr>
        <w:t>by expression of</w:t>
      </w:r>
      <w:r w:rsidR="00297C99" w:rsidRPr="000170C1">
        <w:rPr>
          <w:rFonts w:cs="Times New Roman"/>
          <w:iCs/>
          <w:szCs w:val="24"/>
        </w:rPr>
        <w:t xml:space="preserve"> UPR-associated genes ATF6, IRE1, CHOP, and </w:t>
      </w:r>
      <w:proofErr w:type="spellStart"/>
      <w:r w:rsidR="00297C99" w:rsidRPr="000170C1">
        <w:rPr>
          <w:rFonts w:cs="Times New Roman"/>
          <w:iCs/>
          <w:szCs w:val="24"/>
        </w:rPr>
        <w:t>BiP</w:t>
      </w:r>
      <w:proofErr w:type="spellEnd"/>
      <w:r w:rsidR="00297C99" w:rsidRPr="000170C1">
        <w:rPr>
          <w:rFonts w:cs="Times New Roman"/>
          <w:iCs/>
          <w:szCs w:val="24"/>
        </w:rPr>
        <w:t>. Nb = 2, Nt = 3.</w:t>
      </w:r>
      <w:r w:rsidR="00297C99" w:rsidRPr="000170C1">
        <w:rPr>
          <w:rFonts w:cs="Times New Roman"/>
          <w:b/>
          <w:bCs/>
          <w:iCs/>
          <w:szCs w:val="24"/>
        </w:rPr>
        <w:t xml:space="preserve"> </w:t>
      </w:r>
      <w:r w:rsidR="00297C99" w:rsidRPr="000170C1">
        <w:rPr>
          <w:rFonts w:cs="Times New Roman"/>
          <w:iCs/>
          <w:szCs w:val="24"/>
        </w:rPr>
        <w:t xml:space="preserve">Biological replicate experiments denoted as Nb, each </w:t>
      </w:r>
      <w:r w:rsidR="00297C99" w:rsidRPr="000170C1">
        <w:rPr>
          <w:rFonts w:cs="Times New Roman"/>
          <w:iCs/>
          <w:szCs w:val="24"/>
        </w:rPr>
        <w:lastRenderedPageBreak/>
        <w:t>with technical replicate experiments nt. Data are mean value +/- SEM. p&lt;0.05 was considered statistically significant and denoted in graphs with a *, p&lt;0.01 **, p&lt;0.001 ***, and P&lt;0.0001 ****.</w:t>
      </w:r>
    </w:p>
    <w:p w14:paraId="0B3BD2E0" w14:textId="77777777" w:rsidR="008B346C" w:rsidRPr="000170C1" w:rsidRDefault="008B346C" w:rsidP="00F11007">
      <w:pPr>
        <w:keepNext/>
        <w:rPr>
          <w:rFonts w:cs="Times New Roman"/>
          <w:b/>
          <w:bCs/>
          <w:iCs/>
          <w:szCs w:val="24"/>
        </w:rPr>
      </w:pPr>
    </w:p>
    <w:p w14:paraId="72A9464D" w14:textId="12079ADD" w:rsidR="00110C64" w:rsidRPr="000170C1" w:rsidRDefault="00F11007" w:rsidP="00F11007">
      <w:pPr>
        <w:keepNext/>
        <w:rPr>
          <w:rFonts w:cs="Times New Roman"/>
          <w:iCs/>
          <w:szCs w:val="24"/>
        </w:rPr>
      </w:pPr>
      <w:r w:rsidRPr="000170C1">
        <w:rPr>
          <w:rFonts w:cs="Times New Roman"/>
          <w:b/>
          <w:bCs/>
          <w:iCs/>
          <w:szCs w:val="24"/>
        </w:rPr>
        <w:t>Supplementary Figure S2. Overview of global phosphoproteomics experiment.</w:t>
      </w:r>
      <w:r w:rsidRPr="000170C1">
        <w:rPr>
          <w:rFonts w:cs="Times New Roman"/>
          <w:iCs/>
          <w:szCs w:val="24"/>
        </w:rPr>
        <w:t xml:space="preserve"> (A) Schematic of the ER stress and protection assay and the subsequent quantitative proteomics analysis pipeline. (B) Individual, separated </w:t>
      </w:r>
      <w:r w:rsidR="006E7CA2" w:rsidRPr="000170C1">
        <w:rPr>
          <w:rFonts w:cs="Times New Roman"/>
          <w:iCs/>
          <w:szCs w:val="24"/>
        </w:rPr>
        <w:t xml:space="preserve">proteomic </w:t>
      </w:r>
      <w:r w:rsidRPr="000170C1">
        <w:rPr>
          <w:rFonts w:cs="Times New Roman"/>
          <w:iCs/>
          <w:szCs w:val="24"/>
        </w:rPr>
        <w:t>volcano plots</w:t>
      </w:r>
      <w:r w:rsidR="006E7CA2" w:rsidRPr="000170C1">
        <w:rPr>
          <w:rFonts w:cs="Times New Roman"/>
          <w:iCs/>
          <w:szCs w:val="24"/>
        </w:rPr>
        <w:t xml:space="preserve"> for all treatment conditions</w:t>
      </w:r>
      <w:r w:rsidRPr="000170C1">
        <w:rPr>
          <w:rFonts w:cs="Times New Roman"/>
          <w:iCs/>
          <w:szCs w:val="24"/>
        </w:rPr>
        <w:t>.</w:t>
      </w:r>
      <w:r w:rsidR="00247B75" w:rsidRPr="000170C1">
        <w:rPr>
          <w:rFonts w:cs="Times New Roman"/>
          <w:iCs/>
          <w:szCs w:val="24"/>
        </w:rPr>
        <w:t xml:space="preserve"> -Log</w:t>
      </w:r>
      <w:r w:rsidR="00247B75" w:rsidRPr="000170C1">
        <w:rPr>
          <w:rFonts w:cs="Times New Roman"/>
          <w:iCs/>
          <w:szCs w:val="24"/>
          <w:vertAlign w:val="subscript"/>
        </w:rPr>
        <w:t>10</w:t>
      </w:r>
      <w:r w:rsidR="00247B75" w:rsidRPr="000170C1">
        <w:rPr>
          <w:rFonts w:cs="Times New Roman"/>
          <w:iCs/>
          <w:szCs w:val="24"/>
        </w:rPr>
        <w:t>(p-value) is graphed on the Y-axis, Log</w:t>
      </w:r>
      <w:r w:rsidR="00247B75" w:rsidRPr="000170C1">
        <w:rPr>
          <w:rFonts w:cs="Times New Roman"/>
          <w:iCs/>
          <w:szCs w:val="24"/>
          <w:vertAlign w:val="subscript"/>
        </w:rPr>
        <w:t>2</w:t>
      </w:r>
      <w:r w:rsidR="00247B75" w:rsidRPr="000170C1">
        <w:rPr>
          <w:rFonts w:cs="Times New Roman"/>
          <w:iCs/>
          <w:szCs w:val="24"/>
        </w:rPr>
        <w:t>(fold change) graphed on the X-axis for all plots.</w:t>
      </w:r>
      <w:r w:rsidR="006E7CA2" w:rsidRPr="000170C1">
        <w:rPr>
          <w:rFonts w:cs="Times New Roman"/>
          <w:iCs/>
          <w:szCs w:val="24"/>
        </w:rPr>
        <w:t xml:space="preserve"> (C) Individual, separated </w:t>
      </w:r>
      <w:r w:rsidR="008B346C" w:rsidRPr="000170C1">
        <w:rPr>
          <w:rFonts w:cs="Times New Roman"/>
          <w:iCs/>
          <w:szCs w:val="24"/>
        </w:rPr>
        <w:t>phosphoproteomic</w:t>
      </w:r>
      <w:r w:rsidR="006E7CA2" w:rsidRPr="000170C1">
        <w:rPr>
          <w:rFonts w:cs="Times New Roman"/>
          <w:iCs/>
          <w:szCs w:val="24"/>
        </w:rPr>
        <w:t xml:space="preserve"> volcano plots for all treatment conditions.</w:t>
      </w:r>
      <w:r w:rsidR="00247B75" w:rsidRPr="000170C1">
        <w:rPr>
          <w:rFonts w:cs="Times New Roman"/>
          <w:iCs/>
          <w:szCs w:val="24"/>
        </w:rPr>
        <w:t xml:space="preserve"> -Log</w:t>
      </w:r>
      <w:r w:rsidR="00247B75" w:rsidRPr="000170C1">
        <w:rPr>
          <w:rFonts w:cs="Times New Roman"/>
          <w:iCs/>
          <w:szCs w:val="24"/>
          <w:vertAlign w:val="subscript"/>
        </w:rPr>
        <w:t>10</w:t>
      </w:r>
      <w:r w:rsidR="00247B75" w:rsidRPr="000170C1">
        <w:rPr>
          <w:rFonts w:cs="Times New Roman"/>
          <w:iCs/>
          <w:szCs w:val="24"/>
        </w:rPr>
        <w:t>(p-value) is graphed on the Y-axis, Log</w:t>
      </w:r>
      <w:r w:rsidR="00247B75" w:rsidRPr="000170C1">
        <w:rPr>
          <w:rFonts w:cs="Times New Roman"/>
          <w:iCs/>
          <w:szCs w:val="24"/>
          <w:vertAlign w:val="subscript"/>
        </w:rPr>
        <w:t>2</w:t>
      </w:r>
      <w:r w:rsidR="00247B75" w:rsidRPr="000170C1">
        <w:rPr>
          <w:rFonts w:cs="Times New Roman"/>
          <w:iCs/>
          <w:szCs w:val="24"/>
        </w:rPr>
        <w:t>(fold change) graphed on the X-axis for all plots.</w:t>
      </w:r>
    </w:p>
    <w:p w14:paraId="050A3C5E" w14:textId="77777777" w:rsidR="008B346C" w:rsidRPr="000170C1" w:rsidRDefault="008B346C" w:rsidP="00F11007">
      <w:pPr>
        <w:keepNext/>
        <w:rPr>
          <w:rFonts w:cs="Times New Roman"/>
          <w:b/>
          <w:bCs/>
          <w:iCs/>
          <w:szCs w:val="24"/>
        </w:rPr>
      </w:pPr>
    </w:p>
    <w:p w14:paraId="4DAB8F26" w14:textId="11159BE4" w:rsidR="00110C64" w:rsidRPr="000170C1" w:rsidRDefault="00F11007" w:rsidP="00F11007">
      <w:pPr>
        <w:keepNext/>
        <w:rPr>
          <w:rFonts w:cs="Times New Roman"/>
          <w:iCs/>
          <w:szCs w:val="24"/>
        </w:rPr>
      </w:pPr>
      <w:r w:rsidRPr="000170C1">
        <w:rPr>
          <w:rFonts w:cs="Times New Roman"/>
          <w:b/>
          <w:bCs/>
          <w:iCs/>
          <w:szCs w:val="24"/>
        </w:rPr>
        <w:t>Supplementary Figure S3. Approach to identifying viable MNs.</w:t>
      </w:r>
      <w:r w:rsidRPr="000170C1">
        <w:rPr>
          <w:rFonts w:cs="Times New Roman"/>
          <w:iCs/>
          <w:szCs w:val="24"/>
        </w:rPr>
        <w:t xml:space="preserve"> (A) Example nuclear size exclusion parameters and Hoechst intensity thresholding used to identify the viable cell population. Histograms to right of selection script and input image demonstrate 2 distinct cell populations, live or dead, with live cells demonstrating a nuclear area &gt;~37-55μm2 and Hoechst intensities lower than the threshold brightness of pyknotic nuclei (18,000 in this example). (B) Viable cell script accuracy confirmed with LIVE/DEAD Viability/Cytotoxicity Kit, for mammalian cells (Life Technologies L3224). (C) Example Isl1/2 intensity thresholding used to identify the viable MN population. Histogram to right of selection script and input image demonstrate that selected Isl1/2+ cell populations must have an Isl1/2 intensity greater than the basal intensity (&gt;8000 in this example).</w:t>
      </w:r>
    </w:p>
    <w:p w14:paraId="36BFD924" w14:textId="77777777" w:rsidR="008B346C" w:rsidRPr="000170C1" w:rsidRDefault="008B346C" w:rsidP="00F11007">
      <w:pPr>
        <w:keepNext/>
        <w:rPr>
          <w:rFonts w:cs="Times New Roman"/>
          <w:b/>
          <w:bCs/>
          <w:iCs/>
          <w:szCs w:val="24"/>
        </w:rPr>
      </w:pPr>
    </w:p>
    <w:p w14:paraId="0A4E0923" w14:textId="74BAA103" w:rsidR="00110C64" w:rsidRPr="000170C1" w:rsidRDefault="00F11007" w:rsidP="00F11007">
      <w:pPr>
        <w:keepNext/>
        <w:rPr>
          <w:rFonts w:cs="Times New Roman"/>
          <w:iCs/>
          <w:szCs w:val="24"/>
        </w:rPr>
      </w:pPr>
      <w:r w:rsidRPr="000170C1">
        <w:rPr>
          <w:rFonts w:cs="Times New Roman"/>
          <w:b/>
          <w:bCs/>
          <w:iCs/>
          <w:szCs w:val="24"/>
        </w:rPr>
        <w:t>Supplementary Figure S4. Neurite tracing of β-Tubulin III staining</w:t>
      </w:r>
      <w:r w:rsidRPr="000170C1">
        <w:rPr>
          <w:rFonts w:cs="Times New Roman"/>
          <w:iCs/>
          <w:szCs w:val="24"/>
        </w:rPr>
        <w:t>. Representative image analysis pipeline to track neurites using B-Tubulin III staining.</w:t>
      </w:r>
      <w:r w:rsidRPr="000170C1">
        <w:rPr>
          <w:rFonts w:cs="Times New Roman"/>
          <w:iCs/>
          <w:szCs w:val="24"/>
        </w:rPr>
        <w:tab/>
      </w:r>
    </w:p>
    <w:p w14:paraId="2AEC864A" w14:textId="77777777" w:rsidR="008B346C" w:rsidRPr="000170C1" w:rsidRDefault="008B346C" w:rsidP="00F11007">
      <w:pPr>
        <w:keepNext/>
        <w:rPr>
          <w:rFonts w:cs="Times New Roman"/>
          <w:b/>
          <w:bCs/>
          <w:iCs/>
          <w:szCs w:val="24"/>
        </w:rPr>
      </w:pPr>
    </w:p>
    <w:p w14:paraId="0788AC4B" w14:textId="78FA0707" w:rsidR="00110C64" w:rsidRPr="000170C1" w:rsidRDefault="00F11007" w:rsidP="00F11007">
      <w:pPr>
        <w:keepNext/>
        <w:rPr>
          <w:rFonts w:cs="Times New Roman"/>
          <w:iCs/>
          <w:szCs w:val="24"/>
        </w:rPr>
      </w:pPr>
      <w:r w:rsidRPr="000170C1">
        <w:rPr>
          <w:rFonts w:cs="Times New Roman"/>
          <w:b/>
          <w:bCs/>
          <w:iCs/>
          <w:szCs w:val="24"/>
        </w:rPr>
        <w:t xml:space="preserve">Supplementary Data Set 1. ER stress and protection proteomics and phosphoproteomics dataset. </w:t>
      </w:r>
      <w:r w:rsidRPr="000170C1">
        <w:rPr>
          <w:rFonts w:cs="Times New Roman"/>
          <w:iCs/>
          <w:szCs w:val="24"/>
        </w:rPr>
        <w:t>Quantified proteins and phosphoproteins are displayed with corresponding log</w:t>
      </w:r>
      <w:r w:rsidRPr="000170C1">
        <w:rPr>
          <w:rFonts w:cs="Times New Roman"/>
          <w:iCs/>
          <w:szCs w:val="24"/>
          <w:vertAlign w:val="subscript"/>
        </w:rPr>
        <w:t>2</w:t>
      </w:r>
      <w:r w:rsidRPr="000170C1">
        <w:rPr>
          <w:rFonts w:cs="Times New Roman"/>
          <w:iCs/>
          <w:szCs w:val="24"/>
        </w:rPr>
        <w:t>foldchange with each treatment, compared to indicated control.</w:t>
      </w:r>
    </w:p>
    <w:p w14:paraId="082D88CC" w14:textId="77777777" w:rsidR="008B346C" w:rsidRPr="000170C1" w:rsidRDefault="008B346C" w:rsidP="00F11007">
      <w:pPr>
        <w:keepNext/>
        <w:rPr>
          <w:rFonts w:cs="Times New Roman"/>
          <w:b/>
          <w:bCs/>
          <w:iCs/>
          <w:szCs w:val="24"/>
        </w:rPr>
      </w:pPr>
    </w:p>
    <w:p w14:paraId="0AF378F6" w14:textId="5EFF6E0B" w:rsidR="00C4104A" w:rsidRPr="000170C1" w:rsidRDefault="00F11007" w:rsidP="00F11007">
      <w:pPr>
        <w:keepNext/>
        <w:rPr>
          <w:rFonts w:cs="Times New Roman"/>
          <w:iCs/>
          <w:szCs w:val="24"/>
        </w:rPr>
      </w:pPr>
      <w:r w:rsidRPr="000170C1">
        <w:rPr>
          <w:rFonts w:cs="Times New Roman"/>
          <w:b/>
          <w:bCs/>
          <w:iCs/>
          <w:szCs w:val="24"/>
        </w:rPr>
        <w:t>Supplementary Video Files</w:t>
      </w:r>
      <w:r w:rsidRPr="000170C1">
        <w:rPr>
          <w:rFonts w:cs="Times New Roman"/>
          <w:iCs/>
          <w:szCs w:val="24"/>
        </w:rPr>
        <w:t xml:space="preserve">. Automated live cell imaging of </w:t>
      </w:r>
      <w:r w:rsidR="00C4104A" w:rsidRPr="000170C1">
        <w:rPr>
          <w:rFonts w:cs="Times New Roman"/>
          <w:iCs/>
          <w:szCs w:val="24"/>
        </w:rPr>
        <w:t xml:space="preserve">1016A healthy control </w:t>
      </w:r>
      <w:r w:rsidRPr="000170C1">
        <w:rPr>
          <w:rFonts w:cs="Times New Roman"/>
          <w:iCs/>
          <w:szCs w:val="24"/>
        </w:rPr>
        <w:t>iPSC-derived MN cultures treated with DMSO (1), 1</w:t>
      </w:r>
      <w:r w:rsidR="00C4104A" w:rsidRPr="000170C1">
        <w:rPr>
          <w:rFonts w:cs="Times New Roman"/>
          <w:iCs/>
          <w:szCs w:val="24"/>
        </w:rPr>
        <w:t>µ</w:t>
      </w:r>
      <w:r w:rsidRPr="000170C1">
        <w:rPr>
          <w:rFonts w:cs="Times New Roman"/>
          <w:iCs/>
          <w:szCs w:val="24"/>
        </w:rPr>
        <w:t>M thapsigargin (2), or 1</w:t>
      </w:r>
      <w:r w:rsidR="00C4104A" w:rsidRPr="000170C1">
        <w:rPr>
          <w:rFonts w:cs="Times New Roman"/>
          <w:iCs/>
          <w:szCs w:val="24"/>
        </w:rPr>
        <w:t>µ</w:t>
      </w:r>
      <w:r w:rsidRPr="000170C1">
        <w:rPr>
          <w:rFonts w:cs="Times New Roman"/>
          <w:iCs/>
          <w:szCs w:val="24"/>
        </w:rPr>
        <w:t>M tunicamycin (3). Images were taken every 6hrs for 48hrs.</w:t>
      </w:r>
    </w:p>
    <w:p w14:paraId="65C5B63C" w14:textId="77777777" w:rsidR="008B346C" w:rsidRPr="000170C1" w:rsidRDefault="008B346C" w:rsidP="00F11007">
      <w:pPr>
        <w:keepNext/>
        <w:rPr>
          <w:rFonts w:cs="Times New Roman"/>
          <w:b/>
          <w:bCs/>
          <w:iCs/>
          <w:szCs w:val="24"/>
        </w:rPr>
      </w:pPr>
    </w:p>
    <w:p w14:paraId="5A8F74C3" w14:textId="77777777" w:rsidR="008B346C" w:rsidRPr="000170C1" w:rsidRDefault="008B346C">
      <w:pPr>
        <w:spacing w:before="0" w:after="200" w:line="276" w:lineRule="auto"/>
        <w:rPr>
          <w:rFonts w:cs="Times New Roman"/>
          <w:b/>
          <w:bCs/>
          <w:iCs/>
          <w:szCs w:val="24"/>
        </w:rPr>
      </w:pPr>
      <w:r w:rsidRPr="000170C1">
        <w:rPr>
          <w:rFonts w:cs="Times New Roman"/>
          <w:b/>
          <w:bCs/>
          <w:iCs/>
          <w:szCs w:val="24"/>
        </w:rPr>
        <w:br w:type="page"/>
      </w:r>
    </w:p>
    <w:p w14:paraId="329EFF83" w14:textId="6CECFC14" w:rsidR="00F11007" w:rsidRPr="000170C1" w:rsidRDefault="001963D7" w:rsidP="00F11007">
      <w:pPr>
        <w:keepNext/>
        <w:rPr>
          <w:rFonts w:cs="Times New Roman"/>
          <w:b/>
          <w:bCs/>
          <w:iCs/>
          <w:szCs w:val="24"/>
        </w:rPr>
      </w:pPr>
      <w:r w:rsidRPr="000170C1">
        <w:rPr>
          <w:rFonts w:cs="Times New Roman"/>
          <w:b/>
          <w:bCs/>
          <w:iCs/>
          <w:szCs w:val="24"/>
        </w:rPr>
        <w:lastRenderedPageBreak/>
        <w:t xml:space="preserve">Supplementary </w:t>
      </w:r>
      <w:r w:rsidR="00F11007" w:rsidRPr="000170C1">
        <w:rPr>
          <w:rFonts w:cs="Times New Roman"/>
          <w:b/>
          <w:bCs/>
          <w:iCs/>
          <w:szCs w:val="24"/>
        </w:rPr>
        <w:t>Table S1. Overview of quantified phosphopeptides and peptides</w:t>
      </w:r>
    </w:p>
    <w:tbl>
      <w:tblPr>
        <w:tblW w:w="88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06"/>
        <w:gridCol w:w="1523"/>
        <w:gridCol w:w="1523"/>
        <w:gridCol w:w="1343"/>
        <w:gridCol w:w="2225"/>
      </w:tblGrid>
      <w:tr w:rsidR="00EA7984" w:rsidRPr="000170C1" w14:paraId="5096E9A8" w14:textId="77777777" w:rsidTr="0046428C">
        <w:trPr>
          <w:trHeight w:val="75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8D5956" w14:textId="77777777" w:rsidR="00EA7984" w:rsidRPr="000170C1" w:rsidRDefault="00EA7984" w:rsidP="0046428C">
            <w:pPr>
              <w:spacing w:after="0"/>
              <w:jc w:val="center"/>
              <w:rPr>
                <w:rFonts w:eastAsia="Times New Roman" w:cs="Times New Roman"/>
                <w:iCs/>
                <w:szCs w:val="24"/>
              </w:rPr>
            </w:pPr>
            <w:r w:rsidRPr="000170C1">
              <w:rPr>
                <w:rFonts w:eastAsia="Times New Roman" w:cs="Times New Roman"/>
                <w:b/>
                <w:bCs/>
                <w:iCs/>
                <w:color w:val="000000"/>
                <w:kern w:val="24"/>
                <w:szCs w:val="24"/>
              </w:rPr>
              <w:t>Data Set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9227E" w14:textId="77777777" w:rsidR="00EA7984" w:rsidRPr="000170C1" w:rsidRDefault="00EA7984" w:rsidP="0046428C">
            <w:pPr>
              <w:spacing w:after="0"/>
              <w:jc w:val="center"/>
              <w:rPr>
                <w:rFonts w:eastAsia="Times New Roman" w:cs="Times New Roman"/>
                <w:iCs/>
                <w:szCs w:val="24"/>
              </w:rPr>
            </w:pPr>
            <w:r w:rsidRPr="000170C1">
              <w:rPr>
                <w:rFonts w:eastAsia="Times New Roman" w:cs="Times New Roman"/>
                <w:b/>
                <w:bCs/>
                <w:iCs/>
                <w:color w:val="000000"/>
                <w:kern w:val="24"/>
                <w:szCs w:val="24"/>
              </w:rPr>
              <w:t># Peptides (Set 1)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9D135E" w14:textId="77777777" w:rsidR="00EA7984" w:rsidRPr="000170C1" w:rsidRDefault="00EA7984" w:rsidP="0046428C">
            <w:pPr>
              <w:spacing w:after="0"/>
              <w:jc w:val="center"/>
              <w:rPr>
                <w:rFonts w:eastAsia="Times New Roman" w:cs="Times New Roman"/>
                <w:iCs/>
                <w:szCs w:val="24"/>
              </w:rPr>
            </w:pPr>
            <w:r w:rsidRPr="000170C1">
              <w:rPr>
                <w:rFonts w:eastAsia="Times New Roman" w:cs="Times New Roman"/>
                <w:b/>
                <w:bCs/>
                <w:iCs/>
                <w:color w:val="000000"/>
                <w:kern w:val="24"/>
                <w:szCs w:val="24"/>
              </w:rPr>
              <w:t># Peptides (Set 2)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FCBD96" w14:textId="77777777" w:rsidR="00EA7984" w:rsidRPr="000170C1" w:rsidRDefault="00EA7984" w:rsidP="0046428C">
            <w:pPr>
              <w:spacing w:after="0"/>
              <w:jc w:val="center"/>
              <w:rPr>
                <w:rFonts w:eastAsia="Times New Roman" w:cs="Times New Roman"/>
                <w:iCs/>
                <w:szCs w:val="24"/>
              </w:rPr>
            </w:pPr>
            <w:r w:rsidRPr="000170C1">
              <w:rPr>
                <w:rFonts w:eastAsia="Times New Roman" w:cs="Times New Roman"/>
                <w:b/>
                <w:bCs/>
                <w:iCs/>
                <w:color w:val="000000"/>
                <w:kern w:val="24"/>
                <w:szCs w:val="24"/>
              </w:rPr>
              <w:t># Unique Proteins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02056D" w14:textId="77777777" w:rsidR="00EA7984" w:rsidRPr="000170C1" w:rsidRDefault="00EA7984" w:rsidP="0046428C">
            <w:pPr>
              <w:spacing w:after="0"/>
              <w:jc w:val="center"/>
              <w:rPr>
                <w:rFonts w:eastAsia="Times New Roman" w:cs="Times New Roman"/>
                <w:iCs/>
                <w:szCs w:val="24"/>
              </w:rPr>
            </w:pPr>
            <w:r w:rsidRPr="000170C1">
              <w:rPr>
                <w:rFonts w:eastAsia="Times New Roman" w:cs="Times New Roman"/>
                <w:b/>
                <w:bCs/>
                <w:iCs/>
                <w:color w:val="000000"/>
                <w:kern w:val="24"/>
                <w:szCs w:val="24"/>
              </w:rPr>
              <w:t># Unique Phosphorylation Sites</w:t>
            </w:r>
          </w:p>
        </w:tc>
      </w:tr>
      <w:tr w:rsidR="00EA7984" w:rsidRPr="000170C1" w14:paraId="0C78E43B" w14:textId="77777777" w:rsidTr="0046428C">
        <w:trPr>
          <w:trHeight w:val="5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8EC1AD" w14:textId="77777777" w:rsidR="00EA7984" w:rsidRPr="000170C1" w:rsidRDefault="00EA7984" w:rsidP="0046428C">
            <w:pPr>
              <w:spacing w:after="0"/>
              <w:jc w:val="center"/>
              <w:rPr>
                <w:rFonts w:eastAsia="Times New Roman" w:cs="Times New Roman"/>
                <w:iCs/>
                <w:szCs w:val="24"/>
              </w:rPr>
            </w:pPr>
            <w:proofErr w:type="spellStart"/>
            <w:r w:rsidRPr="000170C1">
              <w:rPr>
                <w:rFonts w:eastAsia="Times New Roman" w:cs="Times New Roman"/>
                <w:iCs/>
                <w:color w:val="000000"/>
                <w:kern w:val="24"/>
                <w:szCs w:val="24"/>
              </w:rPr>
              <w:t>Stress+Protection</w:t>
            </w:r>
            <w:proofErr w:type="spellEnd"/>
            <w:r w:rsidRPr="000170C1">
              <w:rPr>
                <w:rFonts w:eastAsia="Times New Roman" w:cs="Times New Roman"/>
                <w:iCs/>
                <w:color w:val="000000"/>
                <w:kern w:val="24"/>
                <w:szCs w:val="24"/>
              </w:rPr>
              <w:t xml:space="preserve"> (Protein)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8D60D" w14:textId="77777777" w:rsidR="00EA7984" w:rsidRPr="000170C1" w:rsidRDefault="00EA7984" w:rsidP="0046428C">
            <w:pPr>
              <w:spacing w:after="0"/>
              <w:jc w:val="center"/>
              <w:textAlignment w:val="center"/>
              <w:rPr>
                <w:rFonts w:eastAsia="Times New Roman" w:cs="Times New Roman"/>
                <w:iCs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kern w:val="24"/>
                <w:szCs w:val="24"/>
              </w:rPr>
              <w:t>67,357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88026" w14:textId="77777777" w:rsidR="00EA7984" w:rsidRPr="000170C1" w:rsidRDefault="00EA7984" w:rsidP="0046428C">
            <w:pPr>
              <w:spacing w:after="0"/>
              <w:jc w:val="center"/>
              <w:textAlignment w:val="center"/>
              <w:rPr>
                <w:rFonts w:eastAsia="Times New Roman" w:cs="Times New Roman"/>
                <w:iCs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kern w:val="24"/>
                <w:szCs w:val="24"/>
              </w:rPr>
              <w:t>59,708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8F9F7" w14:textId="77777777" w:rsidR="00EA7984" w:rsidRPr="000170C1" w:rsidRDefault="00EA7984" w:rsidP="0046428C">
            <w:pPr>
              <w:spacing w:after="0"/>
              <w:jc w:val="center"/>
              <w:textAlignment w:val="center"/>
              <w:rPr>
                <w:rFonts w:eastAsia="Times New Roman" w:cs="Times New Roman"/>
                <w:iCs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kern w:val="24"/>
                <w:szCs w:val="24"/>
              </w:rPr>
              <w:t>6,697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A2923" w14:textId="77777777" w:rsidR="00EA7984" w:rsidRPr="000170C1" w:rsidRDefault="00EA7984" w:rsidP="0046428C">
            <w:pPr>
              <w:spacing w:after="0"/>
              <w:rPr>
                <w:rFonts w:eastAsia="Times New Roman" w:cs="Times New Roman"/>
                <w:iCs/>
                <w:szCs w:val="24"/>
              </w:rPr>
            </w:pPr>
          </w:p>
        </w:tc>
      </w:tr>
      <w:tr w:rsidR="00EA7984" w:rsidRPr="000170C1" w14:paraId="130776E9" w14:textId="77777777" w:rsidTr="0046428C">
        <w:trPr>
          <w:trHeight w:val="5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86DF9" w14:textId="77777777" w:rsidR="00EA7984" w:rsidRPr="000170C1" w:rsidRDefault="00EA7984" w:rsidP="0046428C">
            <w:pPr>
              <w:spacing w:after="0"/>
              <w:jc w:val="center"/>
              <w:rPr>
                <w:rFonts w:eastAsia="Times New Roman" w:cs="Times New Roman"/>
                <w:iCs/>
                <w:szCs w:val="24"/>
              </w:rPr>
            </w:pPr>
            <w:proofErr w:type="spellStart"/>
            <w:r w:rsidRPr="000170C1">
              <w:rPr>
                <w:rFonts w:eastAsia="Times New Roman" w:cs="Times New Roman"/>
                <w:iCs/>
                <w:color w:val="000000"/>
                <w:kern w:val="24"/>
                <w:szCs w:val="24"/>
              </w:rPr>
              <w:t>Stress+Protection</w:t>
            </w:r>
            <w:proofErr w:type="spellEnd"/>
            <w:r w:rsidRPr="000170C1">
              <w:rPr>
                <w:rFonts w:eastAsia="Times New Roman" w:cs="Times New Roman"/>
                <w:iCs/>
                <w:color w:val="000000"/>
                <w:kern w:val="24"/>
                <w:szCs w:val="24"/>
              </w:rPr>
              <w:t xml:space="preserve"> (Phospho-protein)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FA852" w14:textId="77777777" w:rsidR="00EA7984" w:rsidRPr="000170C1" w:rsidRDefault="00EA7984" w:rsidP="0046428C">
            <w:pPr>
              <w:spacing w:after="0"/>
              <w:jc w:val="center"/>
              <w:textAlignment w:val="center"/>
              <w:rPr>
                <w:rFonts w:eastAsia="Times New Roman" w:cs="Times New Roman"/>
                <w:iCs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kern w:val="24"/>
                <w:szCs w:val="24"/>
              </w:rPr>
              <w:t>28,399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93AD6" w14:textId="77777777" w:rsidR="00EA7984" w:rsidRPr="000170C1" w:rsidRDefault="00EA7984" w:rsidP="0046428C">
            <w:pPr>
              <w:spacing w:after="0"/>
              <w:jc w:val="center"/>
              <w:textAlignment w:val="center"/>
              <w:rPr>
                <w:rFonts w:eastAsia="Times New Roman" w:cs="Times New Roman"/>
                <w:iCs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kern w:val="24"/>
                <w:szCs w:val="24"/>
              </w:rPr>
              <w:t>28,973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316E9" w14:textId="77777777" w:rsidR="00EA7984" w:rsidRPr="000170C1" w:rsidRDefault="00EA7984" w:rsidP="0046428C">
            <w:pPr>
              <w:spacing w:after="0"/>
              <w:jc w:val="center"/>
              <w:textAlignment w:val="center"/>
              <w:rPr>
                <w:rFonts w:eastAsia="Times New Roman" w:cs="Times New Roman"/>
                <w:iCs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kern w:val="24"/>
                <w:szCs w:val="24"/>
              </w:rPr>
              <w:t>2,764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2A317" w14:textId="77777777" w:rsidR="00EA7984" w:rsidRPr="000170C1" w:rsidRDefault="00EA7984" w:rsidP="0046428C">
            <w:pPr>
              <w:spacing w:after="0"/>
              <w:jc w:val="center"/>
              <w:textAlignment w:val="center"/>
              <w:rPr>
                <w:rFonts w:eastAsia="Times New Roman" w:cs="Times New Roman"/>
                <w:iCs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kern w:val="24"/>
                <w:szCs w:val="24"/>
              </w:rPr>
              <w:t>7,999</w:t>
            </w:r>
          </w:p>
        </w:tc>
      </w:tr>
    </w:tbl>
    <w:p w14:paraId="1CEF73B8" w14:textId="77777777" w:rsidR="00C4104A" w:rsidRPr="000170C1" w:rsidRDefault="00C4104A" w:rsidP="00F11007">
      <w:pPr>
        <w:keepNext/>
        <w:rPr>
          <w:rFonts w:cs="Times New Roman"/>
          <w:b/>
          <w:bCs/>
          <w:iCs/>
          <w:szCs w:val="24"/>
        </w:rPr>
      </w:pPr>
    </w:p>
    <w:p w14:paraId="03AF41FD" w14:textId="38C85FAC" w:rsidR="00D46A39" w:rsidRPr="000170C1" w:rsidRDefault="00D46A39" w:rsidP="00F11007">
      <w:pPr>
        <w:keepNext/>
        <w:rPr>
          <w:rFonts w:cs="Times New Roman"/>
          <w:b/>
          <w:bCs/>
          <w:iCs/>
          <w:szCs w:val="24"/>
        </w:rPr>
      </w:pPr>
      <w:r w:rsidRPr="000170C1">
        <w:rPr>
          <w:rFonts w:cs="Times New Roman"/>
          <w:b/>
          <w:bCs/>
          <w:iCs/>
          <w:szCs w:val="24"/>
        </w:rPr>
        <w:t xml:space="preserve">Supplementary Table S2. </w:t>
      </w:r>
      <w:r w:rsidR="00C52FC8" w:rsidRPr="000170C1">
        <w:rPr>
          <w:rFonts w:cs="Times New Roman"/>
          <w:b/>
          <w:bCs/>
          <w:iCs/>
          <w:szCs w:val="24"/>
        </w:rPr>
        <w:t xml:space="preserve">Protective processes implicated by proteomic </w:t>
      </w:r>
      <w:r w:rsidR="00C4104A" w:rsidRPr="000170C1">
        <w:rPr>
          <w:rFonts w:cs="Times New Roman"/>
          <w:b/>
          <w:bCs/>
          <w:iCs/>
          <w:szCs w:val="24"/>
        </w:rPr>
        <w:t>analyses.</w:t>
      </w:r>
    </w:p>
    <w:tbl>
      <w:tblPr>
        <w:tblW w:w="8782" w:type="dxa"/>
        <w:tblLook w:val="04A0" w:firstRow="1" w:lastRow="0" w:firstColumn="1" w:lastColumn="0" w:noHBand="0" w:noVBand="1"/>
      </w:tblPr>
      <w:tblGrid>
        <w:gridCol w:w="2013"/>
        <w:gridCol w:w="2606"/>
        <w:gridCol w:w="4163"/>
      </w:tblGrid>
      <w:tr w:rsidR="00C4104A" w:rsidRPr="000170C1" w14:paraId="6471B161" w14:textId="77777777" w:rsidTr="00C4104A">
        <w:trPr>
          <w:trHeight w:val="688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080904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4"/>
                <w:u w:val="single"/>
              </w:rPr>
            </w:pPr>
            <w:r w:rsidRPr="000170C1">
              <w:rPr>
                <w:rFonts w:eastAsia="Times New Roman" w:cs="Times New Roman"/>
                <w:b/>
                <w:bCs/>
                <w:iCs/>
                <w:color w:val="000000"/>
                <w:szCs w:val="24"/>
                <w:u w:val="single"/>
              </w:rPr>
              <w:t>Protective Compound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4E8D6E" w14:textId="46B0AB9B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4"/>
                <w:u w:val="single"/>
              </w:rPr>
            </w:pPr>
            <w:r w:rsidRPr="000170C1">
              <w:rPr>
                <w:rFonts w:eastAsia="Times New Roman" w:cs="Times New Roman"/>
                <w:b/>
                <w:bCs/>
                <w:iCs/>
                <w:color w:val="000000"/>
                <w:szCs w:val="24"/>
                <w:u w:val="single"/>
              </w:rPr>
              <w:t>Implicated Protective Process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94B0E4" w14:textId="15B115F5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4"/>
                <w:u w:val="single"/>
              </w:rPr>
            </w:pPr>
            <w:r w:rsidRPr="000170C1">
              <w:rPr>
                <w:rFonts w:eastAsia="Times New Roman" w:cs="Times New Roman"/>
                <w:b/>
                <w:bCs/>
                <w:iCs/>
                <w:color w:val="000000"/>
                <w:szCs w:val="24"/>
                <w:u w:val="single"/>
              </w:rPr>
              <w:t>Specific Implicated Targets</w:t>
            </w:r>
          </w:p>
        </w:tc>
      </w:tr>
      <w:tr w:rsidR="00C4104A" w:rsidRPr="000170C1" w14:paraId="70B6588A" w14:textId="77777777" w:rsidTr="00C4104A">
        <w:trPr>
          <w:trHeight w:val="598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B64B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Kenpaullone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5634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Microtubule Dynamics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E594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Phospho-CLASP2, Phospho-DPYSL2, MAP1B, MAPT, TPP, Kif11</w:t>
            </w:r>
          </w:p>
        </w:tc>
      </w:tr>
      <w:tr w:rsidR="00C4104A" w:rsidRPr="000170C1" w14:paraId="59BDC73A" w14:textId="77777777" w:rsidTr="00C4104A">
        <w:trPr>
          <w:trHeight w:val="858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A8F6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Kenpaullone + MAP4K4i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9E8A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Signaling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DE51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GSK3β, PKC, JNK, c-JUN, mTOR/S6K, RAF, PIM</w:t>
            </w:r>
          </w:p>
        </w:tc>
      </w:tr>
      <w:tr w:rsidR="00C4104A" w:rsidRPr="000170C1" w14:paraId="795E5CE6" w14:textId="77777777" w:rsidTr="00C4104A">
        <w:trPr>
          <w:trHeight w:val="598"/>
        </w:trPr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EF15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Kenpaullone + MAP4K4i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F1DD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Metabolism</w:t>
            </w:r>
          </w:p>
        </w:tc>
        <w:tc>
          <w:tcPr>
            <w:tcW w:w="4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8113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ACSL4, HMG-CoA Reductase, SCD, ODC, CHDH</w:t>
            </w:r>
          </w:p>
        </w:tc>
      </w:tr>
      <w:tr w:rsidR="00C4104A" w:rsidRPr="000170C1" w14:paraId="6F05A6C1" w14:textId="77777777" w:rsidTr="00C4104A">
        <w:trPr>
          <w:trHeight w:val="598"/>
        </w:trPr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EA5A" w14:textId="77777777" w:rsidR="00C4104A" w:rsidRPr="000170C1" w:rsidRDefault="00C4104A" w:rsidP="00454FCF">
            <w:pPr>
              <w:spacing w:before="0" w:after="0"/>
              <w:rPr>
                <w:rFonts w:eastAsia="Times New Roman" w:cs="Times New Roman"/>
                <w:iCs/>
                <w:color w:val="000000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FD8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(Fatty Acid, Lipid, Cholesterol)</w:t>
            </w:r>
          </w:p>
        </w:tc>
        <w:tc>
          <w:tcPr>
            <w:tcW w:w="4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E072" w14:textId="77777777" w:rsidR="00C4104A" w:rsidRPr="000170C1" w:rsidRDefault="00C4104A" w:rsidP="00454FCF">
            <w:pPr>
              <w:spacing w:before="0" w:after="0"/>
              <w:rPr>
                <w:rFonts w:eastAsia="Times New Roman" w:cs="Times New Roman"/>
                <w:iCs/>
                <w:color w:val="000000"/>
                <w:szCs w:val="24"/>
              </w:rPr>
            </w:pPr>
          </w:p>
        </w:tc>
      </w:tr>
      <w:tr w:rsidR="00C4104A" w:rsidRPr="000170C1" w14:paraId="347C3A3D" w14:textId="77777777" w:rsidTr="00C4104A">
        <w:trPr>
          <w:trHeight w:val="598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1EBE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Kenpaullone + MAP4K4i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36C3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Receptors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CB94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Insulin, GABA</w:t>
            </w:r>
          </w:p>
        </w:tc>
      </w:tr>
      <w:tr w:rsidR="00C4104A" w:rsidRPr="000170C1" w14:paraId="456BDD13" w14:textId="77777777" w:rsidTr="00C4104A">
        <w:trPr>
          <w:trHeight w:val="598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17CB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Kenpaullone + MAP4K4i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438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Cell Cycle Proteins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2182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Cdc42, CDK3/5</w:t>
            </w:r>
          </w:p>
        </w:tc>
      </w:tr>
      <w:tr w:rsidR="00C4104A" w:rsidRPr="000170C1" w14:paraId="53F8361E" w14:textId="77777777" w:rsidTr="00C4104A">
        <w:trPr>
          <w:trHeight w:val="598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F346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Kenpaullone + MAP4K4i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A84F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Calcium Dynamics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BD68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Cam2K, CSNK2</w:t>
            </w:r>
          </w:p>
        </w:tc>
      </w:tr>
      <w:tr w:rsidR="00C4104A" w:rsidRPr="000170C1" w14:paraId="0195AE9A" w14:textId="77777777" w:rsidTr="00C4104A">
        <w:trPr>
          <w:trHeight w:val="598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0379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Kenpaullone + MAP4K4i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2C58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ER-Golgi Anterograde Transport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21AF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GBF1, Phospho-EXOC1</w:t>
            </w:r>
          </w:p>
        </w:tc>
      </w:tr>
      <w:tr w:rsidR="00C4104A" w:rsidRPr="000170C1" w14:paraId="7455D947" w14:textId="77777777" w:rsidTr="00C4104A">
        <w:trPr>
          <w:trHeight w:val="598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05F6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MAP4K4i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9B2A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HDACs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75AB" w14:textId="77777777" w:rsidR="00C4104A" w:rsidRPr="000170C1" w:rsidRDefault="00C4104A" w:rsidP="00454FCF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Cs w:val="24"/>
              </w:rPr>
            </w:pPr>
            <w:r w:rsidRPr="000170C1">
              <w:rPr>
                <w:rFonts w:eastAsia="Times New Roman" w:cs="Times New Roman"/>
                <w:iCs/>
                <w:color w:val="000000"/>
                <w:szCs w:val="24"/>
              </w:rPr>
              <w:t>HDAC1, 2, 5</w:t>
            </w:r>
          </w:p>
        </w:tc>
      </w:tr>
    </w:tbl>
    <w:p w14:paraId="58F1AED1" w14:textId="77777777" w:rsidR="00DE23E8" w:rsidRPr="000170C1" w:rsidRDefault="00DE23E8" w:rsidP="00654E8F">
      <w:pPr>
        <w:spacing w:before="240"/>
        <w:rPr>
          <w:rFonts w:cs="Times New Roman"/>
          <w:iCs/>
          <w:szCs w:val="24"/>
        </w:rPr>
      </w:pPr>
    </w:p>
    <w:sectPr w:rsidR="00DE23E8" w:rsidRPr="000170C1" w:rsidSect="00155EE7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8041" w14:textId="77777777" w:rsidR="00155EE7" w:rsidRDefault="00155EE7" w:rsidP="00117666">
      <w:pPr>
        <w:spacing w:after="0"/>
      </w:pPr>
      <w:r>
        <w:separator/>
      </w:r>
    </w:p>
  </w:endnote>
  <w:endnote w:type="continuationSeparator" w:id="0">
    <w:p w14:paraId="3270157B" w14:textId="77777777" w:rsidR="00155EE7" w:rsidRDefault="00155EE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CF7985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CF798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CF7985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CF7985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CF798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CF7985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FEC2" w14:textId="77777777" w:rsidR="00155EE7" w:rsidRDefault="00155EE7" w:rsidP="00117666">
      <w:pPr>
        <w:spacing w:after="0"/>
      </w:pPr>
      <w:r>
        <w:separator/>
      </w:r>
    </w:p>
  </w:footnote>
  <w:footnote w:type="continuationSeparator" w:id="0">
    <w:p w14:paraId="72DDF167" w14:textId="77777777" w:rsidR="00155EE7" w:rsidRDefault="00155EE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CF7985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CF7985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037DE"/>
    <w:rsid w:val="0001436A"/>
    <w:rsid w:val="000170C1"/>
    <w:rsid w:val="00017CD1"/>
    <w:rsid w:val="00034304"/>
    <w:rsid w:val="00035434"/>
    <w:rsid w:val="0005197B"/>
    <w:rsid w:val="00052A14"/>
    <w:rsid w:val="00077D53"/>
    <w:rsid w:val="000B6FDA"/>
    <w:rsid w:val="00105FD9"/>
    <w:rsid w:val="00110C64"/>
    <w:rsid w:val="00117666"/>
    <w:rsid w:val="00140AF9"/>
    <w:rsid w:val="001507DC"/>
    <w:rsid w:val="001549D3"/>
    <w:rsid w:val="00155EE7"/>
    <w:rsid w:val="00160065"/>
    <w:rsid w:val="00177D84"/>
    <w:rsid w:val="001963D7"/>
    <w:rsid w:val="001D7E60"/>
    <w:rsid w:val="00247B75"/>
    <w:rsid w:val="00267D18"/>
    <w:rsid w:val="002868E2"/>
    <w:rsid w:val="002869C3"/>
    <w:rsid w:val="002936E4"/>
    <w:rsid w:val="00297C99"/>
    <w:rsid w:val="002B2569"/>
    <w:rsid w:val="002B4A57"/>
    <w:rsid w:val="002C74CA"/>
    <w:rsid w:val="00306DDA"/>
    <w:rsid w:val="0034175C"/>
    <w:rsid w:val="0034309E"/>
    <w:rsid w:val="003544FB"/>
    <w:rsid w:val="00394C43"/>
    <w:rsid w:val="003D2F2D"/>
    <w:rsid w:val="00401590"/>
    <w:rsid w:val="00447801"/>
    <w:rsid w:val="00452E9C"/>
    <w:rsid w:val="00454FCF"/>
    <w:rsid w:val="004735C8"/>
    <w:rsid w:val="004961FF"/>
    <w:rsid w:val="00517A89"/>
    <w:rsid w:val="005229C5"/>
    <w:rsid w:val="005250F2"/>
    <w:rsid w:val="00593EEA"/>
    <w:rsid w:val="005A5EEE"/>
    <w:rsid w:val="005B434A"/>
    <w:rsid w:val="005E13A0"/>
    <w:rsid w:val="005F57A7"/>
    <w:rsid w:val="006375C7"/>
    <w:rsid w:val="00654E8F"/>
    <w:rsid w:val="00660D05"/>
    <w:rsid w:val="00670B1C"/>
    <w:rsid w:val="006820B1"/>
    <w:rsid w:val="00687B68"/>
    <w:rsid w:val="00696A25"/>
    <w:rsid w:val="006B7D14"/>
    <w:rsid w:val="006E7CA2"/>
    <w:rsid w:val="00701727"/>
    <w:rsid w:val="0070566C"/>
    <w:rsid w:val="00714C50"/>
    <w:rsid w:val="00725A7D"/>
    <w:rsid w:val="007501BE"/>
    <w:rsid w:val="00764AC5"/>
    <w:rsid w:val="00790BB3"/>
    <w:rsid w:val="00792E69"/>
    <w:rsid w:val="007C206C"/>
    <w:rsid w:val="00803D24"/>
    <w:rsid w:val="00817DD6"/>
    <w:rsid w:val="0084643D"/>
    <w:rsid w:val="00862E98"/>
    <w:rsid w:val="00885156"/>
    <w:rsid w:val="008923FF"/>
    <w:rsid w:val="008A298E"/>
    <w:rsid w:val="008B346C"/>
    <w:rsid w:val="008F0CE9"/>
    <w:rsid w:val="00914D0E"/>
    <w:rsid w:val="009151AA"/>
    <w:rsid w:val="0093429D"/>
    <w:rsid w:val="00943573"/>
    <w:rsid w:val="00970F7D"/>
    <w:rsid w:val="00994059"/>
    <w:rsid w:val="00994A3D"/>
    <w:rsid w:val="009C2B12"/>
    <w:rsid w:val="009C70F3"/>
    <w:rsid w:val="009E2491"/>
    <w:rsid w:val="00A174D9"/>
    <w:rsid w:val="00A569CD"/>
    <w:rsid w:val="00AB6715"/>
    <w:rsid w:val="00B04F22"/>
    <w:rsid w:val="00B1671E"/>
    <w:rsid w:val="00B25EB8"/>
    <w:rsid w:val="00B34D79"/>
    <w:rsid w:val="00B354E1"/>
    <w:rsid w:val="00B37F4D"/>
    <w:rsid w:val="00BA1552"/>
    <w:rsid w:val="00BF0DB1"/>
    <w:rsid w:val="00BF6BDF"/>
    <w:rsid w:val="00C02719"/>
    <w:rsid w:val="00C05B7D"/>
    <w:rsid w:val="00C27289"/>
    <w:rsid w:val="00C4104A"/>
    <w:rsid w:val="00C52A7B"/>
    <w:rsid w:val="00C52FC8"/>
    <w:rsid w:val="00C56BAF"/>
    <w:rsid w:val="00C6357F"/>
    <w:rsid w:val="00C679AA"/>
    <w:rsid w:val="00C75972"/>
    <w:rsid w:val="00C96CF8"/>
    <w:rsid w:val="00CC0A3A"/>
    <w:rsid w:val="00CD066B"/>
    <w:rsid w:val="00CD2A2F"/>
    <w:rsid w:val="00CE15D2"/>
    <w:rsid w:val="00CE4FEE"/>
    <w:rsid w:val="00CF7985"/>
    <w:rsid w:val="00D46A39"/>
    <w:rsid w:val="00D60D9B"/>
    <w:rsid w:val="00D63E53"/>
    <w:rsid w:val="00DB59C3"/>
    <w:rsid w:val="00DC259A"/>
    <w:rsid w:val="00DE23E8"/>
    <w:rsid w:val="00DF6271"/>
    <w:rsid w:val="00E14716"/>
    <w:rsid w:val="00E52377"/>
    <w:rsid w:val="00E54484"/>
    <w:rsid w:val="00E643EA"/>
    <w:rsid w:val="00E64E17"/>
    <w:rsid w:val="00E7742A"/>
    <w:rsid w:val="00E866C9"/>
    <w:rsid w:val="00EA3D3C"/>
    <w:rsid w:val="00EA7984"/>
    <w:rsid w:val="00EB1181"/>
    <w:rsid w:val="00F11007"/>
    <w:rsid w:val="00F46900"/>
    <w:rsid w:val="00F47F49"/>
    <w:rsid w:val="00F509CF"/>
    <w:rsid w:val="00F60ECF"/>
    <w:rsid w:val="00F61D89"/>
    <w:rsid w:val="00F7068C"/>
    <w:rsid w:val="00FD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qFormat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ee_rubin@harvard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1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Giadone, Richard Michael</cp:lastModifiedBy>
  <cp:revision>2</cp:revision>
  <cp:lastPrinted>2013-10-03T12:51:00Z</cp:lastPrinted>
  <dcterms:created xsi:type="dcterms:W3CDTF">2023-12-18T21:12:00Z</dcterms:created>
  <dcterms:modified xsi:type="dcterms:W3CDTF">2023-12-18T21:12:00Z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