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7237" w14:textId="77777777" w:rsidR="00C74C12" w:rsidRPr="00335C07" w:rsidRDefault="00C74C12" w:rsidP="00C74C12">
      <w:pPr>
        <w:spacing w:after="120" w:line="240" w:lineRule="auto"/>
        <w:jc w:val="both"/>
        <w:rPr>
          <w:sz w:val="22"/>
          <w:szCs w:val="22"/>
        </w:rPr>
      </w:pPr>
      <w:r w:rsidRPr="00335C07">
        <w:rPr>
          <w:b/>
          <w:sz w:val="22"/>
          <w:szCs w:val="22"/>
        </w:rPr>
        <w:t>Table S</w:t>
      </w:r>
      <w:r>
        <w:rPr>
          <w:b/>
          <w:sz w:val="22"/>
          <w:szCs w:val="22"/>
        </w:rPr>
        <w:t>5</w:t>
      </w:r>
      <w:r w:rsidRPr="00335C07">
        <w:rPr>
          <w:b/>
          <w:sz w:val="22"/>
          <w:szCs w:val="22"/>
        </w:rPr>
        <w:t xml:space="preserve"> - </w:t>
      </w:r>
      <w:r w:rsidRPr="00335C07">
        <w:rPr>
          <w:sz w:val="22"/>
          <w:szCs w:val="22"/>
        </w:rPr>
        <w:t xml:space="preserve">Antimicrobial resistance patterns in </w:t>
      </w:r>
      <w:r w:rsidRPr="00335C07">
        <w:rPr>
          <w:i/>
          <w:sz w:val="22"/>
          <w:szCs w:val="22"/>
        </w:rPr>
        <w:t xml:space="preserve">E. coli </w:t>
      </w:r>
      <w:r w:rsidRPr="00335C07">
        <w:rPr>
          <w:sz w:val="22"/>
          <w:szCs w:val="22"/>
        </w:rPr>
        <w:t>from fish and shrimp from wet markets.</w:t>
      </w:r>
    </w:p>
    <w:tbl>
      <w:tblPr>
        <w:tblW w:w="12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35"/>
        <w:gridCol w:w="2865"/>
        <w:gridCol w:w="2640"/>
        <w:gridCol w:w="2325"/>
      </w:tblGrid>
      <w:tr w:rsidR="00C74C12" w:rsidRPr="009E5A7D" w14:paraId="4FE13E8E" w14:textId="77777777" w:rsidTr="002F1809">
        <w:trPr>
          <w:cantSplit/>
          <w:trHeight w:val="113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7994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b/>
                <w:sz w:val="20"/>
                <w:szCs w:val="20"/>
              </w:rPr>
            </w:pPr>
            <w:r w:rsidRPr="009E5A7D">
              <w:rPr>
                <w:b/>
                <w:sz w:val="20"/>
                <w:szCs w:val="20"/>
              </w:rPr>
              <w:t>Antimicrobial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F52F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b/>
                <w:sz w:val="20"/>
                <w:szCs w:val="20"/>
              </w:rPr>
            </w:pPr>
            <w:r w:rsidRPr="009E5A7D">
              <w:rPr>
                <w:b/>
                <w:sz w:val="20"/>
                <w:szCs w:val="20"/>
              </w:rPr>
              <w:t>Resistant (R)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04C8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b/>
                <w:sz w:val="20"/>
                <w:szCs w:val="20"/>
              </w:rPr>
            </w:pPr>
            <w:r w:rsidRPr="009E5A7D">
              <w:rPr>
                <w:b/>
                <w:sz w:val="20"/>
                <w:szCs w:val="20"/>
              </w:rPr>
              <w:t>Intermediate (I)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5E66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b/>
                <w:sz w:val="20"/>
                <w:szCs w:val="20"/>
              </w:rPr>
            </w:pPr>
            <w:r w:rsidRPr="009E5A7D">
              <w:rPr>
                <w:b/>
                <w:sz w:val="20"/>
                <w:szCs w:val="20"/>
              </w:rPr>
              <w:t>Susceptible (S)</w:t>
            </w:r>
          </w:p>
        </w:tc>
      </w:tr>
      <w:tr w:rsidR="00C74C12" w:rsidRPr="009E5A7D" w14:paraId="6BFA8BFE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9CB7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Chloramphenicol (CHL,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C4C3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5417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DBBB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(16/16)</w:t>
            </w:r>
          </w:p>
        </w:tc>
      </w:tr>
      <w:tr w:rsidR="00C74C12" w:rsidRPr="009E5A7D" w14:paraId="23D8FF65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813E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Trimethoprim/sulphamethoxazole (SXT, 1.25/23.75/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E5A5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8E4F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3C59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(16/16)</w:t>
            </w:r>
          </w:p>
        </w:tc>
      </w:tr>
      <w:tr w:rsidR="00C74C12" w:rsidRPr="009E5A7D" w14:paraId="2182F6B8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9018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Ciprofloxacin (CIP, 5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D0B8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012F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6.25% (1/16)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0F7D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93.75% (15/16)</w:t>
            </w:r>
          </w:p>
        </w:tc>
      </w:tr>
      <w:tr w:rsidR="00C74C12" w:rsidRPr="009E5A7D" w14:paraId="4BC62FE3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AF2F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Cefepime (FEP,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7CB5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1568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EEC1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(16/16)</w:t>
            </w:r>
          </w:p>
        </w:tc>
      </w:tr>
      <w:tr w:rsidR="00C74C12" w:rsidRPr="009E5A7D" w14:paraId="4370921C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0623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Meropenem (MEM, 10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2B0E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6.25% (1/16)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96B8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FA7E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93.75% (15/16)</w:t>
            </w:r>
          </w:p>
        </w:tc>
      </w:tr>
      <w:tr w:rsidR="00C74C12" w:rsidRPr="009E5A7D" w14:paraId="10DFC0FB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0A06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Ampicillin (AMP, 10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5773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25.00% (4/16)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DDB9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43.75% (7/16)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E14B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31.25% (5/16)</w:t>
            </w:r>
          </w:p>
        </w:tc>
      </w:tr>
      <w:tr w:rsidR="00C74C12" w:rsidRPr="009E5A7D" w14:paraId="57F7A402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22A4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Nalidixic acid (NAL,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D608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AC7A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18.75% (3/16)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874E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81.25% (13/16)</w:t>
            </w:r>
          </w:p>
        </w:tc>
      </w:tr>
      <w:tr w:rsidR="00C74C12" w:rsidRPr="009E5A7D" w14:paraId="766CB282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D77D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Norfloxacin (NOR, 10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AC6E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BF85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16B4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(16/16)</w:t>
            </w:r>
          </w:p>
        </w:tc>
      </w:tr>
      <w:tr w:rsidR="00C74C12" w:rsidRPr="009E5A7D" w14:paraId="2713D4FD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0B21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Cefoxitin (FOX,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CC07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12.50% (2/16)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F69F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EF94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87.50% (14/16)</w:t>
            </w:r>
          </w:p>
        </w:tc>
      </w:tr>
      <w:tr w:rsidR="00C74C12" w:rsidRPr="009E5A7D" w14:paraId="59AE7063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EA7AE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Gentamicin (GEN, 10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99C5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6.25% (1/16)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196C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0BA4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93.75% (15/16)</w:t>
            </w:r>
          </w:p>
        </w:tc>
      </w:tr>
      <w:tr w:rsidR="00C74C12" w:rsidRPr="009E5A7D" w14:paraId="545AC21B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6FB1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Nitrofurantoin (NIT, 100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9817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18.75% (3/16)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8C6F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759D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81.25% (13/16)</w:t>
            </w:r>
          </w:p>
        </w:tc>
      </w:tr>
      <w:tr w:rsidR="00C74C12" w:rsidRPr="009E5A7D" w14:paraId="3040C10D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56E2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Levofloxacin (LVX, 5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E41B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CF01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6.25% (1/16)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221E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93.75% (15/16)</w:t>
            </w:r>
          </w:p>
        </w:tc>
      </w:tr>
      <w:tr w:rsidR="00C74C12" w:rsidRPr="009E5A7D" w14:paraId="0A462543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D5A2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Azithromycin (AZM, 15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6D62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3804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0% (0/16)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F579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100.00% (16/16)</w:t>
            </w:r>
          </w:p>
        </w:tc>
      </w:tr>
      <w:tr w:rsidR="00C74C12" w:rsidRPr="009E5A7D" w14:paraId="22CAC6B7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2A05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Cefuroxime sodium (CXM,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E1E0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6.25% (1/16)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22F9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87.50% (14/16)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60B4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6.25% (1/16)</w:t>
            </w:r>
          </w:p>
        </w:tc>
      </w:tr>
      <w:tr w:rsidR="00C74C12" w:rsidRPr="009E5A7D" w14:paraId="43992A4D" w14:textId="77777777" w:rsidTr="002F1809">
        <w:trPr>
          <w:cantSplit/>
          <w:trHeight w:val="5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0E7B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 xml:space="preserve">Ceftriaxone (CRO, 30 </w:t>
            </w:r>
            <w:r>
              <w:rPr>
                <w:sz w:val="20"/>
                <w:szCs w:val="20"/>
              </w:rPr>
              <w:t>µ</w:t>
            </w:r>
            <w:r w:rsidRPr="009E5A7D">
              <w:rPr>
                <w:sz w:val="20"/>
                <w:szCs w:val="20"/>
              </w:rPr>
              <w:t>g)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60C6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6.25% (1/16)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4879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6.25% (1/16)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1ACE" w14:textId="77777777" w:rsidR="00C74C12" w:rsidRPr="009E5A7D" w:rsidRDefault="00C74C12" w:rsidP="002F1809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9E5A7D">
              <w:rPr>
                <w:sz w:val="20"/>
                <w:szCs w:val="20"/>
              </w:rPr>
              <w:t>87.50% (14/16)</w:t>
            </w:r>
          </w:p>
        </w:tc>
      </w:tr>
    </w:tbl>
    <w:p w14:paraId="194C0549" w14:textId="14738B2D" w:rsidR="00C74C12" w:rsidRDefault="00C74C12"/>
    <w:sectPr w:rsidR="00C74C12" w:rsidSect="00A33888">
      <w:pgSz w:w="15840" w:h="12240" w:orient="landscape"/>
      <w:pgMar w:top="1440" w:right="1440" w:bottom="1440" w:left="1440" w:header="0" w:footer="256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C12"/>
    <w:rsid w:val="00395A01"/>
    <w:rsid w:val="005359EC"/>
    <w:rsid w:val="007F0D51"/>
    <w:rsid w:val="00A33888"/>
    <w:rsid w:val="00B630F4"/>
    <w:rsid w:val="00C7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B54C"/>
  <w15:chartTrackingRefBased/>
  <w15:docId w15:val="{5FF51658-23D9-41E4-9B44-5E3085B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12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7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>HP Inc.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 Rheman</dc:creator>
  <cp:keywords/>
  <dc:description/>
  <cp:lastModifiedBy>Gillian Attard</cp:lastModifiedBy>
  <cp:revision>3</cp:revision>
  <dcterms:created xsi:type="dcterms:W3CDTF">2023-10-17T04:19:00Z</dcterms:created>
  <dcterms:modified xsi:type="dcterms:W3CDTF">2024-03-06T08:18:00Z</dcterms:modified>
</cp:coreProperties>
</file>