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3A4DAA99" w14:textId="24A1B2AD" w:rsidR="007A6E50" w:rsidRDefault="002C609F" w:rsidP="0001436A">
      <w:pPr>
        <w:pStyle w:val="Heading1"/>
      </w:pPr>
      <w:r>
        <w:t>Determination of Drainage Removal Rate Values</w:t>
      </w:r>
    </w:p>
    <w:p w14:paraId="2A422A26" w14:textId="611A1B7B" w:rsidR="002C609F" w:rsidRDefault="0053401C" w:rsidP="002C609F">
      <w:pPr>
        <w:rPr>
          <w:lang w:val="en-GB"/>
        </w:rPr>
      </w:pPr>
      <w:r w:rsidRPr="0053401C">
        <w:rPr>
          <w:lang w:val="en-GB"/>
        </w:rPr>
        <w:t xml:space="preserve">Drainage removal rate (DRR) values were determined using the approach detailed in </w:t>
      </w:r>
      <w:r w:rsidRPr="0053401C">
        <w:rPr>
          <w:lang w:val="en-GB"/>
        </w:rPr>
        <w:fldChar w:fldCharType="begin" w:fldLock="1"/>
      </w:r>
      <w:r w:rsidRPr="0053401C">
        <w:rPr>
          <w:lang w:val="en-GB"/>
        </w:rPr>
        <w:instrText>ADDIN CSL_CITATION {"citationItems":[{"id":"ITEM-1","itemData":{"ISBN":"9781849114189","abstract":"This research project has developed new guidance to estimate local drainage rates when mapping and modelling surface water flood risk.","author":[{"dropping-particle":"","family":"Leuwen","given":"Zora","non-dropping-particle":"van","parse-names":false,"suffix":""},{"dropping-particle":"","family":"Gill","given":"Elliot","non-dropping-particle":"","parse-names":false,"suffix":""},{"dropping-particle":"","family":"Hunter","given":"Neil","non-dropping-particle":"","parse-names":false,"suffix":""},{"dropping-particle":"","family":"Blazey","given":"Neil","non-dropping-particle":"","parse-names":false,"suffix":""}],"id":"ITEM-1","issued":{"date-parts":[["2019"]]},"number-of-pages":"67","publisher":"UK Environment Agency","publisher-place":"Bristol, UK","title":"Improving Surface Water Flood Mapping: Estimating Local Drainage Rates","type":"report"},"uris":["http://www.mendeley.com/documents/?uuid=223b0a35-5c0c-44aa-a78d-55a56cef73f6"]}],"mendeley":{"formattedCitation":"(van Leuwen et al., 2019)","manualFormatting":"van Leuwen et al., (2019)","plainTextFormattedCitation":"(van Leuwen et al., 2019)","previouslyFormattedCitation":"(van Leuwen et al., 2019)"},"properties":{"noteIndex":0},"schema":"https://github.com/citation-style-language/schema/raw/master/csl-citation.json"}</w:instrText>
      </w:r>
      <w:r w:rsidRPr="0053401C">
        <w:rPr>
          <w:lang w:val="en-GB"/>
        </w:rPr>
        <w:fldChar w:fldCharType="separate"/>
      </w:r>
      <w:r w:rsidRPr="0053401C">
        <w:rPr>
          <w:noProof/>
          <w:lang w:val="en-GB"/>
        </w:rPr>
        <w:t>van Leuwen et al., (2019)</w:t>
      </w:r>
      <w:r w:rsidRPr="0053401C">
        <w:fldChar w:fldCharType="end"/>
      </w:r>
      <w:r w:rsidRPr="0053401C">
        <w:rPr>
          <w:lang w:val="en-GB"/>
        </w:rPr>
        <w:t xml:space="preserve"> who cite </w:t>
      </w:r>
      <w:r w:rsidRPr="0053401C">
        <w:rPr>
          <w:lang w:val="en-GB"/>
        </w:rPr>
        <w:fldChar w:fldCharType="begin" w:fldLock="1"/>
      </w:r>
      <w:r w:rsidRPr="0053401C">
        <w:rPr>
          <w:lang w:val="en-GB"/>
        </w:rPr>
        <w:instrText>ADDIN CSL_CITATION {"citationItems":[{"id":"ITEM-1","itemData":{"author":[{"dropping-particle":"","family":"Horrit","given":"M.S","non-dropping-particle":"","parse-names":false,"suffix":""},{"dropping-particle":"","family":"Shaad","given":"K.","non-dropping-particle":"","parse-names":false,"suffix":""},{"dropping-particle":"","family":"Gill","given":"E.","non-dropping-particle":"","parse-names":false,"suffix":""}],"container-title":"Internal Technical Note (WBSWFR/TN3) for the UK Environment Agency.","id":"ITEM-1","issued":{"date-parts":[["2009"]]},"title":"Sewer Capacity and Infiltration Analysis","type":"article-journal"},"uris":["http://www.mendeley.com/documents/?uuid=6582339d-a2f5-4a01-815f-ebac29b3f99e"]}],"mendeley":{"formattedCitation":"(Horrit et al., 2009)","manualFormatting":"Horrit et al., (2009)","plainTextFormattedCitation":"(Horrit et al., 2009)","previouslyFormattedCitation":"(Horrit et al., 2009)"},"properties":{"noteIndex":0},"schema":"https://github.com/citation-style-language/schema/raw/master/csl-citation.json"}</w:instrText>
      </w:r>
      <w:r w:rsidRPr="0053401C">
        <w:rPr>
          <w:lang w:val="en-GB"/>
        </w:rPr>
        <w:fldChar w:fldCharType="separate"/>
      </w:r>
      <w:r w:rsidRPr="0053401C">
        <w:rPr>
          <w:noProof/>
          <w:lang w:val="en-GB"/>
        </w:rPr>
        <w:t>Horrit et al., (2009)</w:t>
      </w:r>
      <w:r w:rsidRPr="0053401C">
        <w:fldChar w:fldCharType="end"/>
      </w:r>
      <w:r w:rsidRPr="0053401C">
        <w:rPr>
          <w:lang w:val="en-GB"/>
        </w:rPr>
        <w:t>, which was developed for large scale flood hazard mapping undertaken in the UK. The approach utilises modified version of the Rational Method and is set out in</w:t>
      </w:r>
      <w:r w:rsidR="0012098B">
        <w:rPr>
          <w:lang w:val="en-GB"/>
        </w:rPr>
        <w:t xml:space="preserve"> </w:t>
      </w:r>
      <w:r w:rsidR="001A7FD5" w:rsidRPr="001A7FD5">
        <w:rPr>
          <w:lang w:val="en-GB"/>
        </w:rPr>
        <w:fldChar w:fldCharType="begin"/>
      </w:r>
      <w:r w:rsidR="001A7FD5" w:rsidRPr="001A7FD5">
        <w:rPr>
          <w:lang w:val="en-GB"/>
        </w:rPr>
        <w:instrText xml:space="preserve"> REF _Ref147908301 \h  \* MERGEFORMAT </w:instrText>
      </w:r>
      <w:r w:rsidR="001A7FD5" w:rsidRPr="001A7FD5">
        <w:rPr>
          <w:lang w:val="en-GB"/>
        </w:rPr>
      </w:r>
      <w:r w:rsidR="001A7FD5" w:rsidRPr="001A7FD5">
        <w:rPr>
          <w:lang w:val="en-GB"/>
        </w:rPr>
        <w:fldChar w:fldCharType="separate"/>
      </w:r>
      <w:r w:rsidR="001A7FD5" w:rsidRPr="001A7FD5">
        <w:t xml:space="preserve">Equation </w:t>
      </w:r>
      <w:r w:rsidR="001A7FD5" w:rsidRPr="001A7FD5">
        <w:rPr>
          <w:noProof/>
        </w:rPr>
        <w:t>1</w:t>
      </w:r>
      <w:r w:rsidR="001A7FD5" w:rsidRPr="001A7FD5">
        <w:rPr>
          <w:lang w:val="en-GB"/>
        </w:rPr>
        <w:fldChar w:fldCharType="end"/>
      </w:r>
      <w:r w:rsidR="001A7FD5" w:rsidRPr="001A7FD5">
        <w:rPr>
          <w:lang w:val="en-GB"/>
        </w:rPr>
        <w:t xml:space="preserve"> and </w:t>
      </w:r>
      <w:r w:rsidR="001A7FD5" w:rsidRPr="001A7FD5">
        <w:rPr>
          <w:lang w:val="en-GB"/>
        </w:rPr>
        <w:fldChar w:fldCharType="begin"/>
      </w:r>
      <w:r w:rsidR="001A7FD5" w:rsidRPr="001A7FD5">
        <w:rPr>
          <w:lang w:val="en-GB"/>
        </w:rPr>
        <w:instrText xml:space="preserve"> REF _Ref147908304 \h  \* MERGEFORMAT </w:instrText>
      </w:r>
      <w:r w:rsidR="001A7FD5" w:rsidRPr="001A7FD5">
        <w:rPr>
          <w:lang w:val="en-GB"/>
        </w:rPr>
      </w:r>
      <w:r w:rsidR="001A7FD5" w:rsidRPr="001A7FD5">
        <w:rPr>
          <w:lang w:val="en-GB"/>
        </w:rPr>
        <w:fldChar w:fldCharType="separate"/>
      </w:r>
      <w:r w:rsidR="001A7FD5" w:rsidRPr="001A7FD5">
        <w:t xml:space="preserve">Equation </w:t>
      </w:r>
      <w:r w:rsidR="001A7FD5" w:rsidRPr="001A7FD5">
        <w:rPr>
          <w:noProof/>
        </w:rPr>
        <w:t>2</w:t>
      </w:r>
      <w:r w:rsidR="001A7FD5" w:rsidRPr="001A7FD5">
        <w:rPr>
          <w:lang w:val="en-GB"/>
        </w:rPr>
        <w:fldChar w:fldCharType="end"/>
      </w:r>
      <w:r w:rsidRPr="0053401C">
        <w:rPr>
          <w:lang w:val="en-GB"/>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103"/>
        <w:gridCol w:w="2268"/>
      </w:tblGrid>
      <w:tr w:rsidR="00575EB8" w14:paraId="53082CCE" w14:textId="77777777" w:rsidTr="00D00BD1">
        <w:trPr>
          <w:trHeight w:val="1134"/>
          <w:jc w:val="center"/>
        </w:trPr>
        <w:tc>
          <w:tcPr>
            <w:tcW w:w="2268" w:type="dxa"/>
            <w:vAlign w:val="center"/>
          </w:tcPr>
          <w:p w14:paraId="32F0529E" w14:textId="77777777" w:rsidR="00575EB8" w:rsidRDefault="00575EB8" w:rsidP="00575EB8">
            <w:pPr>
              <w:jc w:val="center"/>
            </w:pPr>
          </w:p>
        </w:tc>
        <w:tc>
          <w:tcPr>
            <w:tcW w:w="5103" w:type="dxa"/>
            <w:vAlign w:val="center"/>
          </w:tcPr>
          <w:p w14:paraId="489E3B49" w14:textId="48745E82" w:rsidR="00575EB8" w:rsidRPr="00E447B8" w:rsidRDefault="00C446E5" w:rsidP="00E447B8">
            <w:pPr>
              <w:jc w:val="center"/>
              <w:rPr>
                <w:b/>
                <w:bCs/>
              </w:rPr>
            </w:pPr>
            <m:oMathPara>
              <m:oMath>
                <m:r>
                  <m:rPr>
                    <m:sty m:val="bi"/>
                  </m:rPr>
                  <w:rPr>
                    <w:rFonts w:ascii="Cambria Math" w:hAnsi="Cambria Math"/>
                  </w:rPr>
                  <m:t>Rate=</m:t>
                </m:r>
                <m:r>
                  <m:rPr>
                    <m:sty m:val="b"/>
                  </m:rPr>
                  <w:rPr>
                    <w:rFonts w:ascii="Cambria Math" w:hAnsi="Cambria Math"/>
                  </w:rPr>
                  <m:t>PR×</m:t>
                </m:r>
                <m:sSubSup>
                  <m:sSubSupPr>
                    <m:ctrlPr>
                      <w:rPr>
                        <w:rFonts w:ascii="Cambria Math" w:hAnsi="Cambria Math"/>
                        <w:b/>
                        <w:bCs/>
                      </w:rPr>
                    </m:ctrlPr>
                  </m:sSubSupPr>
                  <m:e>
                    <m:r>
                      <m:rPr>
                        <m:sty m:val="bi"/>
                      </m:rPr>
                      <w:rPr>
                        <w:rFonts w:ascii="Cambria Math" w:hAnsi="Cambria Math"/>
                      </w:rPr>
                      <m:t>T</m:t>
                    </m:r>
                  </m:e>
                  <m:sub>
                    <m:r>
                      <m:rPr>
                        <m:sty m:val="bi"/>
                      </m:rPr>
                      <w:rPr>
                        <w:rFonts w:ascii="Cambria Math" w:hAnsi="Cambria Math"/>
                      </w:rPr>
                      <m:t>CRIT</m:t>
                    </m:r>
                  </m:sub>
                  <m:sup>
                    <m:r>
                      <m:rPr>
                        <m:sty m:val="bi"/>
                      </m:rPr>
                      <w:rPr>
                        <w:rFonts w:ascii="Cambria Math" w:hAnsi="Cambria Math"/>
                      </w:rPr>
                      <m:t>(C×y+D</m:t>
                    </m:r>
                    <m:r>
                      <m:rPr>
                        <m:sty m:val="bi"/>
                      </m:rPr>
                      <w:rPr>
                        <w:rFonts w:ascii="Cambria Math" w:hAnsi="Cambria Math"/>
                      </w:rPr>
                      <m:t>1-1)</m:t>
                    </m:r>
                  </m:sup>
                </m:sSubSup>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e</m:t>
                    </m:r>
                  </m:e>
                  <m:sup>
                    <m:r>
                      <m:rPr>
                        <m:sty m:val="bi"/>
                      </m:rPr>
                      <w:rPr>
                        <w:rFonts w:ascii="Cambria Math" w:hAnsi="Cambria Math"/>
                      </w:rPr>
                      <m:t>E×y+F</m:t>
                    </m:r>
                  </m:sup>
                </m:sSup>
              </m:oMath>
            </m:oMathPara>
          </w:p>
        </w:tc>
        <w:tc>
          <w:tcPr>
            <w:tcW w:w="2268" w:type="dxa"/>
            <w:vAlign w:val="center"/>
          </w:tcPr>
          <w:p w14:paraId="795528B9" w14:textId="44DD6AA2" w:rsidR="00575EB8" w:rsidRPr="0012098B" w:rsidRDefault="0012098B" w:rsidP="00CA4655">
            <w:pPr>
              <w:jc w:val="right"/>
              <w:rPr>
                <w:b/>
                <w:bCs/>
              </w:rPr>
            </w:pPr>
            <w:bookmarkStart w:id="0" w:name="_Ref147908301"/>
            <w:r w:rsidRPr="0012098B">
              <w:rPr>
                <w:b/>
                <w:bCs/>
              </w:rPr>
              <w:t xml:space="preserve">Equation </w:t>
            </w:r>
            <w:r w:rsidRPr="0012098B">
              <w:rPr>
                <w:b/>
                <w:bCs/>
              </w:rPr>
              <w:fldChar w:fldCharType="begin"/>
            </w:r>
            <w:r w:rsidRPr="0012098B">
              <w:rPr>
                <w:b/>
                <w:bCs/>
              </w:rPr>
              <w:instrText xml:space="preserve"> SEQ Equation \* ARABIC </w:instrText>
            </w:r>
            <w:r w:rsidRPr="0012098B">
              <w:rPr>
                <w:b/>
                <w:bCs/>
              </w:rPr>
              <w:fldChar w:fldCharType="separate"/>
            </w:r>
            <w:r w:rsidRPr="0012098B">
              <w:rPr>
                <w:b/>
                <w:bCs/>
                <w:noProof/>
              </w:rPr>
              <w:t>1</w:t>
            </w:r>
            <w:r w:rsidRPr="0012098B">
              <w:rPr>
                <w:b/>
                <w:bCs/>
              </w:rPr>
              <w:fldChar w:fldCharType="end"/>
            </w:r>
            <w:bookmarkEnd w:id="0"/>
          </w:p>
        </w:tc>
      </w:tr>
      <w:tr w:rsidR="00575EB8" w14:paraId="574159B0" w14:textId="77777777" w:rsidTr="00D00BD1">
        <w:trPr>
          <w:trHeight w:val="1134"/>
          <w:jc w:val="center"/>
        </w:trPr>
        <w:tc>
          <w:tcPr>
            <w:tcW w:w="2268" w:type="dxa"/>
            <w:vAlign w:val="center"/>
          </w:tcPr>
          <w:p w14:paraId="7BABAE61" w14:textId="77777777" w:rsidR="00575EB8" w:rsidRDefault="00575EB8" w:rsidP="00575EB8">
            <w:pPr>
              <w:jc w:val="center"/>
            </w:pPr>
          </w:p>
        </w:tc>
        <w:tc>
          <w:tcPr>
            <w:tcW w:w="5103" w:type="dxa"/>
            <w:vAlign w:val="center"/>
          </w:tcPr>
          <w:p w14:paraId="044DAD63" w14:textId="428CB45A" w:rsidR="00575EB8" w:rsidRPr="00E447B8" w:rsidRDefault="00DA7062" w:rsidP="00E447B8">
            <w:pPr>
              <w:jc w:val="center"/>
              <w:rPr>
                <w:b/>
                <w:bCs/>
              </w:rPr>
            </w:pPr>
            <m:oMathPara>
              <m:oMath>
                <m:r>
                  <m:rPr>
                    <m:sty m:val="bi"/>
                  </m:rPr>
                  <w:rPr>
                    <w:rFonts w:ascii="Cambria Math" w:hAnsi="Cambria Math"/>
                  </w:rPr>
                  <m:t>y=-</m:t>
                </m:r>
                <m:func>
                  <m:funcPr>
                    <m:ctrlPr>
                      <w:rPr>
                        <w:rFonts w:ascii="Cambria Math" w:hAnsi="Cambria Math"/>
                        <w:b/>
                        <w:bCs/>
                        <w:i/>
                      </w:rPr>
                    </m:ctrlPr>
                  </m:funcPr>
                  <m:fName>
                    <m:r>
                      <m:rPr>
                        <m:sty m:val="b"/>
                      </m:rPr>
                      <w:rPr>
                        <w:rFonts w:ascii="Cambria Math" w:hAnsi="Cambria Math"/>
                      </w:rPr>
                      <m:t>ln</m:t>
                    </m:r>
                  </m:fName>
                  <m:e>
                    <m:r>
                      <m:rPr>
                        <m:sty m:val="bi"/>
                      </m:rPr>
                      <w:rPr>
                        <w:rFonts w:ascii="Cambria Math" w:hAnsi="Cambria Math"/>
                      </w:rPr>
                      <m:t>(-</m:t>
                    </m:r>
                    <m:func>
                      <m:funcPr>
                        <m:ctrlPr>
                          <w:rPr>
                            <w:rFonts w:ascii="Cambria Math" w:hAnsi="Cambria Math"/>
                            <w:b/>
                            <w:bCs/>
                            <w:i/>
                          </w:rPr>
                        </m:ctrlPr>
                      </m:funcPr>
                      <m:fName>
                        <m:r>
                          <m:rPr>
                            <m:sty m:val="b"/>
                          </m:rPr>
                          <w:rPr>
                            <w:rFonts w:ascii="Cambria Math" w:hAnsi="Cambria Math"/>
                          </w:rPr>
                          <m:t>ln</m:t>
                        </m:r>
                      </m:fName>
                      <m:e>
                        <m:d>
                          <m:dPr>
                            <m:begChr m:val="["/>
                            <m:endChr m:val="]"/>
                            <m:ctrlPr>
                              <w:rPr>
                                <w:rFonts w:ascii="Cambria Math" w:hAnsi="Cambria Math"/>
                                <w:b/>
                                <w:bCs/>
                                <w:i/>
                              </w:rPr>
                            </m:ctrlPr>
                          </m:dPr>
                          <m:e>
                            <m:r>
                              <m:rPr>
                                <m:sty m:val="bi"/>
                              </m:rPr>
                              <w:rPr>
                                <w:rFonts w:ascii="Cambria Math" w:hAnsi="Cambria Math"/>
                              </w:rPr>
                              <m:t>1-</m:t>
                            </m:r>
                            <m:f>
                              <m:fPr>
                                <m:type m:val="lin"/>
                                <m:ctrlPr>
                                  <w:rPr>
                                    <w:rFonts w:ascii="Cambria Math" w:hAnsi="Cambria Math"/>
                                    <w:b/>
                                    <w:bCs/>
                                    <w:i/>
                                  </w:rPr>
                                </m:ctrlPr>
                              </m:fPr>
                              <m:num>
                                <m:r>
                                  <m:rPr>
                                    <m:sty m:val="bi"/>
                                  </m:rPr>
                                  <w:rPr>
                                    <w:rFonts w:ascii="Cambria Math" w:hAnsi="Cambria Math"/>
                                  </w:rPr>
                                  <m:t>1</m:t>
                                </m:r>
                              </m:num>
                              <m:den>
                                <m:r>
                                  <m:rPr>
                                    <m:sty m:val="bi"/>
                                  </m:rPr>
                                  <w:rPr>
                                    <w:rFonts w:ascii="Cambria Math" w:hAnsi="Cambria Math"/>
                                  </w:rPr>
                                  <m:t>LoS</m:t>
                                </m:r>
                              </m:den>
                            </m:f>
                          </m:e>
                        </m:d>
                      </m:e>
                    </m:func>
                  </m:e>
                </m:func>
                <m:r>
                  <m:rPr>
                    <m:sty m:val="bi"/>
                  </m:rPr>
                  <w:rPr>
                    <w:rFonts w:ascii="Cambria Math" w:hAnsi="Cambria Math"/>
                  </w:rPr>
                  <m:t>)</m:t>
                </m:r>
              </m:oMath>
            </m:oMathPara>
          </w:p>
        </w:tc>
        <w:tc>
          <w:tcPr>
            <w:tcW w:w="2268" w:type="dxa"/>
            <w:vAlign w:val="center"/>
          </w:tcPr>
          <w:p w14:paraId="3301630B" w14:textId="4B79F810" w:rsidR="00575EB8" w:rsidRPr="0012098B" w:rsidRDefault="0012098B" w:rsidP="00CA4655">
            <w:pPr>
              <w:jc w:val="right"/>
              <w:rPr>
                <w:b/>
                <w:bCs/>
              </w:rPr>
            </w:pPr>
            <w:bookmarkStart w:id="1" w:name="_Ref147908304"/>
            <w:r w:rsidRPr="0012098B">
              <w:rPr>
                <w:b/>
                <w:bCs/>
              </w:rPr>
              <w:t xml:space="preserve">Equation </w:t>
            </w:r>
            <w:r w:rsidRPr="0012098B">
              <w:rPr>
                <w:b/>
                <w:bCs/>
              </w:rPr>
              <w:fldChar w:fldCharType="begin"/>
            </w:r>
            <w:r w:rsidRPr="0012098B">
              <w:rPr>
                <w:b/>
                <w:bCs/>
              </w:rPr>
              <w:instrText xml:space="preserve"> SEQ Equation \* ARABIC </w:instrText>
            </w:r>
            <w:r w:rsidRPr="0012098B">
              <w:rPr>
                <w:b/>
                <w:bCs/>
              </w:rPr>
              <w:fldChar w:fldCharType="separate"/>
            </w:r>
            <w:r>
              <w:rPr>
                <w:b/>
                <w:bCs/>
                <w:noProof/>
              </w:rPr>
              <w:t>2</w:t>
            </w:r>
            <w:r w:rsidRPr="0012098B">
              <w:rPr>
                <w:b/>
                <w:bCs/>
              </w:rPr>
              <w:fldChar w:fldCharType="end"/>
            </w:r>
            <w:bookmarkEnd w:id="1"/>
          </w:p>
        </w:tc>
      </w:tr>
    </w:tbl>
    <w:p w14:paraId="608ABD8B" w14:textId="0A3E5585" w:rsidR="008161E8" w:rsidRPr="00993FC2" w:rsidRDefault="008161E8" w:rsidP="008161E8">
      <w:r>
        <w:t>The above equations account for the percentage runoff (</w:t>
      </w:r>
      <m:oMath>
        <m:r>
          <w:rPr>
            <w:rFonts w:ascii="Cambria Math" w:hAnsi="Cambria Math"/>
          </w:rPr>
          <m:t>PR</m:t>
        </m:r>
      </m:oMath>
      <w:r>
        <w:t>); critical storm duration (</w:t>
      </w:r>
      <m:oMath>
        <m:sSub>
          <m:sSubPr>
            <m:ctrlPr>
              <w:rPr>
                <w:rFonts w:ascii="Cambria Math" w:hAnsi="Cambria Math"/>
                <w:i/>
              </w:rPr>
            </m:ctrlPr>
          </m:sSubPr>
          <m:e>
            <m:r>
              <w:rPr>
                <w:rFonts w:ascii="Cambria Math" w:hAnsi="Cambria Math"/>
              </w:rPr>
              <m:t>T</m:t>
            </m:r>
          </m:e>
          <m:sub>
            <m:r>
              <w:rPr>
                <w:rFonts w:ascii="Cambria Math" w:hAnsi="Cambria Math"/>
              </w:rPr>
              <m:t>CRIT</m:t>
            </m:r>
          </m:sub>
        </m:sSub>
      </m:oMath>
      <w:r>
        <w:t>); level of service of the drainage system (</w:t>
      </w:r>
      <m:oMath>
        <m:r>
          <w:rPr>
            <w:rFonts w:ascii="Cambria Math" w:hAnsi="Cambria Math"/>
          </w:rPr>
          <m:t>LoS</m:t>
        </m:r>
      </m:oMath>
      <w:r>
        <w:t xml:space="preserve">); and four parameters that describe the rainfall </w:t>
      </w:r>
      <w:r w:rsidRPr="0023392C">
        <w:t>depth-duration-frequency</w:t>
      </w:r>
      <w:r>
        <w:t xml:space="preserve"> curve (</w:t>
      </w:r>
      <m:oMath>
        <m:r>
          <w:rPr>
            <w:rFonts w:ascii="Cambria Math" w:hAnsi="Cambria Math"/>
          </w:rPr>
          <m:t>C</m:t>
        </m:r>
      </m:oMath>
      <w:r>
        <w:t xml:space="preserve">, </w:t>
      </w:r>
      <m:oMath>
        <m:r>
          <w:rPr>
            <w:rFonts w:ascii="Cambria Math" w:hAnsi="Cambria Math"/>
          </w:rPr>
          <m:t>D1</m:t>
        </m:r>
      </m:oMath>
      <w:r>
        <w:t xml:space="preserve">, </w:t>
      </w:r>
      <m:oMath>
        <m:r>
          <w:rPr>
            <w:rFonts w:ascii="Cambria Math" w:hAnsi="Cambria Math"/>
          </w:rPr>
          <m:t>E</m:t>
        </m:r>
      </m:oMath>
      <w:r>
        <w:t xml:space="preserve"> and </w:t>
      </w:r>
      <m:oMath>
        <m:r>
          <w:rPr>
            <w:rFonts w:ascii="Cambria Math"/>
          </w:rPr>
          <m:t>F</m:t>
        </m:r>
      </m:oMath>
      <w:r>
        <w:t xml:space="preserve">). This approach was used to determine the default DRR of 12 mm/hour for the UK. We calculated a DRR value of 8.6 mm/hour for urban areas based on a </w:t>
      </w:r>
      <m:oMath>
        <m:r>
          <w:rPr>
            <w:rFonts w:ascii="Cambria Math" w:hAnsi="Cambria Math"/>
          </w:rPr>
          <m:t>PR</m:t>
        </m:r>
      </m:oMath>
      <w:r>
        <w:t xml:space="preserve"> of 57%; and an assumed </w:t>
      </w:r>
      <m:oMath>
        <m:r>
          <w:rPr>
            <w:rFonts w:ascii="Cambria Math" w:hAnsi="Cambria Math"/>
          </w:rPr>
          <m:t>LoS</m:t>
        </m:r>
      </m:oMath>
      <w:r>
        <w:t xml:space="preserve"> of 5 (i.e., </w:t>
      </w:r>
      <w:r w:rsidRPr="00885436">
        <w:t>1-in-5</w:t>
      </w:r>
      <w:r>
        <w:t xml:space="preserve"> years). This calculated DRR value also incorporates an additional assumption that the drainage system in Addis Ababa will be blocked such that it operates at 50% of its hydraulic capacity. In non-urban areas w</w:t>
      </w:r>
      <w:r w:rsidRPr="00AC3E0C">
        <w:t xml:space="preserve">e </w:t>
      </w:r>
      <w:r>
        <w:t xml:space="preserve">used a </w:t>
      </w:r>
      <w:r w:rsidRPr="00AC3E0C">
        <w:t xml:space="preserve">DRR value of </w:t>
      </w:r>
      <w:r>
        <w:t>1.8</w:t>
      </w:r>
      <w:r w:rsidRPr="00AC3E0C">
        <w:t xml:space="preserve"> mm/hour</w:t>
      </w:r>
      <w:r>
        <w:t xml:space="preserve"> </w:t>
      </w:r>
      <w:r w:rsidRPr="00AC2DAA">
        <w:t xml:space="preserve">based on a PR of </w:t>
      </w:r>
      <w:r>
        <w:t>10</w:t>
      </w:r>
      <w:r w:rsidRPr="00AC2DAA">
        <w:t>%; and an assumed LoS of 1-in-</w:t>
      </w:r>
      <w:r>
        <w:t>2</w:t>
      </w:r>
      <w:r w:rsidRPr="00AC2DAA">
        <w:t xml:space="preserve"> years</w:t>
      </w:r>
      <w:r>
        <w:t>.</w:t>
      </w:r>
    </w:p>
    <w:p w14:paraId="62894457" w14:textId="1B499CC6" w:rsidR="004E37AF" w:rsidRPr="007B3A5C" w:rsidRDefault="004E37AF" w:rsidP="004E37AF">
      <w:pPr>
        <w:pStyle w:val="Heading1"/>
      </w:pPr>
      <w:r>
        <w:t xml:space="preserve">Addition of River Channel Bathymetry to Global </w:t>
      </w:r>
      <w:r w:rsidR="00D95167">
        <w:t>Digital Elevation Model</w:t>
      </w:r>
      <w:r>
        <w:t>s</w:t>
      </w:r>
    </w:p>
    <w:p w14:paraId="1A43C47E" w14:textId="309C871B" w:rsidR="00961EB8" w:rsidRDefault="00961EB8" w:rsidP="00961EB8">
      <w:r w:rsidRPr="00C92ED4">
        <w:t xml:space="preserve">Channels </w:t>
      </w:r>
      <w:r>
        <w:t>are</w:t>
      </w:r>
      <w:r w:rsidRPr="00C92ED4">
        <w:t xml:space="preserve"> burned directly into the </w:t>
      </w:r>
      <w:r>
        <w:t>digital elevation models (</w:t>
      </w:r>
      <w:r w:rsidRPr="00C92ED4">
        <w:t>DEM</w:t>
      </w:r>
      <w:r>
        <w:t>s)</w:t>
      </w:r>
      <w:r w:rsidRPr="00C92ED4">
        <w:t xml:space="preserve"> using a rectangular cross-sectional shape. We first estimate the bank full flow capacity of all channel reaches using a relationship between upstream drainage area and bank full discharge. RM peak flow predictions resulting from the 1-in-2 year rainfall event simulation were sampled alongside their upstream drainage areas for a range of channel sizes, and a relationship between discharge and upstream area derived using a power law with coefficient of determination of 0.994. Note we are adopting the widely used assumption that bank full discharge equals the median annual maximum flood, i.e., the flood with a 1-in-2 year return period</w:t>
      </w:r>
      <w:r>
        <w:t xml:space="preserve"> </w:t>
      </w:r>
      <w:r>
        <w:fldChar w:fldCharType="begin" w:fldLock="1"/>
      </w:r>
      <w:r>
        <w:instrText>ADDIN CSL_CITATION {"citationItems":[{"id":"ITEM-1","itemData":{"DOI":"10.1029/WR014i006p01141","ISSN":"19447973","abstract":"Eleven possible definitions of ‘bank‐full’ have been used by various investigators. The active floodplain is the most meaningful bank‐full level to the fluvial geomorphologist, whereas the banks of the valley flat are the most important to engineers. Comparison of 16 ways of determining bank‐full discharge suggests that bank‐full discharge at gaged sites should be obtained from the station's rating curve, where bank‐full gage height is determined from a longitudinal profile of the floodplain along the entire reach. At ungaged sites, bank‐full discharge can be estimated from the empirical equation of this study or from the Gauckler‐Manning equation. In the latter case the resistance coefficient n should be estimated at the field site for bank‐full flow; a measured low‐flow n should not be used. Bank‐full discharge does not have a common recurrence frequency among the rivers studied, and the discharge corresponding to the 1.5‐year recurrence interval in most cases does not represent the bank‐full discharge. This Paper is not Subject to U.S. Copyright. Published in 1978 by the American Geophysical Union.","author":[{"dropping-particle":"","family":"Williams","given":"Garnett P.","non-dropping-particle":"","parse-names":false,"suffix":""}],"container-title":"Water Resources Research","id":"ITEM-1","issue":"6","issued":{"date-parts":[["1978"]]},"page":"1141-1154","title":"Bank‐full discharge of rivers","type":"article-journal","volume":"14"},"uris":["http://www.mendeley.com/documents/?uuid=b48234ec-4b85-42a8-90dc-bf23fe131586"]},{"id":"ITEM-2","itemData":{"DOI":"10.1080/15715124.2004.9635233","ISSN":"18142060","abstract":"Abstract The model takes an explicit solution of the 2D diffusion wave equation, but introduces processes to represent both wetting and drying and, for situations where no channel data are available, a significantly simplified channel representation. The goal of the paper is to assess the extent to which this simplified channel representation is sufficient to provide first estimates of inundation extent. The channel simplification was based upon estimation of how much flow is conveyed in the portion of river channel not represented in the DEM (i.e. below bank top) and to remove this from the inflow hydrograph, such that the flow input represents the overbank flow only. This requires an estimate of bankfull flow and a method of partitioning the actual flow between that which is delivered to the floodplain and that which is conveyed by the channel. The simplification was based on the principle that it has a characteristic return period (QMED) which can be applied to a magnitude?frequency relationship for a given river reach and hence used to determine a first approximation of bankfull flow. The Weighted Divided Channel Method was then applied to the bankfull flow to work out the residual flow delivered to the floodplain. A user defined ratio (Qratio ) was used to allow control of the weighting. Validation was based upon application to: (a) simple topography where comparisons could be made with basic calculations and/or other models; and (b) the River Thames at Buscot, U.K., which has a validation dataset based upon synthetic aperture radar data. The results show that JFLOW is capable of simulating idealised, largely 1D floodplain flows, but the real strengths lie in its ability to simulate also topographically?driven flow convergence and divergence where flow is more 2D: whilst some floodplains undoubtedly act as a single, two?stage channel, many of the more extensive and topographically?complex floodplains exhibit river?independent flow paths and/or ponding. The analysis showed that the simplified channel representation gave goods results: the greatest uncertainty was associated with the estimation of the bankfull flow itself rather than the weighting given to the flow apportionment. It was noted that deviation from QMED would be found in certain situations, notably in the presence of river defences, engineered channels and structures and clearly the channel representation should take the known bankfull flow rather than QMED in those situations. Abstract…","author":[{"dropping-particle":"","family":"Bradbrook","given":"K. F.","non-dropping-particle":"","parse-names":false,"suffix":""},{"dropping-particle":"","family":"Lane","given":"S. N.","non-dropping-particle":"","parse-names":false,"suffix":""},{"dropping-particle":"","family":"Waller","given":"S. G.","non-dropping-particle":"","parse-names":false,"suffix":""},{"dropping-particle":"","family":"Bates","given":"P. D.","non-dropping-particle":"","parse-names":false,"suffix":""}],"container-title":"International Journal of River Basin Management","id":"ITEM-2","issue":"3","issued":{"date-parts":[["2004"]]},"page":"211-223","title":"Two dimensional diffusion wave modelling of flood inundation using a simplified channel representation","type":"article-journal","volume":"2"},"uris":["http://www.mendeley.com/documents/?uuid=0f457f46-7886-43dd-8289-0384324bdd84"]}],"mendeley":{"formattedCitation":"(Williams, 1978; Bradbrook et al., 2004)","plainTextFormattedCitation":"(Williams, 1978; Bradbrook et al., 2004)","previouslyFormattedCitation":"(Williams, 1978; Bradbrook et al., 2004)"},"properties":{"noteIndex":0},"schema":"https://github.com/citation-style-language/schema/raw/master/csl-citation.json"}</w:instrText>
      </w:r>
      <w:r>
        <w:fldChar w:fldCharType="separate"/>
      </w:r>
      <w:r w:rsidRPr="00635A27">
        <w:rPr>
          <w:noProof/>
        </w:rPr>
        <w:t>(Williams, 1978; Bradbrook et al., 2004)</w:t>
      </w:r>
      <w:r>
        <w:fldChar w:fldCharType="end"/>
      </w:r>
      <w:r w:rsidRPr="00C92ED4">
        <w:t>. Secondly, we determine channel reach widths from their bank full discharge using an hydraulic geometry relationship between bank full discharge and width</w:t>
      </w:r>
      <w:r>
        <w:t xml:space="preserve"> </w:t>
      </w:r>
      <w:r>
        <w:fldChar w:fldCharType="begin" w:fldLock="1"/>
      </w:r>
      <w:r>
        <w:instrText>ADDIN CSL_CITATION {"citationItems":[{"id":"ITEM-1","itemData":{"ISBN":"978-0-607-69460-4","ISSN":"2330-7102","PMID":"2094","abstract":"Quantitive measurement of some of the hydraulic factors that help to determine the shpae of natural stream channels: depth, width, belocity, and suspended load, and how they vary with discharg as simple power functions. Their interrelations are described by the term \"hydraulic geometry\".","author":[{"dropping-particle":"","family":"Leopold","given":"L. B.","non-dropping-particle":"","parse-names":false,"suffix":""},{"dropping-particle":"","family":"Maddock","given":"T. Jr.","non-dropping-particle":"","parse-names":false,"suffix":""}],"container-title":"GEOLOGICAL SURVEY PROFESSIONAL PAPER 252","id":"ITEM-1","issued":{"date-parts":[["1953"]]},"number-of-pages":"57","publisher-place":"Washington DC, USA","title":"The Hydraulic Geometry of Stream Channels and Some Physiographic Implications","type":"report"},"uris":["http://www.mendeley.com/documents/?uuid=95003d85-7734-48b5-bfd0-1a33626aa5c8"]},{"id":"ITEM-2","itemData":{"DOI":"10.1002/esp.403","ISSN":"01979337","abstract":"The spatial variability of two fundamental morphological variables is investigated for rivers having a wide range of discharge (five orders of magnitude). The variables, water-surface width and average depth, were measured at 58 to 888 equally spaced cross-sections in channel links (river reaches between major tributaries). These measurements provide data to characterize the two-dimensional structure of a channel link which is the fundamental unit of a channel network. The morphological variables have nearly log-normal probability distributions. A general relation was determined which relates the means of the log-transformed variables to the logarithm of discharge similar to previously published downstream hydraulic geometry relations. The spatial variability of the variables is described by two properties: (1) the coefficient of variation which was nearly constant (0.13-0.42) over a wide range of discharge; and (2) the integral length scale in the downstream direction which was approximately equal to one to two mean channel widths. The joint probability distribution of the morphological variables in the downstream direction was modelled as a first-order, bivariate autoregressive process. This model accounted for up to 76 per cent of the total variance. The two-dimensional morphological variables can be scaled such that the channel width-depth process is independent of discharge. The scaling properties will be valuable to modellers of both basin and channel dynamics. Published in 2002 John Wiley and Sons, Ltd.","author":[{"dropping-particle":"","family":"Moody","given":"John A.","non-dropping-particle":"","parse-names":false,"suffix":""},{"dropping-particle":"","family":"Troutman","given":"Brent M.","non-dropping-particle":"","parse-names":false,"suffix":""}],"container-title":"Earth Surface Processes and Landforms","id":"ITEM-2","issue":"12","issued":{"date-parts":[["2002"]]},"page":"1251-1266","title":"Characterization of the spatial variability of channel morphology","type":"article-journal","volume":"27"},"uris":["http://www.mendeley.com/documents/?uuid=9ffe4336-3c4b-43a6-a6e9-3f47ef7c6b30"]}],"mendeley":{"formattedCitation":"(Leopold and Maddock, 1953; Moody and Troutman, 2002)","plainTextFormattedCitation":"(Leopold and Maddock, 1953; Moody and Troutman, 2002)","previouslyFormattedCitation":"(Leopold and Maddock, 1953; Moody and Troutman, 2002)"},"properties":{"noteIndex":0},"schema":"https://github.com/citation-style-language/schema/raw/master/csl-citation.json"}</w:instrText>
      </w:r>
      <w:r>
        <w:fldChar w:fldCharType="separate"/>
      </w:r>
      <w:r w:rsidRPr="00635A27">
        <w:rPr>
          <w:noProof/>
        </w:rPr>
        <w:t>(Leopold and Maddock, 1953; Moody and Troutman, 2002)</w:t>
      </w:r>
      <w:r>
        <w:fldChar w:fldCharType="end"/>
      </w:r>
      <w:r w:rsidRPr="00C92ED4">
        <w:t xml:space="preserve">. Thirdly, we use Manning’s equation </w:t>
      </w:r>
      <w:r>
        <w:t xml:space="preserve">for uniform flow </w:t>
      </w:r>
      <w:r w:rsidRPr="00C92ED4">
        <w:t>to calculate channel depth from discharge, width, longitudinal slope, and a Manning’s n hydraulic roughness coefficient.</w:t>
      </w:r>
    </w:p>
    <w:p w14:paraId="527962D9" w14:textId="18138D84" w:rsidR="00B32003" w:rsidRDefault="00BA667F" w:rsidP="00B32003">
      <w:pPr>
        <w:pStyle w:val="Heading1"/>
        <w:rPr>
          <w:lang w:val="en-GB"/>
        </w:rPr>
      </w:pPr>
      <w:bookmarkStart w:id="2" w:name="_Ref147913561"/>
      <w:r w:rsidRPr="00BA667F">
        <w:rPr>
          <w:lang w:val="en-GB"/>
        </w:rPr>
        <w:t>HEC-RAS Modelling Files Guidance Notes</w:t>
      </w:r>
      <w:bookmarkEnd w:id="2"/>
    </w:p>
    <w:p w14:paraId="4018A778" w14:textId="77777777" w:rsidR="001051E6" w:rsidRDefault="001051E6" w:rsidP="001051E6">
      <w:pPr>
        <w:pStyle w:val="ListParagraph"/>
        <w:numPr>
          <w:ilvl w:val="0"/>
          <w:numId w:val="20"/>
        </w:numPr>
        <w:spacing w:before="0" w:after="160" w:line="259" w:lineRule="auto"/>
      </w:pPr>
      <w:r>
        <w:t xml:space="preserve">Two HEC-RAS model projects are provided. ‘Akaki_HECRAS_model’ includes the return period event model runs for the reference model and each of the global dataset tests. </w:t>
      </w:r>
      <w:r>
        <w:lastRenderedPageBreak/>
        <w:t xml:space="preserve">‘Akaki_HECRAS_model_historical’ includes the historical event simulation used for validation. </w:t>
      </w:r>
    </w:p>
    <w:p w14:paraId="0CDD8D06" w14:textId="77777777" w:rsidR="001051E6" w:rsidRDefault="001051E6" w:rsidP="001051E6">
      <w:pPr>
        <w:pStyle w:val="ListParagraph"/>
        <w:numPr>
          <w:ilvl w:val="0"/>
          <w:numId w:val="20"/>
        </w:numPr>
        <w:spacing w:before="0" w:after="160" w:line="259" w:lineRule="auto"/>
      </w:pPr>
      <w:r>
        <w:t>All results files associated with the 5 m resolution DEM used in this study have been removed from the HEC-RAS projects, as it is not possible to provide this DEM.</w:t>
      </w:r>
    </w:p>
    <w:p w14:paraId="2A77DE45" w14:textId="0BC31466" w:rsidR="001051E6" w:rsidRDefault="001051E6" w:rsidP="001051E6">
      <w:pPr>
        <w:pStyle w:val="ListParagraph"/>
        <w:numPr>
          <w:ilvl w:val="0"/>
          <w:numId w:val="20"/>
        </w:numPr>
        <w:spacing w:before="0" w:after="160" w:line="259" w:lineRule="auto"/>
      </w:pPr>
      <w:r>
        <w:t>Model results associated with the 5m resolution DEM have been provided separately to HEC-RAS projects, in the form of maximum depth grids. These results files are detailed in</w:t>
      </w:r>
      <w:r w:rsidR="00FC2BA2">
        <w:t xml:space="preserve"> section</w:t>
      </w:r>
      <w:r>
        <w:t xml:space="preserve"> </w:t>
      </w:r>
      <w:r w:rsidR="00FC2BA2">
        <w:rPr>
          <w:highlight w:val="yellow"/>
        </w:rPr>
        <w:fldChar w:fldCharType="begin"/>
      </w:r>
      <w:r w:rsidR="00FC2BA2">
        <w:instrText xml:space="preserve"> REF _Ref147913522 \r \h </w:instrText>
      </w:r>
      <w:r w:rsidR="00FC2BA2">
        <w:rPr>
          <w:highlight w:val="yellow"/>
        </w:rPr>
      </w:r>
      <w:r w:rsidR="00FC2BA2">
        <w:rPr>
          <w:highlight w:val="yellow"/>
        </w:rPr>
        <w:fldChar w:fldCharType="separate"/>
      </w:r>
      <w:r w:rsidR="00FC2BA2">
        <w:t>4</w:t>
      </w:r>
      <w:r w:rsidR="00FC2BA2">
        <w:rPr>
          <w:highlight w:val="yellow"/>
        </w:rPr>
        <w:fldChar w:fldCharType="end"/>
      </w:r>
      <w:r>
        <w:t>.</w:t>
      </w:r>
    </w:p>
    <w:p w14:paraId="5396D4A8" w14:textId="77777777" w:rsidR="001051E6" w:rsidRDefault="001051E6" w:rsidP="001051E6">
      <w:pPr>
        <w:pStyle w:val="ListParagraph"/>
        <w:numPr>
          <w:ilvl w:val="0"/>
          <w:numId w:val="20"/>
        </w:numPr>
        <w:spacing w:before="0" w:after="160" w:line="259" w:lineRule="auto"/>
      </w:pPr>
      <w:r>
        <w:t xml:space="preserve">The post-processed flood depth grids resulting from the MERIT and FABDEM test runs are computed in RAS Mapper using the version of the DEMS without the river channels added: ‘MERIT_no_channels_Akaki’ and ‘FABDEM_no_channels_Akaki’. This is to avoid issues with inaccuracies in the location of the burned in channels. </w:t>
      </w:r>
    </w:p>
    <w:p w14:paraId="5C6917D5" w14:textId="77777777" w:rsidR="001051E6" w:rsidRDefault="001051E6" w:rsidP="001051E6">
      <w:pPr>
        <w:pStyle w:val="ListParagraph"/>
        <w:numPr>
          <w:ilvl w:val="0"/>
          <w:numId w:val="20"/>
        </w:numPr>
        <w:spacing w:before="0" w:after="160" w:line="259" w:lineRule="auto"/>
      </w:pPr>
      <w:r>
        <w:t>To run any of the included simulations, HEC-RAS V</w:t>
      </w:r>
      <w:r w:rsidRPr="005F6B2F">
        <w:t>ersion 6.1</w:t>
      </w:r>
      <w:r>
        <w:t xml:space="preserve"> must be used</w:t>
      </w:r>
      <w:r w:rsidRPr="005F6B2F">
        <w:t xml:space="preserve"> so that restart files can be read.</w:t>
      </w:r>
    </w:p>
    <w:p w14:paraId="46C4284F" w14:textId="77777777" w:rsidR="001051E6" w:rsidRPr="00BC390B" w:rsidRDefault="001051E6" w:rsidP="001051E6">
      <w:pPr>
        <w:pStyle w:val="ListParagraph"/>
        <w:numPr>
          <w:ilvl w:val="0"/>
          <w:numId w:val="20"/>
        </w:numPr>
        <w:spacing w:before="0" w:after="160" w:line="259" w:lineRule="auto"/>
      </w:pPr>
      <w:bookmarkStart w:id="3" w:name="_Ref147913604"/>
      <w:r w:rsidRPr="00BC390B">
        <w:t>The two downscaling methods provided in RAS Mapper (</w:t>
      </w:r>
      <w:r>
        <w:t xml:space="preserve">referred to as </w:t>
      </w:r>
      <w:r w:rsidRPr="00BC390B">
        <w:t>Water Surface Rendering Modes</w:t>
      </w:r>
      <w:r>
        <w:t xml:space="preserve"> in HEC-RAS</w:t>
      </w:r>
      <w:r w:rsidRPr="00BC390B">
        <w:t xml:space="preserve">) are: (1) </w:t>
      </w:r>
      <w:r>
        <w:t>‘</w:t>
      </w:r>
      <w:r w:rsidRPr="00BC390B">
        <w:t>Sloping (Cell Corners)</w:t>
      </w:r>
      <w:r>
        <w:t>’</w:t>
      </w:r>
      <w:r w:rsidRPr="00BC390B">
        <w:t xml:space="preserve">; and (2) </w:t>
      </w:r>
      <w:r>
        <w:t>‘</w:t>
      </w:r>
      <w:r w:rsidRPr="00022A49">
        <w:t>Sloping (Cell Corners + Face Centres) – Use Depth-Weighted Faces</w:t>
      </w:r>
      <w:r>
        <w:t>’</w:t>
      </w:r>
      <w:r w:rsidRPr="00BC390B">
        <w:t>. These are both available in version 6.4 of HEC-RAS.</w:t>
      </w:r>
      <w:bookmarkEnd w:id="3"/>
    </w:p>
    <w:p w14:paraId="53D7B9C2" w14:textId="3AFB0C78" w:rsidR="00DC278B" w:rsidRDefault="00DC278B" w:rsidP="00DC278B">
      <w:pPr>
        <w:pStyle w:val="Heading1"/>
      </w:pPr>
      <w:bookmarkStart w:id="4" w:name="_Ref147913522"/>
      <w:r>
        <w:t>Geospatial Data Layers Guidance Notes</w:t>
      </w:r>
      <w:bookmarkEnd w:id="4"/>
    </w:p>
    <w:p w14:paraId="30EFA135" w14:textId="1A6D45C8" w:rsidR="00035EEB" w:rsidRDefault="00035EEB" w:rsidP="00035EEB">
      <w:r>
        <w:t xml:space="preserve">Layers provided are described in </w:t>
      </w:r>
      <w:r w:rsidR="00B538DC">
        <w:t>Supplementary</w:t>
      </w:r>
      <w:r w:rsidR="00445E1D">
        <w:t xml:space="preserve"> </w:t>
      </w:r>
      <w:r w:rsidR="00445E1D">
        <w:fldChar w:fldCharType="begin"/>
      </w:r>
      <w:r w:rsidR="00445E1D">
        <w:instrText xml:space="preserve"> REF _Ref147913687 \h </w:instrText>
      </w:r>
      <w:r w:rsidR="00445E1D">
        <w:fldChar w:fldCharType="separate"/>
      </w:r>
      <w:r w:rsidR="00445E1D">
        <w:t>Supplem</w:t>
      </w:r>
      <w:r w:rsidR="00445E1D">
        <w:t>e</w:t>
      </w:r>
      <w:r w:rsidR="00445E1D">
        <w:t xml:space="preserve">ntary Table </w:t>
      </w:r>
      <w:r w:rsidR="00445E1D">
        <w:rPr>
          <w:noProof/>
        </w:rPr>
        <w:t>1</w:t>
      </w:r>
      <w:r w:rsidR="00445E1D">
        <w:fldChar w:fldCharType="end"/>
      </w:r>
      <w:r w:rsidR="00B538DC">
        <w:t xml:space="preserve"> </w:t>
      </w:r>
      <w:r>
        <w:t xml:space="preserve">below. All layers use the </w:t>
      </w:r>
      <w:r w:rsidRPr="00F24468">
        <w:t>UTM zone 37N</w:t>
      </w:r>
      <w:r>
        <w:t xml:space="preserve"> coordinate reference system.</w:t>
      </w:r>
    </w:p>
    <w:p w14:paraId="6414449A" w14:textId="599C4A02" w:rsidR="009C1432" w:rsidRDefault="009B42C7" w:rsidP="009C1432">
      <w:pPr>
        <w:pStyle w:val="Caption"/>
      </w:pPr>
      <w:bookmarkStart w:id="5" w:name="_Ref147913687"/>
      <w:r>
        <w:t xml:space="preserve">Supplementary </w:t>
      </w:r>
      <w:r w:rsidR="009C1432">
        <w:t xml:space="preserve">Table </w:t>
      </w:r>
      <w:r w:rsidR="00BF57CB">
        <w:fldChar w:fldCharType="begin"/>
      </w:r>
      <w:r w:rsidR="00BF57CB">
        <w:instrText xml:space="preserve"> SEQ Table \* ARABIC </w:instrText>
      </w:r>
      <w:r w:rsidR="00BF57CB">
        <w:fldChar w:fldCharType="separate"/>
      </w:r>
      <w:r w:rsidR="009C1432">
        <w:rPr>
          <w:noProof/>
        </w:rPr>
        <w:t>1</w:t>
      </w:r>
      <w:r w:rsidR="00BF57CB">
        <w:rPr>
          <w:noProof/>
        </w:rPr>
        <w:fldChar w:fldCharType="end"/>
      </w:r>
      <w:bookmarkEnd w:id="5"/>
      <w:r w:rsidR="009C1432">
        <w:t xml:space="preserve">. </w:t>
      </w:r>
      <w:r w:rsidR="009C1432" w:rsidRPr="009C1432">
        <w:rPr>
          <w:b w:val="0"/>
          <w:bCs w:val="0"/>
        </w:rPr>
        <w:t>Details of geospatial data layers provided</w:t>
      </w:r>
      <w:r w:rsidR="009C1432">
        <w:rPr>
          <w:b w:val="0"/>
          <w:bCs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624"/>
      </w:tblGrid>
      <w:tr w:rsidR="00035EEB" w14:paraId="090CFBDD" w14:textId="77777777" w:rsidTr="00035EEB">
        <w:trPr>
          <w:tblHeader/>
        </w:trPr>
        <w:tc>
          <w:tcPr>
            <w:tcW w:w="3402" w:type="dxa"/>
            <w:tcBorders>
              <w:top w:val="single" w:sz="4" w:space="0" w:color="auto"/>
              <w:bottom w:val="single" w:sz="4" w:space="0" w:color="auto"/>
            </w:tcBorders>
          </w:tcPr>
          <w:p w14:paraId="740834E9" w14:textId="77777777" w:rsidR="00035EEB" w:rsidRPr="00104A6A" w:rsidRDefault="00035EEB" w:rsidP="00F709CD">
            <w:pPr>
              <w:spacing w:after="120"/>
            </w:pPr>
            <w:r>
              <w:t>Geospatial data layer filename</w:t>
            </w:r>
          </w:p>
        </w:tc>
        <w:tc>
          <w:tcPr>
            <w:tcW w:w="5624" w:type="dxa"/>
            <w:tcBorders>
              <w:top w:val="single" w:sz="4" w:space="0" w:color="auto"/>
              <w:bottom w:val="single" w:sz="4" w:space="0" w:color="auto"/>
            </w:tcBorders>
          </w:tcPr>
          <w:p w14:paraId="79E2B37F" w14:textId="77777777" w:rsidR="00035EEB" w:rsidRDefault="00035EEB" w:rsidP="00F709CD">
            <w:pPr>
              <w:spacing w:after="120"/>
            </w:pPr>
            <w:r>
              <w:t xml:space="preserve">Description </w:t>
            </w:r>
          </w:p>
        </w:tc>
      </w:tr>
      <w:tr w:rsidR="00035EEB" w14:paraId="04E4757A" w14:textId="77777777" w:rsidTr="00F709CD">
        <w:tc>
          <w:tcPr>
            <w:tcW w:w="3402" w:type="dxa"/>
            <w:tcBorders>
              <w:top w:val="single" w:sz="4" w:space="0" w:color="auto"/>
            </w:tcBorders>
            <w:vAlign w:val="center"/>
          </w:tcPr>
          <w:p w14:paraId="5226EFFA" w14:textId="77777777" w:rsidR="00035EEB" w:rsidRDefault="00035EEB" w:rsidP="00F709CD">
            <w:pPr>
              <w:spacing w:after="120"/>
            </w:pPr>
            <w:r w:rsidRPr="00104A6A">
              <w:t>RM_5_DSM1</w:t>
            </w:r>
            <w:r>
              <w:t>.tif</w:t>
            </w:r>
          </w:p>
        </w:tc>
        <w:tc>
          <w:tcPr>
            <w:tcW w:w="5624" w:type="dxa"/>
            <w:tcBorders>
              <w:top w:val="single" w:sz="4" w:space="0" w:color="auto"/>
            </w:tcBorders>
            <w:vAlign w:val="center"/>
          </w:tcPr>
          <w:p w14:paraId="3AD1277B" w14:textId="77777777" w:rsidR="00035EEB" w:rsidRDefault="00035EEB" w:rsidP="00F709CD">
            <w:pPr>
              <w:spacing w:after="120"/>
            </w:pPr>
            <w:r>
              <w:t>Reference model – maximum flood depth grid results; 1-in-5 year; downscaling method 1</w:t>
            </w:r>
            <w:r w:rsidRPr="00976BD4">
              <w:rPr>
                <w:b/>
                <w:bCs/>
                <w:vertAlign w:val="superscript"/>
              </w:rPr>
              <w:t>1</w:t>
            </w:r>
          </w:p>
        </w:tc>
      </w:tr>
      <w:tr w:rsidR="00035EEB" w14:paraId="3E16527D" w14:textId="77777777" w:rsidTr="00F709CD">
        <w:tc>
          <w:tcPr>
            <w:tcW w:w="3402" w:type="dxa"/>
            <w:vAlign w:val="center"/>
          </w:tcPr>
          <w:p w14:paraId="4B7B69FD" w14:textId="77777777" w:rsidR="00035EEB" w:rsidRDefault="00035EEB" w:rsidP="00F709CD">
            <w:pPr>
              <w:spacing w:after="120"/>
            </w:pPr>
            <w:r w:rsidRPr="007D6E21">
              <w:t>RM_5_DSM2</w:t>
            </w:r>
            <w:r>
              <w:t>.tif</w:t>
            </w:r>
          </w:p>
        </w:tc>
        <w:tc>
          <w:tcPr>
            <w:tcW w:w="5624" w:type="dxa"/>
            <w:vAlign w:val="center"/>
          </w:tcPr>
          <w:p w14:paraId="589DF03E" w14:textId="77777777" w:rsidR="00035EEB" w:rsidRDefault="00035EEB" w:rsidP="00F709CD">
            <w:pPr>
              <w:spacing w:after="120"/>
            </w:pPr>
            <w:r w:rsidRPr="00473B16">
              <w:t xml:space="preserve">Reference model </w:t>
            </w:r>
            <w:r>
              <w:t xml:space="preserve">– </w:t>
            </w:r>
            <w:r w:rsidRPr="00473B16">
              <w:t xml:space="preserve">maximum flood depth grid results; 1-in-5 year; downscaling method </w:t>
            </w:r>
            <w:r>
              <w:t>2</w:t>
            </w:r>
          </w:p>
        </w:tc>
      </w:tr>
      <w:tr w:rsidR="00035EEB" w14:paraId="10B8B45A" w14:textId="77777777" w:rsidTr="00F709CD">
        <w:tc>
          <w:tcPr>
            <w:tcW w:w="3402" w:type="dxa"/>
            <w:vAlign w:val="center"/>
          </w:tcPr>
          <w:p w14:paraId="796768B0" w14:textId="77777777" w:rsidR="00035EEB" w:rsidRDefault="00035EEB" w:rsidP="00F709CD">
            <w:pPr>
              <w:spacing w:after="120"/>
            </w:pPr>
            <w:r w:rsidRPr="007D6E21">
              <w:t>RM_100_DSM1</w:t>
            </w:r>
            <w:r>
              <w:t>.tif</w:t>
            </w:r>
          </w:p>
        </w:tc>
        <w:tc>
          <w:tcPr>
            <w:tcW w:w="5624" w:type="dxa"/>
            <w:vAlign w:val="center"/>
          </w:tcPr>
          <w:p w14:paraId="0F281BA1" w14:textId="77777777" w:rsidR="00035EEB" w:rsidRDefault="00035EEB" w:rsidP="00F709CD">
            <w:pPr>
              <w:spacing w:after="120"/>
            </w:pPr>
            <w:r w:rsidRPr="00473B16">
              <w:t xml:space="preserve">Reference model </w:t>
            </w:r>
            <w:r>
              <w:t xml:space="preserve">– </w:t>
            </w:r>
            <w:r w:rsidRPr="00473B16">
              <w:t>maximum flood depth grid results; 1-in-</w:t>
            </w:r>
            <w:r>
              <w:t>100</w:t>
            </w:r>
            <w:r w:rsidRPr="00473B16">
              <w:t xml:space="preserve"> year; downscaling method 1</w:t>
            </w:r>
          </w:p>
        </w:tc>
      </w:tr>
      <w:tr w:rsidR="00035EEB" w14:paraId="4BD71177" w14:textId="77777777" w:rsidTr="00F709CD">
        <w:tc>
          <w:tcPr>
            <w:tcW w:w="3402" w:type="dxa"/>
            <w:vAlign w:val="center"/>
          </w:tcPr>
          <w:p w14:paraId="18EB9167" w14:textId="77777777" w:rsidR="00035EEB" w:rsidRDefault="00035EEB" w:rsidP="00F709CD">
            <w:pPr>
              <w:spacing w:after="120"/>
            </w:pPr>
            <w:r w:rsidRPr="007D6E21">
              <w:t>RM_100_DSM2</w:t>
            </w:r>
            <w:r>
              <w:t>.tif</w:t>
            </w:r>
          </w:p>
        </w:tc>
        <w:tc>
          <w:tcPr>
            <w:tcW w:w="5624" w:type="dxa"/>
            <w:vAlign w:val="center"/>
          </w:tcPr>
          <w:p w14:paraId="2035D272" w14:textId="77777777" w:rsidR="00035EEB" w:rsidRDefault="00035EEB" w:rsidP="00F709CD">
            <w:pPr>
              <w:spacing w:after="120"/>
            </w:pPr>
            <w:r w:rsidRPr="002D0882">
              <w:t xml:space="preserve">Reference model </w:t>
            </w:r>
            <w:r>
              <w:t xml:space="preserve">– </w:t>
            </w:r>
            <w:r w:rsidRPr="002D0882">
              <w:t>maximum flood depth grid results; 1-in-100 year; downscaling method 2</w:t>
            </w:r>
          </w:p>
        </w:tc>
      </w:tr>
      <w:tr w:rsidR="00035EEB" w14:paraId="5B64C633" w14:textId="77777777" w:rsidTr="00F709CD">
        <w:tc>
          <w:tcPr>
            <w:tcW w:w="3402" w:type="dxa"/>
            <w:vAlign w:val="center"/>
          </w:tcPr>
          <w:p w14:paraId="14C5E8F6" w14:textId="77777777" w:rsidR="00035EEB" w:rsidRDefault="00035EEB" w:rsidP="00F709CD">
            <w:pPr>
              <w:spacing w:after="120"/>
            </w:pPr>
            <w:r w:rsidRPr="007D6E21">
              <w:t>PXR_5_DSM1</w:t>
            </w:r>
            <w:r>
              <w:t>.tif</w:t>
            </w:r>
          </w:p>
        </w:tc>
        <w:tc>
          <w:tcPr>
            <w:tcW w:w="5624" w:type="dxa"/>
            <w:vAlign w:val="center"/>
          </w:tcPr>
          <w:p w14:paraId="0786D9F8" w14:textId="77777777" w:rsidR="00035EEB" w:rsidRDefault="00035EEB" w:rsidP="00F709CD">
            <w:pPr>
              <w:spacing w:after="120"/>
            </w:pPr>
            <w:r>
              <w:t xml:space="preserve">Global ‘PXR’ rainfall dataset test – </w:t>
            </w:r>
            <w:r w:rsidRPr="002D0882">
              <w:t>maximum flood depth grid results; 1-in-</w:t>
            </w:r>
            <w:r>
              <w:t>5</w:t>
            </w:r>
            <w:r w:rsidRPr="002D0882">
              <w:t xml:space="preserve"> year; downscaling method </w:t>
            </w:r>
            <w:r>
              <w:t>1</w:t>
            </w:r>
          </w:p>
        </w:tc>
      </w:tr>
      <w:tr w:rsidR="00035EEB" w14:paraId="3116DD94" w14:textId="77777777" w:rsidTr="00F709CD">
        <w:tc>
          <w:tcPr>
            <w:tcW w:w="3402" w:type="dxa"/>
            <w:vAlign w:val="center"/>
          </w:tcPr>
          <w:p w14:paraId="44147AD4" w14:textId="77777777" w:rsidR="00035EEB" w:rsidRDefault="00035EEB" w:rsidP="00F709CD">
            <w:pPr>
              <w:spacing w:after="120"/>
            </w:pPr>
            <w:r w:rsidRPr="007D6E21">
              <w:t>PXR_5_DSM2</w:t>
            </w:r>
            <w:r>
              <w:t>.tif</w:t>
            </w:r>
          </w:p>
        </w:tc>
        <w:tc>
          <w:tcPr>
            <w:tcW w:w="5624" w:type="dxa"/>
            <w:vAlign w:val="center"/>
          </w:tcPr>
          <w:p w14:paraId="60B8EADC" w14:textId="77777777" w:rsidR="00035EEB" w:rsidRDefault="00035EEB" w:rsidP="00F709CD">
            <w:pPr>
              <w:spacing w:after="120"/>
            </w:pPr>
            <w:r w:rsidRPr="00572A01">
              <w:t xml:space="preserve">Global ‘PXR’ rainfall dataset test </w:t>
            </w:r>
            <w:r>
              <w:t xml:space="preserve">– </w:t>
            </w:r>
            <w:r w:rsidRPr="00572A01">
              <w:t xml:space="preserve">maximum flood depth grid results; 1-in-5 year; downscaling method </w:t>
            </w:r>
            <w:r>
              <w:t>2</w:t>
            </w:r>
          </w:p>
        </w:tc>
      </w:tr>
      <w:tr w:rsidR="00035EEB" w14:paraId="7ED5C0F8" w14:textId="77777777" w:rsidTr="00F709CD">
        <w:tc>
          <w:tcPr>
            <w:tcW w:w="3402" w:type="dxa"/>
            <w:vAlign w:val="center"/>
          </w:tcPr>
          <w:p w14:paraId="553F4092" w14:textId="77777777" w:rsidR="00035EEB" w:rsidRDefault="00035EEB" w:rsidP="00F709CD">
            <w:pPr>
              <w:spacing w:after="120"/>
            </w:pPr>
            <w:r w:rsidRPr="007D6E21">
              <w:lastRenderedPageBreak/>
              <w:t>PXR_100_DSM1</w:t>
            </w:r>
            <w:r>
              <w:t>.tif</w:t>
            </w:r>
          </w:p>
        </w:tc>
        <w:tc>
          <w:tcPr>
            <w:tcW w:w="5624" w:type="dxa"/>
            <w:vAlign w:val="center"/>
          </w:tcPr>
          <w:p w14:paraId="769CF7A7" w14:textId="77777777" w:rsidR="00035EEB" w:rsidRDefault="00035EEB" w:rsidP="00F709CD">
            <w:pPr>
              <w:spacing w:after="120"/>
            </w:pPr>
            <w:r w:rsidRPr="00572A01">
              <w:t xml:space="preserve">Global ‘PXR’ rainfall dataset test </w:t>
            </w:r>
            <w:r>
              <w:t xml:space="preserve">– </w:t>
            </w:r>
            <w:r w:rsidRPr="00572A01">
              <w:t>maximum flood depth grid results; 1-in-</w:t>
            </w:r>
            <w:r>
              <w:t>100</w:t>
            </w:r>
            <w:r w:rsidRPr="00572A01">
              <w:t xml:space="preserve"> year; downscaling method 1</w:t>
            </w:r>
          </w:p>
        </w:tc>
      </w:tr>
      <w:tr w:rsidR="00035EEB" w14:paraId="5552C448" w14:textId="77777777" w:rsidTr="00F709CD">
        <w:tc>
          <w:tcPr>
            <w:tcW w:w="3402" w:type="dxa"/>
            <w:vAlign w:val="center"/>
          </w:tcPr>
          <w:p w14:paraId="6958DB4F" w14:textId="77777777" w:rsidR="00035EEB" w:rsidRDefault="00035EEB" w:rsidP="00F709CD">
            <w:pPr>
              <w:spacing w:after="120"/>
            </w:pPr>
            <w:r w:rsidRPr="006B32D8">
              <w:t>PXR_100_DSM2</w:t>
            </w:r>
            <w:r>
              <w:t>.tif</w:t>
            </w:r>
          </w:p>
        </w:tc>
        <w:tc>
          <w:tcPr>
            <w:tcW w:w="5624" w:type="dxa"/>
            <w:vAlign w:val="center"/>
          </w:tcPr>
          <w:p w14:paraId="10E25139" w14:textId="77777777" w:rsidR="00035EEB" w:rsidRDefault="00035EEB" w:rsidP="00F709CD">
            <w:pPr>
              <w:spacing w:after="120"/>
            </w:pPr>
            <w:r w:rsidRPr="00572A01">
              <w:t xml:space="preserve">Global ‘PXR’ rainfall dataset test </w:t>
            </w:r>
            <w:r>
              <w:t xml:space="preserve">– </w:t>
            </w:r>
            <w:r w:rsidRPr="00572A01">
              <w:t>maximum flood depth grid results; 1-in-</w:t>
            </w:r>
            <w:r>
              <w:t>100</w:t>
            </w:r>
            <w:r w:rsidRPr="00572A01">
              <w:t xml:space="preserve"> year; downscaling method </w:t>
            </w:r>
            <w:r>
              <w:t>2</w:t>
            </w:r>
          </w:p>
        </w:tc>
      </w:tr>
      <w:tr w:rsidR="00035EEB" w14:paraId="33213F72" w14:textId="77777777" w:rsidTr="00F709CD">
        <w:tc>
          <w:tcPr>
            <w:tcW w:w="3402" w:type="dxa"/>
            <w:vAlign w:val="center"/>
          </w:tcPr>
          <w:p w14:paraId="6340F06C" w14:textId="77777777" w:rsidR="00035EEB" w:rsidRPr="006B32D8" w:rsidRDefault="00035EEB" w:rsidP="00F709CD">
            <w:pPr>
              <w:spacing w:after="120"/>
            </w:pPr>
            <w:r w:rsidRPr="00F5131D">
              <w:t>06SEP2017_0700_DSM1</w:t>
            </w:r>
            <w:r>
              <w:t>.tif</w:t>
            </w:r>
          </w:p>
        </w:tc>
        <w:tc>
          <w:tcPr>
            <w:tcW w:w="5624" w:type="dxa"/>
            <w:vAlign w:val="center"/>
          </w:tcPr>
          <w:p w14:paraId="4D543926" w14:textId="77777777" w:rsidR="00035EEB" w:rsidRPr="00572A01" w:rsidRDefault="00035EEB" w:rsidP="00F709CD">
            <w:pPr>
              <w:spacing w:after="120"/>
            </w:pPr>
            <w:r>
              <w:t>Historical event simulating flooding on 6 September 2017 – flood depth grid results at 7am UTC; downscaling method 1.</w:t>
            </w:r>
          </w:p>
        </w:tc>
      </w:tr>
      <w:tr w:rsidR="00035EEB" w14:paraId="1F8E6395" w14:textId="77777777" w:rsidTr="00F709CD">
        <w:trPr>
          <w:trHeight w:val="646"/>
        </w:trPr>
        <w:tc>
          <w:tcPr>
            <w:tcW w:w="3402" w:type="dxa"/>
            <w:vAlign w:val="center"/>
          </w:tcPr>
          <w:p w14:paraId="1D8BCDAF" w14:textId="77777777" w:rsidR="00035EEB" w:rsidRPr="006B32D8" w:rsidRDefault="00035EEB" w:rsidP="00F709CD">
            <w:pPr>
              <w:spacing w:after="120"/>
            </w:pPr>
            <w:r w:rsidRPr="00DA604C">
              <w:t>T37PDK_20170906T073611_B8B11B4_</w:t>
            </w:r>
            <w:r>
              <w:t xml:space="preserve"> </w:t>
            </w:r>
            <w:r w:rsidRPr="00DA604C">
              <w:t>LandWater_virtual_clipped</w:t>
            </w:r>
            <w:r>
              <w:t>.tif</w:t>
            </w:r>
          </w:p>
        </w:tc>
        <w:tc>
          <w:tcPr>
            <w:tcW w:w="5624" w:type="dxa"/>
            <w:vAlign w:val="center"/>
          </w:tcPr>
          <w:p w14:paraId="175E812D" w14:textId="0031D208" w:rsidR="00035EEB" w:rsidRDefault="00035EEB" w:rsidP="00F709CD">
            <w:pPr>
              <w:spacing w:after="120"/>
            </w:pPr>
            <w:r>
              <w:t>Sentinel 2 optical satellite image observing flooding on 6 September 201</w:t>
            </w:r>
            <w:r w:rsidR="004B7A33">
              <w:t>7</w:t>
            </w:r>
            <w:r>
              <w:t>. Bands 8, 11 and 4.</w:t>
            </w:r>
          </w:p>
        </w:tc>
      </w:tr>
      <w:tr w:rsidR="00035EEB" w14:paraId="0F0565E4" w14:textId="77777777" w:rsidTr="00F709CD">
        <w:tc>
          <w:tcPr>
            <w:tcW w:w="3402" w:type="dxa"/>
            <w:tcBorders>
              <w:bottom w:val="single" w:sz="4" w:space="0" w:color="auto"/>
            </w:tcBorders>
            <w:vAlign w:val="center"/>
          </w:tcPr>
          <w:p w14:paraId="348F0280" w14:textId="77777777" w:rsidR="00035EEB" w:rsidRPr="006B32D8" w:rsidRDefault="00035EEB" w:rsidP="00F709CD">
            <w:pPr>
              <w:spacing w:after="120"/>
            </w:pPr>
            <w:r w:rsidRPr="00277967">
              <w:t>T37PDK_20170906T073611_MNDWI</w:t>
            </w:r>
            <w:r>
              <w:t>.shp</w:t>
            </w:r>
          </w:p>
        </w:tc>
        <w:tc>
          <w:tcPr>
            <w:tcW w:w="5624" w:type="dxa"/>
            <w:tcBorders>
              <w:bottom w:val="single" w:sz="4" w:space="0" w:color="auto"/>
            </w:tcBorders>
            <w:vAlign w:val="center"/>
          </w:tcPr>
          <w:p w14:paraId="6D5FCB41" w14:textId="77777777" w:rsidR="00035EEB" w:rsidRDefault="00035EEB" w:rsidP="00F709CD">
            <w:pPr>
              <w:spacing w:after="120"/>
            </w:pPr>
            <w:r>
              <w:t>Flood extent extracted from the Sentinel 2 image.</w:t>
            </w:r>
          </w:p>
        </w:tc>
      </w:tr>
      <w:tr w:rsidR="00035EEB" w14:paraId="1311274D" w14:textId="77777777" w:rsidTr="00F709CD">
        <w:tc>
          <w:tcPr>
            <w:tcW w:w="9026" w:type="dxa"/>
            <w:gridSpan w:val="2"/>
            <w:tcBorders>
              <w:top w:val="single" w:sz="4" w:space="0" w:color="auto"/>
            </w:tcBorders>
          </w:tcPr>
          <w:p w14:paraId="5D22973F" w14:textId="70EC280B" w:rsidR="00025F26" w:rsidRPr="00025F26" w:rsidRDefault="00035EEB" w:rsidP="00025F26">
            <w:pPr>
              <w:pStyle w:val="ListParagraph"/>
              <w:numPr>
                <w:ilvl w:val="6"/>
                <w:numId w:val="19"/>
              </w:numPr>
              <w:spacing w:after="120"/>
            </w:pPr>
            <w:r>
              <w:t xml:space="preserve">Downscaling methods (1) and (2) are as described in note </w:t>
            </w:r>
            <w:r w:rsidR="004920E4">
              <w:t>(</w:t>
            </w:r>
            <w:r w:rsidR="004920E4">
              <w:fldChar w:fldCharType="begin"/>
            </w:r>
            <w:r w:rsidR="004920E4">
              <w:instrText xml:space="preserve"> REF _Ref147913604 \r \h </w:instrText>
            </w:r>
            <w:r w:rsidR="004920E4">
              <w:fldChar w:fldCharType="separate"/>
            </w:r>
            <w:r w:rsidR="004920E4">
              <w:t>6</w:t>
            </w:r>
            <w:r w:rsidR="004920E4">
              <w:fldChar w:fldCharType="end"/>
            </w:r>
            <w:r w:rsidR="004920E4">
              <w:t xml:space="preserve">) </w:t>
            </w:r>
            <w:r>
              <w:t xml:space="preserve">of section </w:t>
            </w:r>
            <w:r w:rsidR="00DC30AA" w:rsidRPr="00025F26">
              <w:rPr>
                <w:highlight w:val="yellow"/>
              </w:rPr>
              <w:fldChar w:fldCharType="begin"/>
            </w:r>
            <w:r w:rsidR="00DC30AA">
              <w:instrText xml:space="preserve"> REF _Ref147913561 \r \h </w:instrText>
            </w:r>
            <w:r w:rsidR="00DC30AA" w:rsidRPr="00025F26">
              <w:rPr>
                <w:highlight w:val="yellow"/>
              </w:rPr>
            </w:r>
            <w:r w:rsidR="00DC30AA" w:rsidRPr="00025F26">
              <w:rPr>
                <w:highlight w:val="yellow"/>
              </w:rPr>
              <w:fldChar w:fldCharType="separate"/>
            </w:r>
            <w:r w:rsidR="00DC30AA">
              <w:t>3</w:t>
            </w:r>
            <w:r w:rsidR="00DC30AA" w:rsidRPr="00025F26">
              <w:rPr>
                <w:highlight w:val="yellow"/>
              </w:rPr>
              <w:fldChar w:fldCharType="end"/>
            </w:r>
            <w:r w:rsidR="00BF57CB">
              <w:t xml:space="preserve"> above</w:t>
            </w:r>
            <w:r w:rsidR="00DC30AA">
              <w:t>.</w:t>
            </w:r>
          </w:p>
        </w:tc>
      </w:tr>
    </w:tbl>
    <w:p w14:paraId="6A8C0614" w14:textId="2FCFD259" w:rsidR="00B31D1A" w:rsidRDefault="00B31D1A" w:rsidP="00B31D1A">
      <w:pPr>
        <w:pStyle w:val="Heading1"/>
        <w:numPr>
          <w:ilvl w:val="0"/>
          <w:numId w:val="0"/>
        </w:numPr>
        <w:ind w:left="567" w:hanging="567"/>
      </w:pPr>
    </w:p>
    <w:p w14:paraId="52C57321" w14:textId="77777777" w:rsidR="00B31D1A" w:rsidRDefault="00B31D1A">
      <w:pPr>
        <w:spacing w:before="0" w:after="200" w:line="276" w:lineRule="auto"/>
        <w:rPr>
          <w:rFonts w:eastAsia="Cambria" w:cs="Times New Roman"/>
          <w:b/>
          <w:szCs w:val="24"/>
        </w:rPr>
      </w:pPr>
      <w:r>
        <w:br w:type="page"/>
      </w:r>
    </w:p>
    <w:p w14:paraId="1B17F507" w14:textId="4DEBCFB4" w:rsidR="00025F26" w:rsidRDefault="006111AE" w:rsidP="007B1F17">
      <w:pPr>
        <w:pStyle w:val="Heading1"/>
      </w:pPr>
      <w:r>
        <w:lastRenderedPageBreak/>
        <w:t xml:space="preserve">Model Test Results: </w:t>
      </w:r>
      <w:r w:rsidR="00E742E4">
        <w:t>Flood Extents and Depths</w:t>
      </w:r>
    </w:p>
    <w:p w14:paraId="4C58EA39" w14:textId="7FEF23C5" w:rsidR="00E742E4" w:rsidRDefault="00E742E4" w:rsidP="00E742E4">
      <w:r>
        <w:t xml:space="preserve">Flood extent and depth results for each of the global dataset tests are summarized in </w:t>
      </w:r>
      <w:r w:rsidR="00445E1D">
        <w:fldChar w:fldCharType="begin"/>
      </w:r>
      <w:r w:rsidR="00445E1D">
        <w:instrText xml:space="preserve"> REF _Ref155861717 \h </w:instrText>
      </w:r>
      <w:r w:rsidR="00445E1D">
        <w:fldChar w:fldCharType="separate"/>
      </w:r>
      <w:r w:rsidR="00445E1D" w:rsidRPr="00E742E4">
        <w:rPr>
          <w:b/>
          <w:bCs/>
        </w:rPr>
        <w:t xml:space="preserve">Supplementary Table </w:t>
      </w:r>
      <w:r w:rsidR="00445E1D">
        <w:rPr>
          <w:b/>
          <w:bCs/>
          <w:noProof/>
        </w:rPr>
        <w:t>2</w:t>
      </w:r>
      <w:r w:rsidR="00445E1D">
        <w:fldChar w:fldCharType="end"/>
      </w:r>
      <w:r>
        <w:t xml:space="preserve"> below. </w:t>
      </w:r>
      <w:r w:rsidR="00BC37B6">
        <w:t xml:space="preserve">Statistics provided include total flooded area across the entire model domain, and the average </w:t>
      </w:r>
      <w:r w:rsidR="002F610F">
        <w:t>peak</w:t>
      </w:r>
      <w:r w:rsidR="00BC37B6">
        <w:t xml:space="preserve"> flood depth value</w:t>
      </w:r>
      <w:r w:rsidR="00043416">
        <w:t xml:space="preserve"> across the model domain. </w:t>
      </w:r>
    </w:p>
    <w:p w14:paraId="364AC489" w14:textId="699EEC35" w:rsidR="00E742E4" w:rsidRPr="00E742E4" w:rsidRDefault="00E742E4" w:rsidP="00E742E4">
      <w:pPr>
        <w:rPr>
          <w:b/>
          <w:bCs/>
        </w:rPr>
      </w:pPr>
      <w:bookmarkStart w:id="6" w:name="_Ref155861717"/>
      <w:r w:rsidRPr="00E742E4">
        <w:rPr>
          <w:b/>
          <w:bCs/>
        </w:rPr>
        <w:t xml:space="preserve">Supplementary Table </w:t>
      </w:r>
      <w:r w:rsidRPr="00E742E4">
        <w:rPr>
          <w:b/>
          <w:bCs/>
        </w:rPr>
        <w:fldChar w:fldCharType="begin"/>
      </w:r>
      <w:r w:rsidRPr="00E742E4">
        <w:rPr>
          <w:b/>
          <w:bCs/>
        </w:rPr>
        <w:instrText xml:space="preserve"> SEQ Table \* ARABIC </w:instrText>
      </w:r>
      <w:r w:rsidRPr="00E742E4">
        <w:rPr>
          <w:b/>
          <w:bCs/>
        </w:rPr>
        <w:fldChar w:fldCharType="separate"/>
      </w:r>
      <w:r>
        <w:rPr>
          <w:b/>
          <w:bCs/>
          <w:noProof/>
        </w:rPr>
        <w:t>2</w:t>
      </w:r>
      <w:r w:rsidRPr="00E742E4">
        <w:fldChar w:fldCharType="end"/>
      </w:r>
      <w:bookmarkEnd w:id="6"/>
      <w:r w:rsidRPr="00E742E4">
        <w:rPr>
          <w:b/>
          <w:bCs/>
        </w:rPr>
        <w:t xml:space="preserve">. </w:t>
      </w:r>
      <w:r w:rsidRPr="00E742E4">
        <w:t>Summary of</w:t>
      </w:r>
      <w:r>
        <w:rPr>
          <w:b/>
          <w:bCs/>
        </w:rPr>
        <w:t xml:space="preserve"> </w:t>
      </w:r>
      <w:r>
        <w:t xml:space="preserve">Flood Extent and Depth Results </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6"/>
        <w:gridCol w:w="29"/>
        <w:gridCol w:w="1927"/>
        <w:gridCol w:w="1758"/>
        <w:gridCol w:w="198"/>
        <w:gridCol w:w="1956"/>
        <w:gridCol w:w="1957"/>
      </w:tblGrid>
      <w:tr w:rsidR="002F610F" w:rsidRPr="00E742E4" w14:paraId="35B5C1DC" w14:textId="1213606E" w:rsidTr="00A01EE9">
        <w:trPr>
          <w:tblHeader/>
        </w:trPr>
        <w:tc>
          <w:tcPr>
            <w:tcW w:w="1985" w:type="dxa"/>
            <w:gridSpan w:val="2"/>
            <w:tcBorders>
              <w:top w:val="single" w:sz="4" w:space="0" w:color="auto"/>
            </w:tcBorders>
          </w:tcPr>
          <w:p w14:paraId="6D629E39" w14:textId="324DAA54" w:rsidR="002F610F" w:rsidRPr="00E742E4" w:rsidRDefault="002F610F" w:rsidP="00E742E4"/>
        </w:tc>
        <w:tc>
          <w:tcPr>
            <w:tcW w:w="3685" w:type="dxa"/>
            <w:gridSpan w:val="2"/>
            <w:tcBorders>
              <w:top w:val="single" w:sz="4" w:space="0" w:color="auto"/>
            </w:tcBorders>
          </w:tcPr>
          <w:p w14:paraId="39CD0306" w14:textId="79D0DFD2" w:rsidR="002F610F" w:rsidRDefault="002F610F" w:rsidP="00A01EE9">
            <w:pPr>
              <w:jc w:val="center"/>
            </w:pPr>
            <w:r>
              <w:t>1 in 5</w:t>
            </w:r>
          </w:p>
        </w:tc>
        <w:tc>
          <w:tcPr>
            <w:tcW w:w="4111" w:type="dxa"/>
            <w:gridSpan w:val="3"/>
            <w:tcBorders>
              <w:top w:val="single" w:sz="4" w:space="0" w:color="auto"/>
            </w:tcBorders>
          </w:tcPr>
          <w:p w14:paraId="0C670B8B" w14:textId="668128BA" w:rsidR="002F610F" w:rsidRDefault="002F610F" w:rsidP="00A01EE9">
            <w:pPr>
              <w:jc w:val="center"/>
            </w:pPr>
            <w:r>
              <w:t>1 in 100</w:t>
            </w:r>
          </w:p>
        </w:tc>
      </w:tr>
      <w:tr w:rsidR="002F610F" w:rsidRPr="00E742E4" w14:paraId="49A871FB" w14:textId="660FBE3E" w:rsidTr="002F610F">
        <w:trPr>
          <w:tblHeader/>
        </w:trPr>
        <w:tc>
          <w:tcPr>
            <w:tcW w:w="1956" w:type="dxa"/>
            <w:tcBorders>
              <w:bottom w:val="single" w:sz="4" w:space="0" w:color="auto"/>
            </w:tcBorders>
          </w:tcPr>
          <w:p w14:paraId="5A6EA38C" w14:textId="1594F6ED" w:rsidR="002F610F" w:rsidRDefault="007F6B13" w:rsidP="002F610F">
            <w:r w:rsidRPr="007F6B13">
              <w:t>Model Variant</w:t>
            </w:r>
          </w:p>
        </w:tc>
        <w:tc>
          <w:tcPr>
            <w:tcW w:w="1956" w:type="dxa"/>
            <w:gridSpan w:val="2"/>
            <w:tcBorders>
              <w:bottom w:val="single" w:sz="4" w:space="0" w:color="auto"/>
            </w:tcBorders>
          </w:tcPr>
          <w:p w14:paraId="618515F6" w14:textId="345B254A" w:rsidR="002F610F" w:rsidRPr="00E742E4" w:rsidRDefault="002F610F" w:rsidP="002F610F">
            <w:r>
              <w:t>Flooded area (km</w:t>
            </w:r>
            <w:r w:rsidRPr="00422F8F">
              <w:rPr>
                <w:vertAlign w:val="superscript"/>
              </w:rPr>
              <w:t>2</w:t>
            </w:r>
            <w:r>
              <w:t>)</w:t>
            </w:r>
          </w:p>
        </w:tc>
        <w:tc>
          <w:tcPr>
            <w:tcW w:w="1956" w:type="dxa"/>
            <w:gridSpan w:val="2"/>
            <w:tcBorders>
              <w:bottom w:val="single" w:sz="4" w:space="0" w:color="auto"/>
            </w:tcBorders>
          </w:tcPr>
          <w:p w14:paraId="33EEEF1B" w14:textId="6345592C" w:rsidR="002F610F" w:rsidRDefault="002F610F" w:rsidP="002F610F">
            <w:r>
              <w:t>Average peak flood depth (m)</w:t>
            </w:r>
          </w:p>
        </w:tc>
        <w:tc>
          <w:tcPr>
            <w:tcW w:w="1956" w:type="dxa"/>
            <w:tcBorders>
              <w:bottom w:val="single" w:sz="4" w:space="0" w:color="auto"/>
            </w:tcBorders>
          </w:tcPr>
          <w:p w14:paraId="643721F7" w14:textId="150F365F" w:rsidR="002F610F" w:rsidRDefault="002F610F" w:rsidP="002F610F">
            <w:r>
              <w:t>Flooded area (km</w:t>
            </w:r>
            <w:r w:rsidRPr="00422F8F">
              <w:rPr>
                <w:vertAlign w:val="superscript"/>
              </w:rPr>
              <w:t>2</w:t>
            </w:r>
            <w:r>
              <w:t>)</w:t>
            </w:r>
          </w:p>
        </w:tc>
        <w:tc>
          <w:tcPr>
            <w:tcW w:w="1957" w:type="dxa"/>
            <w:tcBorders>
              <w:bottom w:val="single" w:sz="4" w:space="0" w:color="auto"/>
            </w:tcBorders>
          </w:tcPr>
          <w:p w14:paraId="050239F4" w14:textId="03A5A6A5" w:rsidR="002F610F" w:rsidRDefault="002F610F" w:rsidP="002F610F">
            <w:r>
              <w:t>Average peak flood depth (m)</w:t>
            </w:r>
          </w:p>
        </w:tc>
      </w:tr>
      <w:tr w:rsidR="001D788C" w:rsidRPr="00E742E4" w14:paraId="4B09CEC3" w14:textId="14F8E198" w:rsidTr="001A0DF1">
        <w:tc>
          <w:tcPr>
            <w:tcW w:w="1956" w:type="dxa"/>
            <w:tcBorders>
              <w:top w:val="single" w:sz="4" w:space="0" w:color="auto"/>
            </w:tcBorders>
            <w:vAlign w:val="center"/>
          </w:tcPr>
          <w:p w14:paraId="18DAEEEA" w14:textId="7E8080A3" w:rsidR="001D788C" w:rsidRPr="00E742E4" w:rsidRDefault="001D788C" w:rsidP="001D788C">
            <w:r>
              <w:t>Reference Model</w:t>
            </w:r>
          </w:p>
        </w:tc>
        <w:tc>
          <w:tcPr>
            <w:tcW w:w="1956" w:type="dxa"/>
            <w:gridSpan w:val="2"/>
            <w:tcBorders>
              <w:top w:val="single" w:sz="4" w:space="0" w:color="auto"/>
            </w:tcBorders>
          </w:tcPr>
          <w:p w14:paraId="220C4041" w14:textId="18EBF1AA" w:rsidR="001D788C" w:rsidRPr="00E742E4" w:rsidRDefault="001D788C" w:rsidP="001D788C">
            <w:r w:rsidRPr="00F1053E">
              <w:t>78.07</w:t>
            </w:r>
          </w:p>
        </w:tc>
        <w:tc>
          <w:tcPr>
            <w:tcW w:w="1956" w:type="dxa"/>
            <w:gridSpan w:val="2"/>
            <w:tcBorders>
              <w:top w:val="single" w:sz="4" w:space="0" w:color="auto"/>
            </w:tcBorders>
          </w:tcPr>
          <w:p w14:paraId="354621E7" w14:textId="2EA2B73D" w:rsidR="001D788C" w:rsidRPr="00E742E4" w:rsidRDefault="001D788C" w:rsidP="001D788C">
            <w:r w:rsidRPr="00F1053E">
              <w:t>1.53</w:t>
            </w:r>
          </w:p>
        </w:tc>
        <w:tc>
          <w:tcPr>
            <w:tcW w:w="1956" w:type="dxa"/>
            <w:tcBorders>
              <w:top w:val="single" w:sz="4" w:space="0" w:color="auto"/>
            </w:tcBorders>
          </w:tcPr>
          <w:p w14:paraId="547ECE17" w14:textId="335C66A5" w:rsidR="001D788C" w:rsidRPr="00E742E4" w:rsidRDefault="001D788C" w:rsidP="001D788C">
            <w:r w:rsidRPr="00F1053E">
              <w:t>115.64</w:t>
            </w:r>
          </w:p>
        </w:tc>
        <w:tc>
          <w:tcPr>
            <w:tcW w:w="1957" w:type="dxa"/>
            <w:tcBorders>
              <w:top w:val="single" w:sz="4" w:space="0" w:color="auto"/>
            </w:tcBorders>
          </w:tcPr>
          <w:p w14:paraId="2AF34C60" w14:textId="7ADA865A" w:rsidR="001D788C" w:rsidRPr="00E742E4" w:rsidRDefault="001D788C" w:rsidP="001D788C">
            <w:r w:rsidRPr="00F1053E">
              <w:t>1.88</w:t>
            </w:r>
          </w:p>
        </w:tc>
      </w:tr>
      <w:tr w:rsidR="001D788C" w:rsidRPr="00E742E4" w14:paraId="03B8B959" w14:textId="7E6CDA09" w:rsidTr="001A0DF1">
        <w:tc>
          <w:tcPr>
            <w:tcW w:w="1956" w:type="dxa"/>
            <w:vAlign w:val="center"/>
          </w:tcPr>
          <w:p w14:paraId="524DDDD0" w14:textId="64F0EF1D" w:rsidR="001D788C" w:rsidRPr="00E742E4" w:rsidRDefault="001D788C" w:rsidP="001D788C">
            <w:r>
              <w:t>FAB-DEM test</w:t>
            </w:r>
          </w:p>
        </w:tc>
        <w:tc>
          <w:tcPr>
            <w:tcW w:w="1956" w:type="dxa"/>
            <w:gridSpan w:val="2"/>
          </w:tcPr>
          <w:p w14:paraId="10435FA3" w14:textId="2C6136AA" w:rsidR="001D788C" w:rsidRPr="00E742E4" w:rsidRDefault="001D788C" w:rsidP="001D788C">
            <w:r w:rsidRPr="00F1053E">
              <w:t>89.04</w:t>
            </w:r>
          </w:p>
        </w:tc>
        <w:tc>
          <w:tcPr>
            <w:tcW w:w="1956" w:type="dxa"/>
            <w:gridSpan w:val="2"/>
          </w:tcPr>
          <w:p w14:paraId="2B22646C" w14:textId="287AD6ED" w:rsidR="001D788C" w:rsidRPr="00E742E4" w:rsidRDefault="001D788C" w:rsidP="001D788C">
            <w:r w:rsidRPr="00F1053E">
              <w:t>0.86</w:t>
            </w:r>
          </w:p>
        </w:tc>
        <w:tc>
          <w:tcPr>
            <w:tcW w:w="1956" w:type="dxa"/>
          </w:tcPr>
          <w:p w14:paraId="49888201" w14:textId="0B93FA4C" w:rsidR="001D788C" w:rsidRPr="00E742E4" w:rsidRDefault="001D788C" w:rsidP="001D788C">
            <w:r w:rsidRPr="00F1053E">
              <w:t>136.47</w:t>
            </w:r>
          </w:p>
        </w:tc>
        <w:tc>
          <w:tcPr>
            <w:tcW w:w="1957" w:type="dxa"/>
          </w:tcPr>
          <w:p w14:paraId="30F596DD" w14:textId="46F5F1ED" w:rsidR="001D788C" w:rsidRPr="00E742E4" w:rsidRDefault="001D788C" w:rsidP="001D788C">
            <w:r w:rsidRPr="00F1053E">
              <w:t>1.21</w:t>
            </w:r>
          </w:p>
        </w:tc>
      </w:tr>
      <w:tr w:rsidR="001D788C" w:rsidRPr="00E742E4" w14:paraId="18B440A9" w14:textId="244085AD" w:rsidTr="001A0DF1">
        <w:tc>
          <w:tcPr>
            <w:tcW w:w="1956" w:type="dxa"/>
            <w:vAlign w:val="center"/>
          </w:tcPr>
          <w:p w14:paraId="60AB4999" w14:textId="3D8255B8" w:rsidR="001D788C" w:rsidRPr="00E742E4" w:rsidRDefault="001D788C" w:rsidP="001D788C">
            <w:r>
              <w:t>MERIT DEM test</w:t>
            </w:r>
          </w:p>
        </w:tc>
        <w:tc>
          <w:tcPr>
            <w:tcW w:w="1956" w:type="dxa"/>
            <w:gridSpan w:val="2"/>
          </w:tcPr>
          <w:p w14:paraId="26334A40" w14:textId="644EF367" w:rsidR="001D788C" w:rsidRPr="00E742E4" w:rsidRDefault="001D788C" w:rsidP="001D788C">
            <w:r w:rsidRPr="00F1053E">
              <w:t>103.52</w:t>
            </w:r>
          </w:p>
        </w:tc>
        <w:tc>
          <w:tcPr>
            <w:tcW w:w="1956" w:type="dxa"/>
            <w:gridSpan w:val="2"/>
          </w:tcPr>
          <w:p w14:paraId="74E15CDC" w14:textId="43DC9C3F" w:rsidR="001D788C" w:rsidRPr="00E742E4" w:rsidRDefault="001D788C" w:rsidP="001D788C">
            <w:r w:rsidRPr="00F1053E">
              <w:t>0.85</w:t>
            </w:r>
          </w:p>
        </w:tc>
        <w:tc>
          <w:tcPr>
            <w:tcW w:w="1956" w:type="dxa"/>
          </w:tcPr>
          <w:p w14:paraId="0720B0E8" w14:textId="0162F0F6" w:rsidR="001D788C" w:rsidRPr="00E742E4" w:rsidRDefault="001D788C" w:rsidP="001D788C">
            <w:r w:rsidRPr="00F1053E">
              <w:t>152.21</w:t>
            </w:r>
          </w:p>
        </w:tc>
        <w:tc>
          <w:tcPr>
            <w:tcW w:w="1957" w:type="dxa"/>
          </w:tcPr>
          <w:p w14:paraId="5A550BD9" w14:textId="4BC2B933" w:rsidR="001D788C" w:rsidRPr="00E742E4" w:rsidRDefault="001D788C" w:rsidP="001D788C">
            <w:r w:rsidRPr="00F1053E">
              <w:t>1.14</w:t>
            </w:r>
          </w:p>
        </w:tc>
      </w:tr>
      <w:tr w:rsidR="001D788C" w:rsidRPr="00E742E4" w14:paraId="173CC12C" w14:textId="514EB200" w:rsidTr="001A0DF1">
        <w:tc>
          <w:tcPr>
            <w:tcW w:w="1956" w:type="dxa"/>
            <w:vAlign w:val="center"/>
          </w:tcPr>
          <w:p w14:paraId="56214AD7" w14:textId="18421707" w:rsidR="001D788C" w:rsidRPr="00E742E4" w:rsidRDefault="001D788C" w:rsidP="001D788C">
            <w:r>
              <w:t>Global rainfall data test</w:t>
            </w:r>
          </w:p>
        </w:tc>
        <w:tc>
          <w:tcPr>
            <w:tcW w:w="1956" w:type="dxa"/>
            <w:gridSpan w:val="2"/>
          </w:tcPr>
          <w:p w14:paraId="564103D4" w14:textId="0847BD56" w:rsidR="001D788C" w:rsidRPr="00E742E4" w:rsidRDefault="001D788C" w:rsidP="001D788C">
            <w:r w:rsidRPr="00F1053E">
              <w:t>105.05</w:t>
            </w:r>
          </w:p>
        </w:tc>
        <w:tc>
          <w:tcPr>
            <w:tcW w:w="1956" w:type="dxa"/>
            <w:gridSpan w:val="2"/>
          </w:tcPr>
          <w:p w14:paraId="3A7311EE" w14:textId="43374916" w:rsidR="001D788C" w:rsidRPr="00E742E4" w:rsidRDefault="001D788C" w:rsidP="001D788C">
            <w:r w:rsidRPr="00F1053E">
              <w:t>1.77</w:t>
            </w:r>
          </w:p>
        </w:tc>
        <w:tc>
          <w:tcPr>
            <w:tcW w:w="1956" w:type="dxa"/>
          </w:tcPr>
          <w:p w14:paraId="58CA849A" w14:textId="3AFB975A" w:rsidR="001D788C" w:rsidRPr="00E742E4" w:rsidRDefault="001D788C" w:rsidP="001D788C">
            <w:r w:rsidRPr="00F1053E">
              <w:t>143.92</w:t>
            </w:r>
          </w:p>
        </w:tc>
        <w:tc>
          <w:tcPr>
            <w:tcW w:w="1957" w:type="dxa"/>
          </w:tcPr>
          <w:p w14:paraId="530F8915" w14:textId="60EA20AC" w:rsidR="001D788C" w:rsidRPr="00E742E4" w:rsidRDefault="001D788C" w:rsidP="001D788C">
            <w:r w:rsidRPr="00F1053E">
              <w:t>2.21</w:t>
            </w:r>
          </w:p>
        </w:tc>
      </w:tr>
      <w:tr w:rsidR="001D788C" w:rsidRPr="00E742E4" w14:paraId="51F42F7F" w14:textId="398DB4FE" w:rsidTr="001A0DF1">
        <w:tc>
          <w:tcPr>
            <w:tcW w:w="1956" w:type="dxa"/>
            <w:vAlign w:val="center"/>
          </w:tcPr>
          <w:p w14:paraId="10CB70B5" w14:textId="0BED8DB3" w:rsidR="001D788C" w:rsidRPr="00E742E4" w:rsidRDefault="001D788C" w:rsidP="001D788C">
            <w:r>
              <w:t>Fathom 2</w:t>
            </w:r>
          </w:p>
        </w:tc>
        <w:tc>
          <w:tcPr>
            <w:tcW w:w="1956" w:type="dxa"/>
            <w:gridSpan w:val="2"/>
          </w:tcPr>
          <w:p w14:paraId="67AF7A50" w14:textId="10F4638B" w:rsidR="001D788C" w:rsidRPr="00E742E4" w:rsidRDefault="001D788C" w:rsidP="001D788C">
            <w:r w:rsidRPr="00F1053E">
              <w:t>93.80</w:t>
            </w:r>
          </w:p>
        </w:tc>
        <w:tc>
          <w:tcPr>
            <w:tcW w:w="1956" w:type="dxa"/>
            <w:gridSpan w:val="2"/>
          </w:tcPr>
          <w:p w14:paraId="30ED6B6F" w14:textId="40F0DC0D" w:rsidR="001D788C" w:rsidRPr="00E742E4" w:rsidRDefault="00C63588" w:rsidP="001D788C">
            <w:r>
              <w:t>N/A</w:t>
            </w:r>
            <w:r w:rsidRPr="0019207D">
              <w:rPr>
                <w:vertAlign w:val="superscript"/>
              </w:rPr>
              <w:t>1</w:t>
            </w:r>
          </w:p>
        </w:tc>
        <w:tc>
          <w:tcPr>
            <w:tcW w:w="1956" w:type="dxa"/>
          </w:tcPr>
          <w:p w14:paraId="7DB45F4A" w14:textId="0B4BBDA8" w:rsidR="001D788C" w:rsidRPr="00E742E4" w:rsidRDefault="001D788C" w:rsidP="001D788C">
            <w:r w:rsidRPr="00F1053E">
              <w:t>288.00</w:t>
            </w:r>
          </w:p>
        </w:tc>
        <w:tc>
          <w:tcPr>
            <w:tcW w:w="1957" w:type="dxa"/>
          </w:tcPr>
          <w:p w14:paraId="0C65560F" w14:textId="07ABB378" w:rsidR="001D788C" w:rsidRPr="00E742E4" w:rsidRDefault="00C63588" w:rsidP="001D788C">
            <w:r>
              <w:t>N/A</w:t>
            </w:r>
            <w:r w:rsidR="0019207D" w:rsidRPr="0019207D">
              <w:rPr>
                <w:vertAlign w:val="superscript"/>
              </w:rPr>
              <w:t>1</w:t>
            </w:r>
          </w:p>
        </w:tc>
      </w:tr>
      <w:tr w:rsidR="00B31D1A" w:rsidRPr="00E742E4" w14:paraId="09B3273D" w14:textId="447771FB" w:rsidTr="0041176D">
        <w:tc>
          <w:tcPr>
            <w:tcW w:w="9781" w:type="dxa"/>
            <w:gridSpan w:val="7"/>
            <w:tcBorders>
              <w:top w:val="single" w:sz="4" w:space="0" w:color="auto"/>
            </w:tcBorders>
          </w:tcPr>
          <w:p w14:paraId="355C95C8" w14:textId="56EB925D" w:rsidR="00B31D1A" w:rsidRPr="00E742E4" w:rsidRDefault="0019207D" w:rsidP="002F610F">
            <w:pPr>
              <w:numPr>
                <w:ilvl w:val="6"/>
                <w:numId w:val="19"/>
              </w:numPr>
            </w:pPr>
            <w:r>
              <w:t>C</w:t>
            </w:r>
            <w:r w:rsidRPr="0019207D">
              <w:t xml:space="preserve">omparative values not available because Fathom </w:t>
            </w:r>
            <w:r w:rsidR="008F0DDA">
              <w:t xml:space="preserve">2.0 </w:t>
            </w:r>
            <w:r w:rsidRPr="0019207D">
              <w:t xml:space="preserve">data does not </w:t>
            </w:r>
            <w:r w:rsidR="008F0DDA">
              <w:t xml:space="preserve">include </w:t>
            </w:r>
            <w:r w:rsidRPr="0019207D">
              <w:t xml:space="preserve">depth information </w:t>
            </w:r>
            <w:r>
              <w:t>w</w:t>
            </w:r>
            <w:r w:rsidRPr="0019207D">
              <w:t>ithin permanent water bodies</w:t>
            </w:r>
            <w:r w:rsidR="008C7CAC">
              <w:t>, unlike all other model variants.</w:t>
            </w:r>
          </w:p>
        </w:tc>
      </w:tr>
    </w:tbl>
    <w:p w14:paraId="071C3E5A" w14:textId="4945F013" w:rsidR="0053401C" w:rsidRPr="007B1F17" w:rsidRDefault="007B1F17" w:rsidP="007B1F17">
      <w:pPr>
        <w:pStyle w:val="Heading1"/>
      </w:pPr>
      <w:r w:rsidRPr="007B1F17">
        <w:t>References</w:t>
      </w:r>
    </w:p>
    <w:p w14:paraId="040BCC2A" w14:textId="0DAB073A" w:rsidR="00654913" w:rsidRPr="00654913" w:rsidRDefault="007B1F17" w:rsidP="00654913">
      <w:pPr>
        <w:widowControl w:val="0"/>
        <w:autoSpaceDE w:val="0"/>
        <w:autoSpaceDN w:val="0"/>
        <w:adjustRightInd w:val="0"/>
        <w:ind w:left="480" w:hanging="480"/>
        <w:rPr>
          <w:rFonts w:cs="Times New Roman"/>
          <w:noProof/>
          <w:szCs w:val="24"/>
        </w:rPr>
      </w:pPr>
      <w:r>
        <w:fldChar w:fldCharType="begin" w:fldLock="1"/>
      </w:r>
      <w:r>
        <w:instrText xml:space="preserve">ADDIN Mendeley Bibliography CSL_BIBLIOGRAPHY </w:instrText>
      </w:r>
      <w:r>
        <w:fldChar w:fldCharType="separate"/>
      </w:r>
      <w:r w:rsidR="00654913" w:rsidRPr="00654913">
        <w:rPr>
          <w:rFonts w:cs="Times New Roman"/>
          <w:noProof/>
          <w:szCs w:val="24"/>
        </w:rPr>
        <w:t xml:space="preserve">Bradbrook, K.F., Lane, S.N., Waller, S.G. and Bates, P.D. 2004. Two dimensional diffusion wave modelling of flood inundation using a simplified channel representation. </w:t>
      </w:r>
      <w:r w:rsidR="00654913" w:rsidRPr="00654913">
        <w:rPr>
          <w:rFonts w:cs="Times New Roman"/>
          <w:i/>
          <w:iCs/>
          <w:noProof/>
          <w:szCs w:val="24"/>
        </w:rPr>
        <w:t>International Journal of River Basin Management</w:t>
      </w:r>
      <w:r w:rsidR="00654913" w:rsidRPr="00654913">
        <w:rPr>
          <w:rFonts w:cs="Times New Roman"/>
          <w:noProof/>
          <w:szCs w:val="24"/>
        </w:rPr>
        <w:t xml:space="preserve">. </w:t>
      </w:r>
      <w:r w:rsidR="00654913" w:rsidRPr="00654913">
        <w:rPr>
          <w:rFonts w:cs="Times New Roman"/>
          <w:b/>
          <w:bCs/>
          <w:noProof/>
          <w:szCs w:val="24"/>
        </w:rPr>
        <w:t>2</w:t>
      </w:r>
      <w:r w:rsidR="00654913" w:rsidRPr="00654913">
        <w:rPr>
          <w:rFonts w:cs="Times New Roman"/>
          <w:noProof/>
          <w:szCs w:val="24"/>
        </w:rPr>
        <w:t>(3), pp.211–223.</w:t>
      </w:r>
    </w:p>
    <w:p w14:paraId="53A42A51" w14:textId="77777777" w:rsidR="00654913" w:rsidRPr="00654913" w:rsidRDefault="00654913" w:rsidP="00654913">
      <w:pPr>
        <w:widowControl w:val="0"/>
        <w:autoSpaceDE w:val="0"/>
        <w:autoSpaceDN w:val="0"/>
        <w:adjustRightInd w:val="0"/>
        <w:ind w:left="480" w:hanging="480"/>
        <w:rPr>
          <w:rFonts w:cs="Times New Roman"/>
          <w:noProof/>
          <w:szCs w:val="24"/>
        </w:rPr>
      </w:pPr>
      <w:r w:rsidRPr="00654913">
        <w:rPr>
          <w:rFonts w:cs="Times New Roman"/>
          <w:noProof/>
          <w:szCs w:val="24"/>
        </w:rPr>
        <w:t xml:space="preserve">Horrit, M.., Shaad, K. and Gill, E. 2009. Sewer Capacity and Infiltration Analysis. </w:t>
      </w:r>
      <w:r w:rsidRPr="00654913">
        <w:rPr>
          <w:rFonts w:cs="Times New Roman"/>
          <w:i/>
          <w:iCs/>
          <w:noProof/>
          <w:szCs w:val="24"/>
        </w:rPr>
        <w:t>Internal Technical Note (WBSWFR/TN3) for the UK Environment Agency.</w:t>
      </w:r>
    </w:p>
    <w:p w14:paraId="5BF85511" w14:textId="77777777" w:rsidR="00654913" w:rsidRPr="00654913" w:rsidRDefault="00654913" w:rsidP="00654913">
      <w:pPr>
        <w:widowControl w:val="0"/>
        <w:autoSpaceDE w:val="0"/>
        <w:autoSpaceDN w:val="0"/>
        <w:adjustRightInd w:val="0"/>
        <w:ind w:left="480" w:hanging="480"/>
        <w:rPr>
          <w:rFonts w:cs="Times New Roman"/>
          <w:noProof/>
          <w:szCs w:val="24"/>
        </w:rPr>
      </w:pPr>
      <w:r w:rsidRPr="00654913">
        <w:rPr>
          <w:rFonts w:cs="Times New Roman"/>
          <w:noProof/>
          <w:szCs w:val="24"/>
        </w:rPr>
        <w:t xml:space="preserve">Leopold, L.B. and Maddock, T.J. 1953. </w:t>
      </w:r>
      <w:r w:rsidRPr="00654913">
        <w:rPr>
          <w:rFonts w:cs="Times New Roman"/>
          <w:i/>
          <w:iCs/>
          <w:noProof/>
          <w:szCs w:val="24"/>
        </w:rPr>
        <w:t>The Hydraulic Geometry of Stream Channels and Some Physiographic Implications</w:t>
      </w:r>
      <w:r w:rsidRPr="00654913">
        <w:rPr>
          <w:rFonts w:cs="Times New Roman"/>
          <w:noProof/>
          <w:szCs w:val="24"/>
        </w:rPr>
        <w:t xml:space="preserve"> [Online]. Washington DC, USA. Available from: https://pubs.usgs.gov/publication/pp252.</w:t>
      </w:r>
    </w:p>
    <w:p w14:paraId="60E45FBD" w14:textId="77777777" w:rsidR="00654913" w:rsidRPr="00654913" w:rsidRDefault="00654913" w:rsidP="00654913">
      <w:pPr>
        <w:widowControl w:val="0"/>
        <w:autoSpaceDE w:val="0"/>
        <w:autoSpaceDN w:val="0"/>
        <w:adjustRightInd w:val="0"/>
        <w:ind w:left="480" w:hanging="480"/>
        <w:rPr>
          <w:rFonts w:cs="Times New Roman"/>
          <w:noProof/>
          <w:szCs w:val="24"/>
        </w:rPr>
      </w:pPr>
      <w:r w:rsidRPr="00654913">
        <w:rPr>
          <w:rFonts w:cs="Times New Roman"/>
          <w:noProof/>
          <w:szCs w:val="24"/>
        </w:rPr>
        <w:t xml:space="preserve">van Leuwen, Z., Gill, E., Hunter, N. and Blazey, N. 2019. </w:t>
      </w:r>
      <w:r w:rsidRPr="00654913">
        <w:rPr>
          <w:rFonts w:cs="Times New Roman"/>
          <w:i/>
          <w:iCs/>
          <w:noProof/>
          <w:szCs w:val="24"/>
        </w:rPr>
        <w:t>Improving Surface Water Flood Mapping: Estimating Local Drainage Rates</w:t>
      </w:r>
      <w:r w:rsidRPr="00654913">
        <w:rPr>
          <w:rFonts w:cs="Times New Roman"/>
          <w:noProof/>
          <w:szCs w:val="24"/>
        </w:rPr>
        <w:t xml:space="preserve"> [Online]. Bristol, UK: UK Environment Agency. Available from: https://assets.publishing.service.gov.uk/media/603660e18fa8f5480ff52477/Improving_surface_water_flood_mapping_-_estimating_local_drainage_rates_-_report.pdf.</w:t>
      </w:r>
    </w:p>
    <w:p w14:paraId="3439CB73" w14:textId="77777777" w:rsidR="00654913" w:rsidRPr="00654913" w:rsidRDefault="00654913" w:rsidP="00654913">
      <w:pPr>
        <w:widowControl w:val="0"/>
        <w:autoSpaceDE w:val="0"/>
        <w:autoSpaceDN w:val="0"/>
        <w:adjustRightInd w:val="0"/>
        <w:ind w:left="480" w:hanging="480"/>
        <w:rPr>
          <w:rFonts w:cs="Times New Roman"/>
          <w:noProof/>
          <w:szCs w:val="24"/>
        </w:rPr>
      </w:pPr>
      <w:r w:rsidRPr="00654913">
        <w:rPr>
          <w:rFonts w:cs="Times New Roman"/>
          <w:noProof/>
          <w:szCs w:val="24"/>
        </w:rPr>
        <w:lastRenderedPageBreak/>
        <w:t xml:space="preserve">Moody, J.A. and Troutman, B.M. 2002. Characterization of the spatial variability of channel morphology. </w:t>
      </w:r>
      <w:r w:rsidRPr="00654913">
        <w:rPr>
          <w:rFonts w:cs="Times New Roman"/>
          <w:i/>
          <w:iCs/>
          <w:noProof/>
          <w:szCs w:val="24"/>
        </w:rPr>
        <w:t>Earth Surface Processes and Landforms</w:t>
      </w:r>
      <w:r w:rsidRPr="00654913">
        <w:rPr>
          <w:rFonts w:cs="Times New Roman"/>
          <w:noProof/>
          <w:szCs w:val="24"/>
        </w:rPr>
        <w:t xml:space="preserve">. </w:t>
      </w:r>
      <w:r w:rsidRPr="00654913">
        <w:rPr>
          <w:rFonts w:cs="Times New Roman"/>
          <w:b/>
          <w:bCs/>
          <w:noProof/>
          <w:szCs w:val="24"/>
        </w:rPr>
        <w:t>27</w:t>
      </w:r>
      <w:r w:rsidRPr="00654913">
        <w:rPr>
          <w:rFonts w:cs="Times New Roman"/>
          <w:noProof/>
          <w:szCs w:val="24"/>
        </w:rPr>
        <w:t>(12), pp.1251–1266.</w:t>
      </w:r>
    </w:p>
    <w:p w14:paraId="283EC2EF" w14:textId="77777777" w:rsidR="00654913" w:rsidRPr="00654913" w:rsidRDefault="00654913" w:rsidP="00654913">
      <w:pPr>
        <w:widowControl w:val="0"/>
        <w:autoSpaceDE w:val="0"/>
        <w:autoSpaceDN w:val="0"/>
        <w:adjustRightInd w:val="0"/>
        <w:ind w:left="480" w:hanging="480"/>
        <w:rPr>
          <w:rFonts w:cs="Times New Roman"/>
          <w:noProof/>
        </w:rPr>
      </w:pPr>
      <w:r w:rsidRPr="00654913">
        <w:rPr>
          <w:rFonts w:cs="Times New Roman"/>
          <w:noProof/>
          <w:szCs w:val="24"/>
        </w:rPr>
        <w:t xml:space="preserve">Williams, G.P. 1978. Bank‐full discharge of rivers. </w:t>
      </w:r>
      <w:r w:rsidRPr="00654913">
        <w:rPr>
          <w:rFonts w:cs="Times New Roman"/>
          <w:i/>
          <w:iCs/>
          <w:noProof/>
          <w:szCs w:val="24"/>
        </w:rPr>
        <w:t>Water Resources Research</w:t>
      </w:r>
      <w:r w:rsidRPr="00654913">
        <w:rPr>
          <w:rFonts w:cs="Times New Roman"/>
          <w:noProof/>
          <w:szCs w:val="24"/>
        </w:rPr>
        <w:t xml:space="preserve">. </w:t>
      </w:r>
      <w:r w:rsidRPr="00654913">
        <w:rPr>
          <w:rFonts w:cs="Times New Roman"/>
          <w:b/>
          <w:bCs/>
          <w:noProof/>
          <w:szCs w:val="24"/>
        </w:rPr>
        <w:t>14</w:t>
      </w:r>
      <w:r w:rsidRPr="00654913">
        <w:rPr>
          <w:rFonts w:cs="Times New Roman"/>
          <w:noProof/>
          <w:szCs w:val="24"/>
        </w:rPr>
        <w:t>(6), pp.1141–1154.</w:t>
      </w:r>
    </w:p>
    <w:p w14:paraId="3B020E77" w14:textId="3CD019FB" w:rsidR="00994A3D" w:rsidRPr="002B4A57" w:rsidRDefault="007B1F17" w:rsidP="00810404">
      <w:pPr>
        <w:rPr>
          <w:rFonts w:cs="Times New Roman"/>
          <w:b/>
          <w:szCs w:val="24"/>
        </w:rPr>
      </w:pPr>
      <w:r>
        <w:fldChar w:fldCharType="end"/>
      </w:r>
      <w:r w:rsidR="00994A3D" w:rsidRPr="001549D3">
        <w:rPr>
          <w:rFonts w:cs="Times New Roman"/>
          <w:szCs w:val="24"/>
        </w:rPr>
        <w:t xml:space="preserve"> </w:t>
      </w:r>
    </w:p>
    <w:p w14:paraId="58F1AED1" w14:textId="77777777" w:rsidR="00DE23E8" w:rsidRPr="001549D3" w:rsidRDefault="00DE23E8" w:rsidP="00654E8F">
      <w:pPr>
        <w:spacing w:before="240"/>
      </w:pPr>
    </w:p>
    <w:sectPr w:rsidR="00DE23E8" w:rsidRPr="001549D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A7116" w14:textId="77777777" w:rsidR="006F6B5A" w:rsidRDefault="006F6B5A" w:rsidP="00117666">
      <w:pPr>
        <w:spacing w:after="0"/>
      </w:pPr>
      <w:r>
        <w:separator/>
      </w:r>
    </w:p>
  </w:endnote>
  <w:endnote w:type="continuationSeparator" w:id="0">
    <w:p w14:paraId="7C9B4DC6" w14:textId="77777777" w:rsidR="006F6B5A" w:rsidRDefault="006F6B5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637F39"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637F39"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637F39"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637F39"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637F39"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637F39"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7DFDE" w14:textId="77777777" w:rsidR="006F6B5A" w:rsidRDefault="006F6B5A" w:rsidP="00117666">
      <w:pPr>
        <w:spacing w:after="0"/>
      </w:pPr>
      <w:r>
        <w:separator/>
      </w:r>
    </w:p>
  </w:footnote>
  <w:footnote w:type="continuationSeparator" w:id="0">
    <w:p w14:paraId="1E159AA3" w14:textId="77777777" w:rsidR="006F6B5A" w:rsidRDefault="006F6B5A"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637F39"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637F39"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8198375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7" w15:restartNumberingAfterBreak="0">
    <w:nsid w:val="6F6545BD"/>
    <w:multiLevelType w:val="hybridMultilevel"/>
    <w:tmpl w:val="CBBA1FA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lvlOverride w:ilvl="0"/>
    <w:lvlOverride w:ilvl="6">
      <w:lvl w:ilvl="6">
        <w:start w:val="1"/>
        <w:numFmt w:val="decimal"/>
        <w:lvlText w:val="%7."/>
        <w:lvlJc w:val="left"/>
        <w:pPr>
          <w:tabs>
            <w:tab w:val="num" w:pos="567"/>
          </w:tabs>
          <w:ind w:left="567" w:hanging="567"/>
        </w:pPr>
        <w:rPr>
          <w:rFonts w:hint="default"/>
          <w:vertAlign w:val="superscript"/>
        </w:rPr>
      </w:lvl>
    </w:lvlOverride>
  </w:num>
  <w:num w:numId="20" w16cid:durableId="3601334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25F26"/>
    <w:rsid w:val="00034304"/>
    <w:rsid w:val="00035434"/>
    <w:rsid w:val="00035EEB"/>
    <w:rsid w:val="00043416"/>
    <w:rsid w:val="00052A14"/>
    <w:rsid w:val="00077D53"/>
    <w:rsid w:val="000A2213"/>
    <w:rsid w:val="001051E6"/>
    <w:rsid w:val="00105FD9"/>
    <w:rsid w:val="00117666"/>
    <w:rsid w:val="0012098B"/>
    <w:rsid w:val="001549D3"/>
    <w:rsid w:val="00160065"/>
    <w:rsid w:val="00177D84"/>
    <w:rsid w:val="0019207D"/>
    <w:rsid w:val="001A7FD5"/>
    <w:rsid w:val="001D788C"/>
    <w:rsid w:val="00267D18"/>
    <w:rsid w:val="00283C8C"/>
    <w:rsid w:val="002868E2"/>
    <w:rsid w:val="002869C3"/>
    <w:rsid w:val="002936E4"/>
    <w:rsid w:val="002B4A57"/>
    <w:rsid w:val="002C609F"/>
    <w:rsid w:val="002C74CA"/>
    <w:rsid w:val="002F610F"/>
    <w:rsid w:val="003544FB"/>
    <w:rsid w:val="003D2D47"/>
    <w:rsid w:val="003D2F2D"/>
    <w:rsid w:val="00401590"/>
    <w:rsid w:val="00402512"/>
    <w:rsid w:val="00422F8F"/>
    <w:rsid w:val="00445E1D"/>
    <w:rsid w:val="00447801"/>
    <w:rsid w:val="00452E9C"/>
    <w:rsid w:val="00462550"/>
    <w:rsid w:val="004735C8"/>
    <w:rsid w:val="004920E4"/>
    <w:rsid w:val="004961FF"/>
    <w:rsid w:val="004B7A33"/>
    <w:rsid w:val="004E37AF"/>
    <w:rsid w:val="00517A89"/>
    <w:rsid w:val="005250F2"/>
    <w:rsid w:val="0053401C"/>
    <w:rsid w:val="00575EB8"/>
    <w:rsid w:val="00593EEA"/>
    <w:rsid w:val="005A5EEE"/>
    <w:rsid w:val="005C13D3"/>
    <w:rsid w:val="006111AE"/>
    <w:rsid w:val="006375C7"/>
    <w:rsid w:val="00637F39"/>
    <w:rsid w:val="0065418A"/>
    <w:rsid w:val="00654913"/>
    <w:rsid w:val="00654E8F"/>
    <w:rsid w:val="00660D05"/>
    <w:rsid w:val="0066611A"/>
    <w:rsid w:val="006820B1"/>
    <w:rsid w:val="00694D74"/>
    <w:rsid w:val="006B14D8"/>
    <w:rsid w:val="006B7D14"/>
    <w:rsid w:val="006C54E9"/>
    <w:rsid w:val="006F6B5A"/>
    <w:rsid w:val="00701727"/>
    <w:rsid w:val="0070566C"/>
    <w:rsid w:val="00714C50"/>
    <w:rsid w:val="00725A7D"/>
    <w:rsid w:val="007501BE"/>
    <w:rsid w:val="007802E5"/>
    <w:rsid w:val="00790BB3"/>
    <w:rsid w:val="007A6E50"/>
    <w:rsid w:val="007B1F17"/>
    <w:rsid w:val="007B68A7"/>
    <w:rsid w:val="007C206C"/>
    <w:rsid w:val="007F6B13"/>
    <w:rsid w:val="00803D24"/>
    <w:rsid w:val="00810404"/>
    <w:rsid w:val="008161E8"/>
    <w:rsid w:val="00817DD6"/>
    <w:rsid w:val="00834ABD"/>
    <w:rsid w:val="00885156"/>
    <w:rsid w:val="008C7CAC"/>
    <w:rsid w:val="008F0DDA"/>
    <w:rsid w:val="009151AA"/>
    <w:rsid w:val="0093429D"/>
    <w:rsid w:val="00943573"/>
    <w:rsid w:val="00953E80"/>
    <w:rsid w:val="00961EB8"/>
    <w:rsid w:val="00970F7D"/>
    <w:rsid w:val="00994A3D"/>
    <w:rsid w:val="009B42C7"/>
    <w:rsid w:val="009C1432"/>
    <w:rsid w:val="009C2B12"/>
    <w:rsid w:val="009C70F3"/>
    <w:rsid w:val="00A01EE9"/>
    <w:rsid w:val="00A174D9"/>
    <w:rsid w:val="00A569CD"/>
    <w:rsid w:val="00AB5EE2"/>
    <w:rsid w:val="00AB6715"/>
    <w:rsid w:val="00B1671E"/>
    <w:rsid w:val="00B25EB8"/>
    <w:rsid w:val="00B31D1A"/>
    <w:rsid w:val="00B32003"/>
    <w:rsid w:val="00B354E1"/>
    <w:rsid w:val="00B37F4D"/>
    <w:rsid w:val="00B538DC"/>
    <w:rsid w:val="00BA667F"/>
    <w:rsid w:val="00BC37B6"/>
    <w:rsid w:val="00BD2E7F"/>
    <w:rsid w:val="00BF57CB"/>
    <w:rsid w:val="00C06256"/>
    <w:rsid w:val="00C446E5"/>
    <w:rsid w:val="00C52A7B"/>
    <w:rsid w:val="00C56BAF"/>
    <w:rsid w:val="00C63588"/>
    <w:rsid w:val="00C679AA"/>
    <w:rsid w:val="00C75972"/>
    <w:rsid w:val="00CA4655"/>
    <w:rsid w:val="00CC0A3A"/>
    <w:rsid w:val="00CC7C5F"/>
    <w:rsid w:val="00CD066B"/>
    <w:rsid w:val="00CE4FEE"/>
    <w:rsid w:val="00D00BD1"/>
    <w:rsid w:val="00D95167"/>
    <w:rsid w:val="00DA7062"/>
    <w:rsid w:val="00DB59C3"/>
    <w:rsid w:val="00DC259A"/>
    <w:rsid w:val="00DC278B"/>
    <w:rsid w:val="00DC30AA"/>
    <w:rsid w:val="00DE23E8"/>
    <w:rsid w:val="00E447B8"/>
    <w:rsid w:val="00E52377"/>
    <w:rsid w:val="00E53C7B"/>
    <w:rsid w:val="00E64E17"/>
    <w:rsid w:val="00E742E4"/>
    <w:rsid w:val="00E866C9"/>
    <w:rsid w:val="00EA3D3C"/>
    <w:rsid w:val="00F46900"/>
    <w:rsid w:val="00F61D89"/>
    <w:rsid w:val="00F90B9A"/>
    <w:rsid w:val="00FC2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61</TotalTime>
  <Pages>5</Pages>
  <Words>2911</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Andrew Carr</cp:lastModifiedBy>
  <cp:revision>66</cp:revision>
  <cp:lastPrinted>2013-10-03T12:51:00Z</cp:lastPrinted>
  <dcterms:created xsi:type="dcterms:W3CDTF">2022-11-17T16:58:00Z</dcterms:created>
  <dcterms:modified xsi:type="dcterms:W3CDTF">2024-01-11T10:37:00Z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Mendeley Recent Style Id 0_1">
    <vt:lpwstr>http://www.zotero.org/styles/american-geophysical-union</vt:lpwstr>
  </property>
  <property fmtid="{D5CDD505-2E9C-101B-9397-08002B2CF9AE}" pid="11" name="Mendeley Recent Style Name 0_1">
    <vt:lpwstr>American Geophysical Union</vt:lpwstr>
  </property>
  <property fmtid="{D5CDD505-2E9C-101B-9397-08002B2CF9AE}" pid="12" name="Mendeley Recent Style Id 1_1">
    <vt:lpwstr>http://www.zotero.org/styles/american-medical-association</vt:lpwstr>
  </property>
  <property fmtid="{D5CDD505-2E9C-101B-9397-08002B2CF9AE}" pid="13" name="Mendeley Recent Style Name 1_1">
    <vt:lpwstr>American Medical Association 11th edition</vt:lpwstr>
  </property>
  <property fmtid="{D5CDD505-2E9C-101B-9397-08002B2CF9AE}" pid="14" name="Mendeley Recent Style Id 2_1">
    <vt:lpwstr>http://www.zotero.org/styles/american-political-science-association</vt:lpwstr>
  </property>
  <property fmtid="{D5CDD505-2E9C-101B-9397-08002B2CF9AE}" pid="15" name="Mendeley Recent Style Name 2_1">
    <vt:lpwstr>American Political Science Association</vt:lpwstr>
  </property>
  <property fmtid="{D5CDD505-2E9C-101B-9397-08002B2CF9AE}" pid="16" name="Mendeley Recent Style Id 3_1">
    <vt:lpwstr>http://www.zotero.org/styles/apa</vt:lpwstr>
  </property>
  <property fmtid="{D5CDD505-2E9C-101B-9397-08002B2CF9AE}" pid="17" name="Mendeley Recent Style Name 3_1">
    <vt:lpwstr>American Psychological Association 7th edition</vt:lpwstr>
  </property>
  <property fmtid="{D5CDD505-2E9C-101B-9397-08002B2CF9AE}" pid="18" name="Mendeley Recent Style Id 4_1">
    <vt:lpwstr>http://www.zotero.org/styles/american-sociological-association</vt:lpwstr>
  </property>
  <property fmtid="{D5CDD505-2E9C-101B-9397-08002B2CF9AE}" pid="19" name="Mendeley Recent Style Name 4_1">
    <vt:lpwstr>American Sociological Association 6th edition</vt:lpwstr>
  </property>
  <property fmtid="{D5CDD505-2E9C-101B-9397-08002B2CF9AE}" pid="20" name="Mendeley Recent Style Id 5_1">
    <vt:lpwstr>http://www.zotero.org/styles/chicago-author-date</vt:lpwstr>
  </property>
  <property fmtid="{D5CDD505-2E9C-101B-9397-08002B2CF9AE}" pid="21" name="Mendeley Recent Style Name 5_1">
    <vt:lpwstr>Chicago Manual of Style 17th edition (author-date)</vt:lpwstr>
  </property>
  <property fmtid="{D5CDD505-2E9C-101B-9397-08002B2CF9AE}" pid="22" name="Mendeley Recent Style Id 6_1">
    <vt:lpwstr>http://www.zotero.org/styles/harvard-cite-them-right</vt:lpwstr>
  </property>
  <property fmtid="{D5CDD505-2E9C-101B-9397-08002B2CF9AE}" pid="23" name="Mendeley Recent Style Name 6_1">
    <vt:lpwstr>Cite Them Right 10th edition - Harvard</vt:lpwstr>
  </property>
  <property fmtid="{D5CDD505-2E9C-101B-9397-08002B2CF9AE}" pid="24" name="Mendeley Recent Style Id 7_1">
    <vt:lpwstr>http://www.zotero.org/styles/ieee</vt:lpwstr>
  </property>
  <property fmtid="{D5CDD505-2E9C-101B-9397-08002B2CF9AE}" pid="25" name="Mendeley Recent Style Name 7_1">
    <vt:lpwstr>IEEE</vt:lpwstr>
  </property>
  <property fmtid="{D5CDD505-2E9C-101B-9397-08002B2CF9AE}" pid="26" name="Mendeley Recent Style Id 8_1">
    <vt:lpwstr>http://www.zotero.org/styles/modern-humanities-research-association</vt:lpwstr>
  </property>
  <property fmtid="{D5CDD505-2E9C-101B-9397-08002B2CF9AE}" pid="27" name="Mendeley Recent Style Name 8_1">
    <vt:lpwstr>Modern Humanities Research Association 3rd edition (note with bibliography)</vt:lpwstr>
  </property>
  <property fmtid="{D5CDD505-2E9C-101B-9397-08002B2CF9AE}" pid="28" name="Mendeley Recent Style Id 9_1">
    <vt:lpwstr>http://www.zotero.org/styles/harvard-university-of-leeds</vt:lpwstr>
  </property>
  <property fmtid="{D5CDD505-2E9C-101B-9397-08002B2CF9AE}" pid="29" name="Mendeley Recent Style Name 9_1">
    <vt:lpwstr>University of Leeds - Harvard</vt:lpwstr>
  </property>
  <property fmtid="{D5CDD505-2E9C-101B-9397-08002B2CF9AE}" pid="30" name="Mendeley Document_1">
    <vt:lpwstr>True</vt:lpwstr>
  </property>
  <property fmtid="{D5CDD505-2E9C-101B-9397-08002B2CF9AE}" pid="31" name="Mendeley Unique User Id_1">
    <vt:lpwstr>306bafc0-8b4f-3a07-998b-44d89a5d5e2f</vt:lpwstr>
  </property>
  <property fmtid="{D5CDD505-2E9C-101B-9397-08002B2CF9AE}" pid="32" name="Mendeley Citation Style_1">
    <vt:lpwstr>http://www.zotero.org/styles/harvard-university-of-leeds</vt:lpwstr>
  </property>
</Properties>
</file>