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Default="00654E8F" w:rsidP="0001436A">
      <w:pPr>
        <w:pStyle w:val="SupplementaryMaterial"/>
      </w:pPr>
      <w:r w:rsidRPr="001549D3">
        <w:t>Supplementary Material</w:t>
      </w:r>
    </w:p>
    <w:p w14:paraId="0B64AA97" w14:textId="77777777" w:rsidR="0009667B" w:rsidRDefault="0009667B" w:rsidP="0009667B">
      <w:pPr>
        <w:pStyle w:val="AuthorList"/>
        <w:rPr>
          <w:sz w:val="32"/>
          <w:szCs w:val="32"/>
        </w:rPr>
      </w:pPr>
      <w:bookmarkStart w:id="0" w:name="_Hlk149571383"/>
      <w:r w:rsidRPr="00D82BFD">
        <w:rPr>
          <w:sz w:val="32"/>
          <w:szCs w:val="32"/>
        </w:rPr>
        <w:t xml:space="preserve">Frankincense preparation promotes formation of inflammation-resolving lipid mediators by manipulating lipoxygenases in human innate immune </w:t>
      </w:r>
      <w:proofErr w:type="gramStart"/>
      <w:r w:rsidRPr="00D82BFD">
        <w:rPr>
          <w:sz w:val="32"/>
          <w:szCs w:val="32"/>
        </w:rPr>
        <w:t>cells</w:t>
      </w:r>
      <w:proofErr w:type="gramEnd"/>
    </w:p>
    <w:p w14:paraId="2FF11821" w14:textId="77777777" w:rsidR="0009667B" w:rsidRPr="00D82BFD" w:rsidRDefault="0009667B" w:rsidP="0009667B">
      <w:pPr>
        <w:pStyle w:val="AuthorList"/>
        <w:rPr>
          <w:lang w:val="de-DE"/>
        </w:rPr>
      </w:pPr>
      <w:r w:rsidRPr="00D82BFD">
        <w:rPr>
          <w:lang w:val="de-DE"/>
        </w:rPr>
        <w:t>Vivien Nischang, Finja M. Witt, Friedemann Börner, Mario Gomez, Paul M. Jordan</w:t>
      </w:r>
      <w:r w:rsidRPr="00D82BFD">
        <w:rPr>
          <w:vertAlign w:val="superscript"/>
          <w:lang w:val="de-DE"/>
        </w:rPr>
        <w:t>*</w:t>
      </w:r>
      <w:r w:rsidRPr="00D82BFD">
        <w:rPr>
          <w:vertAlign w:val="subscript"/>
          <w:lang w:val="de-DE"/>
        </w:rPr>
        <w:t xml:space="preserve">, </w:t>
      </w:r>
      <w:r w:rsidRPr="00D82BFD">
        <w:rPr>
          <w:lang w:val="de-DE"/>
        </w:rPr>
        <w:t>Oliver Werz</w:t>
      </w:r>
      <w:r w:rsidRPr="00D82BFD">
        <w:rPr>
          <w:vertAlign w:val="superscript"/>
          <w:lang w:val="de-DE"/>
        </w:rPr>
        <w:t>*</w:t>
      </w:r>
    </w:p>
    <w:bookmarkEnd w:id="0"/>
    <w:p w14:paraId="4F378972" w14:textId="77777777" w:rsidR="0009667B" w:rsidRDefault="0009667B" w:rsidP="0009667B">
      <w:pPr>
        <w:spacing w:before="240"/>
      </w:pPr>
      <w:r w:rsidRPr="00376CC5">
        <w:rPr>
          <w:rFonts w:cs="Times New Roman"/>
          <w:b/>
          <w:szCs w:val="24"/>
        </w:rPr>
        <w:t xml:space="preserve">* Correspondence: </w:t>
      </w:r>
      <w:r w:rsidRPr="00376CC5">
        <w:rPr>
          <w:rFonts w:cs="Times New Roman"/>
          <w:b/>
          <w:szCs w:val="24"/>
        </w:rPr>
        <w:br/>
      </w:r>
      <w:r>
        <w:rPr>
          <w:rFonts w:cs="Times New Roman"/>
          <w:szCs w:val="24"/>
        </w:rPr>
        <w:t>Paul M. Jordan and Oliver Werz</w:t>
      </w:r>
      <w:r w:rsidRPr="00376CC5">
        <w:rPr>
          <w:rFonts w:cs="Times New Roman"/>
          <w:szCs w:val="24"/>
        </w:rPr>
        <w:br/>
      </w:r>
      <w:hyperlink r:id="rId12" w:history="1">
        <w:r w:rsidRPr="003918A1">
          <w:rPr>
            <w:rStyle w:val="Hyperlink"/>
            <w:rFonts w:cs="Times New Roman"/>
            <w:szCs w:val="24"/>
          </w:rPr>
          <w:t>paul.jordan@uni-jena.de</w:t>
        </w:r>
      </w:hyperlink>
      <w:r>
        <w:rPr>
          <w:rFonts w:cs="Times New Roman"/>
          <w:szCs w:val="24"/>
        </w:rPr>
        <w:t>; oliver.werz@uni-jena.de</w:t>
      </w:r>
    </w:p>
    <w:p w14:paraId="7CE8D5F2" w14:textId="2A2180E0" w:rsidR="00D67FC5" w:rsidRDefault="00D67FC5">
      <w:pPr>
        <w:spacing w:before="0" w:after="200" w:line="276" w:lineRule="auto"/>
        <w:rPr>
          <w:rFonts w:cs="Times New Roman"/>
          <w:b/>
          <w:sz w:val="32"/>
          <w:szCs w:val="32"/>
        </w:rPr>
      </w:pPr>
      <w:r>
        <w:br w:type="page"/>
      </w:r>
    </w:p>
    <w:p w14:paraId="07970E94" w14:textId="5BD50E73" w:rsidR="00994A3D" w:rsidRDefault="00994A3D" w:rsidP="0009667B">
      <w:pPr>
        <w:pStyle w:val="berschrift2"/>
        <w:numPr>
          <w:ilvl w:val="0"/>
          <w:numId w:val="0"/>
        </w:numPr>
        <w:ind w:left="567" w:hanging="567"/>
      </w:pPr>
      <w:r w:rsidRPr="0001436A">
        <w:lastRenderedPageBreak/>
        <w:t>Supplementary</w:t>
      </w:r>
      <w:r w:rsidRPr="001549D3">
        <w:t xml:space="preserve"> Figure</w:t>
      </w:r>
    </w:p>
    <w:p w14:paraId="6B12AD56" w14:textId="2475937F" w:rsidR="00D67FC5" w:rsidRDefault="00D67FC5" w:rsidP="002B4A57">
      <w:pPr>
        <w:keepNext/>
        <w:rPr>
          <w:rFonts w:cs="Times New Roman"/>
          <w:b/>
          <w:szCs w:val="24"/>
        </w:rPr>
      </w:pPr>
      <w:r w:rsidRPr="00D67FC5">
        <w:drawing>
          <wp:inline distT="0" distB="0" distL="0" distR="0" wp14:anchorId="3E910A4F" wp14:editId="09580E28">
            <wp:extent cx="6208395" cy="5842635"/>
            <wp:effectExtent l="0" t="0" r="0" b="5715"/>
            <wp:docPr id="28609476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584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20E77" w14:textId="238DBB6A" w:rsidR="00994A3D" w:rsidRPr="002B4A57" w:rsidRDefault="00994A3D" w:rsidP="002B4A57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803D24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D67FC5" w:rsidRPr="00D67FC5">
        <w:rPr>
          <w:rFonts w:cs="Times New Roman"/>
          <w:b/>
          <w:bCs/>
          <w:szCs w:val="24"/>
        </w:rPr>
        <w:t>UP</w:t>
      </w:r>
      <w:r w:rsidR="00D67FC5" w:rsidRPr="00D67FC5">
        <w:rPr>
          <w:rFonts w:eastAsia="Times New Roman"/>
          <w:b/>
          <w:bCs/>
          <w:lang w:val="en"/>
        </w:rPr>
        <w:t xml:space="preserve">LC-MS/MS chromatograms that exemplify the identification and quantification of </w:t>
      </w:r>
      <w:r w:rsidR="00D67FC5" w:rsidRPr="00D67FC5">
        <w:rPr>
          <w:rFonts w:eastAsia="Times New Roman"/>
          <w:b/>
          <w:bCs/>
          <w:lang w:val="en"/>
        </w:rPr>
        <w:t>lipid mediators.</w:t>
      </w:r>
      <w:r w:rsidR="00D67FC5">
        <w:rPr>
          <w:rFonts w:eastAsia="Times New Roman"/>
          <w:lang w:val="en"/>
        </w:rPr>
        <w:t xml:space="preserve"> </w:t>
      </w:r>
      <w:r w:rsidR="00D67FC5" w:rsidRPr="00D67FC5">
        <w:rPr>
          <w:rFonts w:cs="Times New Roman"/>
          <w:szCs w:val="24"/>
        </w:rPr>
        <w:t>Selective ion monitoring (SIM) of RvD5 for Q1:359.2 and Q3:119.1, of RvE4 for Q1:333.0 and Q3:199.0, and of LXA</w:t>
      </w:r>
      <w:r w:rsidR="00D67FC5" w:rsidRPr="00D67FC5">
        <w:rPr>
          <w:rFonts w:cs="Times New Roman"/>
          <w:szCs w:val="24"/>
          <w:vertAlign w:val="subscript"/>
        </w:rPr>
        <w:t>4</w:t>
      </w:r>
      <w:r w:rsidR="00D67FC5" w:rsidRPr="00D67FC5">
        <w:rPr>
          <w:rFonts w:cs="Times New Roman"/>
          <w:szCs w:val="24"/>
        </w:rPr>
        <w:t xml:space="preserve"> for Q1:351.2 and Q3:115.1 in the standard mix (STD-mix) in (</w:t>
      </w:r>
      <w:r w:rsidR="00D67FC5" w:rsidRPr="00D67FC5">
        <w:rPr>
          <w:rFonts w:cs="Times New Roman"/>
          <w:b/>
          <w:bCs/>
          <w:szCs w:val="24"/>
        </w:rPr>
        <w:t>A</w:t>
      </w:r>
      <w:r w:rsidR="00D67FC5" w:rsidRPr="00D67FC5">
        <w:rPr>
          <w:rFonts w:cs="Times New Roman"/>
          <w:szCs w:val="24"/>
        </w:rPr>
        <w:t>) and in representatives samples (</w:t>
      </w:r>
      <w:r w:rsidR="00D67FC5" w:rsidRPr="00D67FC5">
        <w:rPr>
          <w:rFonts w:cs="Times New Roman"/>
          <w:b/>
          <w:bCs/>
          <w:szCs w:val="24"/>
        </w:rPr>
        <w:t>B</w:t>
      </w:r>
      <w:r w:rsidR="00D67FC5" w:rsidRPr="00D67FC5">
        <w:rPr>
          <w:rFonts w:cs="Times New Roman"/>
          <w:szCs w:val="24"/>
        </w:rPr>
        <w:t xml:space="preserve">) of M2-MDMs stimulated with BSR and </w:t>
      </w:r>
      <w:proofErr w:type="spellStart"/>
      <w:r w:rsidR="00D67FC5" w:rsidRPr="00D67FC5">
        <w:rPr>
          <w:rFonts w:cs="Times New Roman"/>
          <w:szCs w:val="24"/>
        </w:rPr>
        <w:t>Av</w:t>
      </w:r>
      <w:r w:rsidR="00D67FC5">
        <w:rPr>
          <w:rFonts w:cs="Times New Roman"/>
          <w:szCs w:val="24"/>
        </w:rPr>
        <w:t>ailOm</w:t>
      </w:r>
      <w:proofErr w:type="spellEnd"/>
      <w:r w:rsidR="00D67FC5" w:rsidRPr="00D67FC5">
        <w:rPr>
          <w:rFonts w:cs="Times New Roman"/>
          <w:szCs w:val="24"/>
        </w:rPr>
        <w:t xml:space="preserve"> for RvD5, of neutrophils stimulated with BSR and Av. for RvE4</w:t>
      </w:r>
      <w:r w:rsidR="00D67FC5">
        <w:rPr>
          <w:rFonts w:cs="Times New Roman"/>
          <w:szCs w:val="24"/>
        </w:rPr>
        <w:t>,</w:t>
      </w:r>
      <w:r w:rsidR="00D67FC5" w:rsidRPr="00D67FC5">
        <w:rPr>
          <w:rFonts w:cs="Times New Roman"/>
          <w:szCs w:val="24"/>
        </w:rPr>
        <w:t xml:space="preserve"> and </w:t>
      </w:r>
      <w:r w:rsidR="00D67FC5">
        <w:rPr>
          <w:rFonts w:cs="Times New Roman"/>
          <w:szCs w:val="24"/>
        </w:rPr>
        <w:t xml:space="preserve">of </w:t>
      </w:r>
      <w:r w:rsidR="00D67FC5" w:rsidRPr="00D67FC5">
        <w:rPr>
          <w:rFonts w:cs="Times New Roman"/>
          <w:szCs w:val="24"/>
        </w:rPr>
        <w:t>neutrophil/platelet coincubations stimulated with SACM 1% for LXA</w:t>
      </w:r>
      <w:r w:rsidR="00D67FC5" w:rsidRPr="00D67FC5">
        <w:rPr>
          <w:rFonts w:cs="Times New Roman"/>
          <w:szCs w:val="24"/>
          <w:vertAlign w:val="subscript"/>
        </w:rPr>
        <w:t>4</w:t>
      </w:r>
      <w:r w:rsidR="00D67FC5" w:rsidRPr="00D67FC5">
        <w:rPr>
          <w:rFonts w:cs="Times New Roman"/>
          <w:szCs w:val="24"/>
        </w:rPr>
        <w:t>, data are shown in Figure</w:t>
      </w:r>
      <w:r w:rsidR="00D67FC5">
        <w:rPr>
          <w:rFonts w:cs="Times New Roman"/>
          <w:szCs w:val="24"/>
        </w:rPr>
        <w:t>s</w:t>
      </w:r>
      <w:r w:rsidR="00D67FC5" w:rsidRPr="00D67FC5">
        <w:rPr>
          <w:rFonts w:cs="Times New Roman"/>
          <w:szCs w:val="24"/>
        </w:rPr>
        <w:t xml:space="preserve"> </w:t>
      </w:r>
      <w:r w:rsidR="00B92614">
        <w:rPr>
          <w:rFonts w:cs="Times New Roman"/>
          <w:szCs w:val="24"/>
        </w:rPr>
        <w:t>5</w:t>
      </w:r>
      <w:r w:rsidR="00D67FC5" w:rsidRPr="00D67FC5">
        <w:rPr>
          <w:rFonts w:cs="Times New Roman"/>
          <w:szCs w:val="24"/>
        </w:rPr>
        <w:t xml:space="preserve"> and </w:t>
      </w:r>
      <w:r w:rsidR="00B92614">
        <w:rPr>
          <w:rFonts w:cs="Times New Roman"/>
          <w:szCs w:val="24"/>
        </w:rPr>
        <w:t>6</w:t>
      </w:r>
      <w:r w:rsidR="00D67FC5" w:rsidRPr="00D67FC5">
        <w:rPr>
          <w:rFonts w:cs="Times New Roman"/>
          <w:szCs w:val="24"/>
        </w:rPr>
        <w:t xml:space="preserve">.  </w:t>
      </w:r>
    </w:p>
    <w:p w14:paraId="58F1AED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F8033F" w14:textId="77777777" w:rsidR="00CA45E6" w:rsidRDefault="00CA45E6" w:rsidP="00117666">
      <w:pPr>
        <w:spacing w:after="0"/>
      </w:pPr>
      <w:r>
        <w:separator/>
      </w:r>
    </w:p>
  </w:endnote>
  <w:endnote w:type="continuationSeparator" w:id="0">
    <w:p w14:paraId="75A2971B" w14:textId="77777777" w:rsidR="00CA45E6" w:rsidRDefault="00CA45E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Verdan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514D02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514D02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514D02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514D02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578186" w14:textId="77777777" w:rsidR="00CA45E6" w:rsidRDefault="00CA45E6" w:rsidP="00117666">
      <w:pPr>
        <w:spacing w:after="0"/>
      </w:pPr>
      <w:r>
        <w:separator/>
      </w:r>
    </w:p>
  </w:footnote>
  <w:footnote w:type="continuationSeparator" w:id="0">
    <w:p w14:paraId="5AEC8F8A" w14:textId="77777777" w:rsidR="00CA45E6" w:rsidRDefault="00CA45E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514D02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514D02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09667B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D2D47"/>
    <w:rsid w:val="003D2F2D"/>
    <w:rsid w:val="00401590"/>
    <w:rsid w:val="00447801"/>
    <w:rsid w:val="00452E9C"/>
    <w:rsid w:val="004735C8"/>
    <w:rsid w:val="004961FF"/>
    <w:rsid w:val="00514D02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5EE2"/>
    <w:rsid w:val="00AB6715"/>
    <w:rsid w:val="00B1671E"/>
    <w:rsid w:val="00B25EB8"/>
    <w:rsid w:val="00B354E1"/>
    <w:rsid w:val="00B37F4D"/>
    <w:rsid w:val="00B92614"/>
    <w:rsid w:val="00C07C73"/>
    <w:rsid w:val="00C52A7B"/>
    <w:rsid w:val="00C56BAF"/>
    <w:rsid w:val="00C679AA"/>
    <w:rsid w:val="00C75972"/>
    <w:rsid w:val="00CA45E6"/>
    <w:rsid w:val="00CC0A3A"/>
    <w:rsid w:val="00CD066B"/>
    <w:rsid w:val="00CE4FEE"/>
    <w:rsid w:val="00D67FC5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paragraph" w:styleId="berarbeitung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paul.jordan@uni-jena.de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2</Pages>
  <Words>138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Oliver Werz</cp:lastModifiedBy>
  <cp:revision>8</cp:revision>
  <cp:lastPrinted>2013-10-03T12:51:00Z</cp:lastPrinted>
  <dcterms:created xsi:type="dcterms:W3CDTF">2022-11-17T16:58:00Z</dcterms:created>
  <dcterms:modified xsi:type="dcterms:W3CDTF">2023-11-29T13:29:00Z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