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9B" w:rsidRDefault="0057037E" w:rsidP="00B7448A">
      <w:pPr>
        <w:pStyle w:val="MDPI41tablecaption"/>
        <w:ind w:left="0"/>
        <w:rPr>
          <w:rFonts w:ascii="Arial" w:hAnsi="Arial" w:cs="Arial"/>
          <w:sz w:val="20"/>
          <w:szCs w:val="20"/>
        </w:rPr>
      </w:pPr>
      <w:r w:rsidRPr="0057037E">
        <w:rPr>
          <w:rFonts w:ascii="Arial" w:hAnsi="Arial" w:cs="Arial"/>
          <w:b/>
          <w:sz w:val="20"/>
          <w:szCs w:val="20"/>
        </w:rPr>
        <w:t>Supplementary Table S</w:t>
      </w:r>
      <w:r w:rsidR="00A86D60">
        <w:rPr>
          <w:rFonts w:ascii="Arial" w:hAnsi="Arial" w:cs="Arial"/>
          <w:b/>
          <w:sz w:val="20"/>
          <w:szCs w:val="20"/>
        </w:rPr>
        <w:t>2</w:t>
      </w:r>
      <w:r w:rsidRPr="0057037E">
        <w:rPr>
          <w:rFonts w:ascii="Arial" w:hAnsi="Arial" w:cs="Arial"/>
          <w:b/>
          <w:sz w:val="20"/>
          <w:szCs w:val="20"/>
        </w:rPr>
        <w:t xml:space="preserve">. </w:t>
      </w:r>
      <w:r w:rsidR="00851371" w:rsidRPr="00851371">
        <w:rPr>
          <w:rFonts w:ascii="Arial" w:hAnsi="Arial" w:cs="Arial"/>
          <w:sz w:val="20"/>
          <w:szCs w:val="20"/>
        </w:rPr>
        <w:t>Muscle ultrasound studies</w:t>
      </w:r>
      <w:r w:rsidR="00851371">
        <w:rPr>
          <w:rFonts w:ascii="Arial" w:hAnsi="Arial" w:cs="Arial"/>
          <w:sz w:val="20"/>
          <w:szCs w:val="20"/>
        </w:rPr>
        <w:t xml:space="preserve"> associated to </w:t>
      </w:r>
      <w:r w:rsidR="00A86D60">
        <w:rPr>
          <w:rFonts w:ascii="Arial" w:hAnsi="Arial" w:cs="Arial"/>
          <w:sz w:val="20"/>
          <w:szCs w:val="20"/>
        </w:rPr>
        <w:t>frailty</w:t>
      </w:r>
      <w:r w:rsidR="00851371">
        <w:rPr>
          <w:rFonts w:ascii="Arial" w:hAnsi="Arial" w:cs="Arial"/>
          <w:sz w:val="20"/>
          <w:szCs w:val="20"/>
        </w:rPr>
        <w:t>.</w:t>
      </w:r>
    </w:p>
    <w:tbl>
      <w:tblPr>
        <w:tblStyle w:val="Gitternetztabelle1hell"/>
        <w:tblW w:w="15026" w:type="dxa"/>
        <w:tblLook w:val="04A0" w:firstRow="1" w:lastRow="0" w:firstColumn="1" w:lastColumn="0" w:noHBand="0" w:noVBand="1"/>
      </w:tblPr>
      <w:tblGrid>
        <w:gridCol w:w="1560"/>
        <w:gridCol w:w="2268"/>
        <w:gridCol w:w="3260"/>
        <w:gridCol w:w="4956"/>
        <w:gridCol w:w="2982"/>
      </w:tblGrid>
      <w:tr w:rsidR="00851371" w:rsidRPr="00404D56" w:rsidTr="00A86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57037E" w:rsidRPr="0057037E" w:rsidRDefault="0057037E" w:rsidP="00851371">
            <w:pPr>
              <w:spacing w:line="240" w:lineRule="auto"/>
              <w:jc w:val="left"/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</w:pPr>
            <w:r w:rsidRPr="0057037E"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  <w:t>Reference</w:t>
            </w:r>
          </w:p>
        </w:tc>
        <w:tc>
          <w:tcPr>
            <w:tcW w:w="2268" w:type="dxa"/>
            <w:hideMark/>
          </w:tcPr>
          <w:p w:rsidR="0057037E" w:rsidRPr="0057037E" w:rsidRDefault="00851371" w:rsidP="00851371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</w:pPr>
            <w:r w:rsidRPr="00404D56"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  <w:t>S</w:t>
            </w:r>
            <w:r w:rsidR="0057037E" w:rsidRPr="0057037E"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  <w:t xml:space="preserve">tudy </w:t>
            </w:r>
            <w:proofErr w:type="spellStart"/>
            <w:r w:rsidR="0057037E" w:rsidRPr="0057037E"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  <w:t>population</w:t>
            </w:r>
            <w:proofErr w:type="spellEnd"/>
          </w:p>
        </w:tc>
        <w:tc>
          <w:tcPr>
            <w:tcW w:w="3260" w:type="dxa"/>
            <w:hideMark/>
          </w:tcPr>
          <w:p w:rsidR="0057037E" w:rsidRPr="0057037E" w:rsidRDefault="00851371" w:rsidP="00851371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</w:pPr>
            <w:r w:rsidRPr="00404D56"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  <w:t>P</w:t>
            </w:r>
            <w:r w:rsidR="0057037E" w:rsidRPr="0057037E"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  <w:t xml:space="preserve">arameters </w:t>
            </w:r>
            <w:proofErr w:type="spellStart"/>
            <w:r w:rsidR="0057037E" w:rsidRPr="0057037E"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  <w:t>measured</w:t>
            </w:r>
            <w:proofErr w:type="spellEnd"/>
          </w:p>
        </w:tc>
        <w:tc>
          <w:tcPr>
            <w:tcW w:w="4956" w:type="dxa"/>
            <w:hideMark/>
          </w:tcPr>
          <w:p w:rsidR="0057037E" w:rsidRPr="0057037E" w:rsidRDefault="00851371" w:rsidP="00851371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noProof w:val="0"/>
                <w:szCs w:val="18"/>
                <w:lang w:eastAsia="de-DE"/>
              </w:rPr>
            </w:pPr>
            <w:r w:rsidRPr="00404D56">
              <w:rPr>
                <w:rFonts w:ascii="Arial" w:eastAsia="Times New Roman" w:hAnsi="Arial" w:cs="Arial"/>
                <w:noProof w:val="0"/>
                <w:szCs w:val="18"/>
                <w:lang w:eastAsia="de-DE"/>
              </w:rPr>
              <w:t>R</w:t>
            </w:r>
            <w:r w:rsidR="0057037E" w:rsidRPr="0057037E">
              <w:rPr>
                <w:rFonts w:ascii="Arial" w:eastAsia="Times New Roman" w:hAnsi="Arial" w:cs="Arial"/>
                <w:noProof w:val="0"/>
                <w:szCs w:val="18"/>
                <w:lang w:eastAsia="de-DE"/>
              </w:rPr>
              <w:t>esults related to muscle ultrasound</w:t>
            </w:r>
          </w:p>
        </w:tc>
        <w:tc>
          <w:tcPr>
            <w:tcW w:w="2982" w:type="dxa"/>
            <w:hideMark/>
          </w:tcPr>
          <w:p w:rsidR="0057037E" w:rsidRPr="0057037E" w:rsidRDefault="00851371" w:rsidP="00851371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</w:pPr>
            <w:proofErr w:type="spellStart"/>
            <w:r w:rsidRPr="00404D56"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  <w:t>C</w:t>
            </w:r>
            <w:r w:rsidR="0057037E" w:rsidRPr="0057037E">
              <w:rPr>
                <w:rFonts w:ascii="Arial" w:eastAsia="Times New Roman" w:hAnsi="Arial" w:cs="Arial"/>
                <w:noProof w:val="0"/>
                <w:szCs w:val="18"/>
                <w:lang w:val="de-DE" w:eastAsia="de-DE"/>
              </w:rPr>
              <w:t>onclusions</w:t>
            </w:r>
            <w:proofErr w:type="spellEnd"/>
          </w:p>
        </w:tc>
      </w:tr>
      <w:tr w:rsidR="00AD7615" w:rsidRPr="00A86D60" w:rsidTr="00AD7615">
        <w:trPr>
          <w:trHeight w:val="1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AD7615" w:rsidRPr="00A86D60" w:rsidRDefault="00AD7615" w:rsidP="001104CF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6D60">
              <w:rPr>
                <w:rFonts w:ascii="Arial" w:hAnsi="Arial" w:cs="Arial"/>
                <w:sz w:val="18"/>
                <w:szCs w:val="18"/>
                <w:lang w:val="de-DE"/>
              </w:rPr>
              <w:t>Shah et al, 2019 (110)</w:t>
            </w:r>
          </w:p>
        </w:tc>
        <w:tc>
          <w:tcPr>
            <w:tcW w:w="2268" w:type="dxa"/>
            <w:hideMark/>
          </w:tcPr>
          <w:p w:rsidR="00AD7615" w:rsidRPr="00A86D60" w:rsidRDefault="00AD7615" w:rsidP="00AD761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65 adults </w:t>
            </w:r>
            <w:r>
              <w:rPr>
                <w:rFonts w:ascii="Arial" w:hAnsi="Arial" w:cs="Arial"/>
                <w:sz w:val="18"/>
                <w:szCs w:val="18"/>
              </w:rPr>
              <w:t xml:space="preserve">≥ </w:t>
            </w:r>
            <w:r w:rsidRPr="00A86D60">
              <w:rPr>
                <w:rFonts w:ascii="Arial" w:hAnsi="Arial" w:cs="Arial"/>
                <w:sz w:val="18"/>
                <w:szCs w:val="18"/>
              </w:rPr>
              <w:t>65 y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 w:rsidRPr="00A86D60">
              <w:rPr>
                <w:rFonts w:ascii="Arial" w:hAnsi="Arial" w:cs="Arial"/>
                <w:sz w:val="18"/>
                <w:szCs w:val="18"/>
              </w:rPr>
              <w:t>rs with blunt trauma and in</w:t>
            </w:r>
            <w:r>
              <w:rPr>
                <w:rFonts w:ascii="Arial" w:hAnsi="Arial" w:cs="Arial"/>
                <w:sz w:val="18"/>
                <w:szCs w:val="18"/>
              </w:rPr>
              <w:t>jury severity scores&lt;9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hideMark/>
          </w:tcPr>
          <w:p w:rsidR="00AD7615" w:rsidRPr="00AD7615" w:rsidRDefault="00AD7615" w:rsidP="00AD7615">
            <w:pPr>
              <w:pStyle w:val="Listenabsatz"/>
              <w:numPr>
                <w:ilvl w:val="0"/>
                <w:numId w:val="30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7615">
              <w:rPr>
                <w:rFonts w:ascii="Arial" w:hAnsi="Arial" w:cs="Arial"/>
                <w:sz w:val="18"/>
                <w:szCs w:val="18"/>
              </w:rPr>
              <w:t>FRAIL scale</w:t>
            </w:r>
          </w:p>
          <w:p w:rsidR="00AD7615" w:rsidRPr="00AD7615" w:rsidRDefault="00AD7615" w:rsidP="00AD7615">
            <w:pPr>
              <w:pStyle w:val="Listenabsatz"/>
              <w:numPr>
                <w:ilvl w:val="0"/>
                <w:numId w:val="30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7615">
              <w:rPr>
                <w:rFonts w:ascii="Arial" w:hAnsi="Arial" w:cs="Arial"/>
                <w:sz w:val="18"/>
                <w:szCs w:val="18"/>
              </w:rPr>
              <w:t>physician-based and subject/surrogate-based CFS9</w:t>
            </w:r>
          </w:p>
          <w:p w:rsidR="00AD7615" w:rsidRPr="00AD7615" w:rsidRDefault="00AD7615" w:rsidP="00AD7615">
            <w:pPr>
              <w:pStyle w:val="Listenabsatz"/>
              <w:numPr>
                <w:ilvl w:val="0"/>
                <w:numId w:val="30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7615">
              <w:rPr>
                <w:rFonts w:ascii="Arial" w:hAnsi="Arial" w:cs="Arial"/>
                <w:sz w:val="18"/>
                <w:szCs w:val="18"/>
              </w:rPr>
              <w:t>Mid-upper arm circumference (MUAC) and grip strength</w:t>
            </w:r>
          </w:p>
          <w:p w:rsidR="00AD7615" w:rsidRPr="00AD7615" w:rsidRDefault="00AD7615" w:rsidP="00AD7615">
            <w:pPr>
              <w:pStyle w:val="Listenabsatz"/>
              <w:numPr>
                <w:ilvl w:val="0"/>
                <w:numId w:val="30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7615">
              <w:rPr>
                <w:rFonts w:ascii="Arial" w:hAnsi="Arial" w:cs="Arial"/>
                <w:sz w:val="18"/>
                <w:szCs w:val="18"/>
              </w:rPr>
              <w:t>Muscle ultrasound: muscle thickness (limbs and abdominal wall). </w:t>
            </w:r>
          </w:p>
        </w:tc>
        <w:tc>
          <w:tcPr>
            <w:tcW w:w="4956" w:type="dxa"/>
            <w:hideMark/>
          </w:tcPr>
          <w:p w:rsidR="00AD7615" w:rsidRPr="00A86D60" w:rsidRDefault="00AD7615" w:rsidP="00AD761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Muscle ultrasound of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combined biceps and quadriceps thickness showed an </w:t>
            </w:r>
            <w:r>
              <w:rPr>
                <w:rFonts w:ascii="Arial" w:hAnsi="Arial" w:cs="Arial"/>
                <w:sz w:val="18"/>
                <w:szCs w:val="18"/>
              </w:rPr>
              <w:t>AUC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of 0.75 compared to the reference standard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82" w:type="dxa"/>
            <w:hideMark/>
          </w:tcPr>
          <w:p w:rsidR="00AD7615" w:rsidRPr="00A86D60" w:rsidRDefault="00AD7615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The CFS9 has excellent negative predictive value in ruling out frailty. Ultrasound of combined biceps and quadriceps has modest concordance as an alternative in trauma patients who cannot provide a history.</w:t>
            </w:r>
          </w:p>
        </w:tc>
      </w:tr>
      <w:tr w:rsidR="00A86D60" w:rsidRPr="00A86D60" w:rsidTr="00A86D60">
        <w:trPr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A86D60" w:rsidRPr="00A86D60" w:rsidRDefault="00A86D60" w:rsidP="001104C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6D60">
              <w:rPr>
                <w:rFonts w:ascii="Arial" w:hAnsi="Arial" w:cs="Arial"/>
                <w:sz w:val="18"/>
                <w:szCs w:val="18"/>
                <w:lang w:val="de-DE"/>
              </w:rPr>
              <w:t>Salim et al., 2020 (108)</w:t>
            </w:r>
          </w:p>
        </w:tc>
        <w:tc>
          <w:tcPr>
            <w:tcW w:w="2268" w:type="dxa"/>
            <w:hideMark/>
          </w:tcPr>
          <w:p w:rsidR="00A86D60" w:rsidRPr="00A86D60" w:rsidRDefault="00A86D60" w:rsidP="00706E1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49 patients </w:t>
            </w:r>
            <w:r>
              <w:rPr>
                <w:rFonts w:ascii="Arial" w:hAnsi="Arial" w:cs="Arial"/>
                <w:sz w:val="18"/>
                <w:szCs w:val="18"/>
              </w:rPr>
              <w:t>&gt;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64 </w:t>
            </w:r>
            <w:r>
              <w:rPr>
                <w:rFonts w:ascii="Arial" w:hAnsi="Arial" w:cs="Arial"/>
                <w:sz w:val="18"/>
                <w:szCs w:val="18"/>
              </w:rPr>
              <w:t>years</w:t>
            </w:r>
            <w:r w:rsidRPr="00A86D60">
              <w:rPr>
                <w:rFonts w:ascii="Arial" w:hAnsi="Arial" w:cs="Arial"/>
                <w:sz w:val="18"/>
                <w:szCs w:val="18"/>
              </w:rPr>
              <w:t>, referred to the acute care surgery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D60">
              <w:rPr>
                <w:rFonts w:ascii="Arial" w:hAnsi="Arial" w:cs="Arial"/>
                <w:sz w:val="18"/>
                <w:szCs w:val="18"/>
              </w:rPr>
              <w:t>service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86D60">
              <w:rPr>
                <w:rFonts w:ascii="Arial" w:hAnsi="Arial" w:cs="Arial"/>
                <w:sz w:val="18"/>
                <w:szCs w:val="18"/>
              </w:rPr>
              <w:t>76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 w:rsidRPr="00A86D6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years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, 34% (n = 17) </w:t>
            </w:r>
            <w:r>
              <w:rPr>
                <w:rFonts w:ascii="Arial" w:hAnsi="Arial" w:cs="Arial"/>
                <w:sz w:val="18"/>
                <w:szCs w:val="18"/>
              </w:rPr>
              <w:t>male)</w:t>
            </w:r>
          </w:p>
        </w:tc>
        <w:tc>
          <w:tcPr>
            <w:tcW w:w="3260" w:type="dxa"/>
            <w:hideMark/>
          </w:tcPr>
          <w:p w:rsidR="00A86D60" w:rsidRPr="00A86D60" w:rsidRDefault="00A86D60" w:rsidP="001104CF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Muscle ultrasound: thigh muscle thickness was standardized to patient thigh length (U/S</w:t>
            </w:r>
            <w:r w:rsidRPr="00A86D60">
              <w:rPr>
                <w:rFonts w:ascii="Arial" w:hAnsi="Arial" w:cs="Arial"/>
                <w:sz w:val="18"/>
                <w:szCs w:val="18"/>
                <w:vertAlign w:val="subscript"/>
              </w:rPr>
              <w:t>whole/L</w:t>
            </w:r>
            <w:r w:rsidRPr="00A86D6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86D60" w:rsidRPr="00A86D60" w:rsidRDefault="00A86D60" w:rsidP="001104CF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CT: skeletal muscle index (SMI)</w:t>
            </w:r>
          </w:p>
          <w:p w:rsidR="00A86D60" w:rsidRPr="00A86D60" w:rsidRDefault="00A86D60" w:rsidP="001104CF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Canadian Study of Healthy Aging Clinical Frailty Scale.</w:t>
            </w:r>
          </w:p>
        </w:tc>
        <w:tc>
          <w:tcPr>
            <w:tcW w:w="4956" w:type="dxa"/>
            <w:hideMark/>
          </w:tcPr>
          <w:p w:rsidR="00A86D60" w:rsidRDefault="00A86D60" w:rsidP="00110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significant positive correlation between thigh U/S</w:t>
            </w:r>
            <w:r w:rsidRPr="00A86D60">
              <w:rPr>
                <w:rFonts w:ascii="Arial" w:hAnsi="Arial" w:cs="Arial"/>
                <w:sz w:val="18"/>
                <w:szCs w:val="18"/>
                <w:vertAlign w:val="subscript"/>
              </w:rPr>
              <w:t>whole/L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/L and CT SMI</w:t>
            </w:r>
          </w:p>
          <w:p w:rsidR="00A86D60" w:rsidRDefault="00A86D60" w:rsidP="00110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inverse correlation between thigh U/S</w:t>
            </w:r>
            <w:r w:rsidRPr="00A86D60">
              <w:rPr>
                <w:rFonts w:ascii="Arial" w:hAnsi="Arial" w:cs="Arial"/>
                <w:sz w:val="18"/>
                <w:szCs w:val="18"/>
                <w:vertAlign w:val="subscript"/>
              </w:rPr>
              <w:t>whole/L</w:t>
            </w:r>
            <w:r>
              <w:rPr>
                <w:rFonts w:ascii="Arial" w:hAnsi="Arial" w:cs="Arial"/>
                <w:sz w:val="18"/>
                <w:szCs w:val="18"/>
              </w:rPr>
              <w:t>/L and frailty score</w:t>
            </w:r>
          </w:p>
          <w:p w:rsidR="00A86D60" w:rsidRPr="00A86D60" w:rsidRDefault="00A86D60" w:rsidP="00110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association between U/S</w:t>
            </w:r>
            <w:r w:rsidRPr="00A86D60">
              <w:rPr>
                <w:rFonts w:ascii="Arial" w:hAnsi="Arial" w:cs="Arial"/>
                <w:sz w:val="18"/>
                <w:szCs w:val="18"/>
                <w:vertAlign w:val="subscript"/>
              </w:rPr>
              <w:t>whole/L</w:t>
            </w:r>
            <w:r w:rsidRPr="00A86D60">
              <w:rPr>
                <w:rFonts w:ascii="Arial" w:hAnsi="Arial" w:cs="Arial"/>
                <w:sz w:val="18"/>
                <w:szCs w:val="18"/>
              </w:rPr>
              <w:t>/L and postoperative major complications</w:t>
            </w:r>
          </w:p>
        </w:tc>
        <w:tc>
          <w:tcPr>
            <w:tcW w:w="2982" w:type="dxa"/>
            <w:hideMark/>
          </w:tcPr>
          <w:p w:rsidR="00A86D60" w:rsidRPr="00A86D60" w:rsidRDefault="00A86D60" w:rsidP="00110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U/S</w:t>
            </w:r>
            <w:r w:rsidRPr="00A86D60">
              <w:rPr>
                <w:rFonts w:ascii="Arial" w:hAnsi="Arial" w:cs="Arial"/>
                <w:sz w:val="18"/>
                <w:szCs w:val="18"/>
                <w:vertAlign w:val="subscript"/>
              </w:rPr>
              <w:t>whole/L</w:t>
            </w:r>
            <w:r>
              <w:rPr>
                <w:rFonts w:ascii="Arial" w:hAnsi="Arial" w:cs="Arial"/>
                <w:sz w:val="18"/>
                <w:szCs w:val="18"/>
              </w:rPr>
              <w:t xml:space="preserve">/L index </w:t>
            </w:r>
            <w:r w:rsidRPr="00A86D60">
              <w:rPr>
                <w:rFonts w:ascii="Arial" w:hAnsi="Arial" w:cs="Arial"/>
                <w:sz w:val="18"/>
                <w:szCs w:val="18"/>
              </w:rPr>
              <w:t>can identify elderly frail patients with sarcopenia</w:t>
            </w:r>
          </w:p>
        </w:tc>
      </w:tr>
      <w:tr w:rsidR="00A86D60" w:rsidRPr="00A86D60" w:rsidTr="00A86D60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A86D60" w:rsidRPr="00A86D60" w:rsidRDefault="00A86D60" w:rsidP="001104C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6D60">
              <w:rPr>
                <w:rFonts w:ascii="Arial" w:hAnsi="Arial" w:cs="Arial"/>
                <w:sz w:val="18"/>
                <w:szCs w:val="18"/>
                <w:lang w:val="de-DE"/>
              </w:rPr>
              <w:t>Madden et al., 2021 (107)</w:t>
            </w:r>
          </w:p>
        </w:tc>
        <w:tc>
          <w:tcPr>
            <w:tcW w:w="2268" w:type="dxa"/>
            <w:hideMark/>
          </w:tcPr>
          <w:p w:rsidR="00A86D60" w:rsidRPr="00A86D60" w:rsidRDefault="00A86D60" w:rsidP="00110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150 older adults ≥ 65</w:t>
            </w:r>
            <w:r>
              <w:rPr>
                <w:rFonts w:ascii="Arial" w:hAnsi="Arial" w:cs="Arial"/>
                <w:sz w:val="18"/>
                <w:szCs w:val="18"/>
              </w:rPr>
              <w:t xml:space="preserve"> years (</w:t>
            </w:r>
            <w:r w:rsidR="00706E13">
              <w:rPr>
                <w:rFonts w:ascii="Arial" w:hAnsi="Arial" w:cs="Arial"/>
                <w:sz w:val="18"/>
                <w:szCs w:val="18"/>
              </w:rPr>
              <w:t>80.0±</w:t>
            </w:r>
            <w:r w:rsidRPr="00A86D60">
              <w:rPr>
                <w:rFonts w:ascii="Arial" w:hAnsi="Arial" w:cs="Arial"/>
                <w:sz w:val="18"/>
                <w:szCs w:val="18"/>
              </w:rPr>
              <w:t>0.5 years, 66 women, 84 men) </w:t>
            </w:r>
          </w:p>
        </w:tc>
        <w:tc>
          <w:tcPr>
            <w:tcW w:w="3260" w:type="dxa"/>
            <w:hideMark/>
          </w:tcPr>
          <w:p w:rsidR="00A86D60" w:rsidRPr="00A86D60" w:rsidRDefault="00A86D60" w:rsidP="001104CF">
            <w:pPr>
              <w:pStyle w:val="Listenabsatz"/>
              <w:numPr>
                <w:ilvl w:val="0"/>
                <w:numId w:val="27"/>
              </w:numPr>
              <w:spacing w:line="240" w:lineRule="auto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Muscle ultrasound: vastus medialis muscle thickness (MT)</w:t>
            </w:r>
          </w:p>
          <w:p w:rsidR="00A86D60" w:rsidRPr="00A86D60" w:rsidRDefault="00A86D60" w:rsidP="001104CF">
            <w:pPr>
              <w:pStyle w:val="Listenabsatz"/>
              <w:numPr>
                <w:ilvl w:val="0"/>
                <w:numId w:val="27"/>
              </w:numPr>
              <w:spacing w:line="240" w:lineRule="auto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Cardiovascular Health Study (CHS) index</w:t>
            </w:r>
          </w:p>
          <w:p w:rsidR="00A86D60" w:rsidRPr="00A86D60" w:rsidRDefault="00A86D60" w:rsidP="001104CF">
            <w:pPr>
              <w:pStyle w:val="Listenabsatz"/>
              <w:numPr>
                <w:ilvl w:val="0"/>
                <w:numId w:val="27"/>
              </w:numPr>
              <w:spacing w:line="240" w:lineRule="auto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Rockwood Clinical Frailty Scale</w:t>
            </w:r>
          </w:p>
        </w:tc>
        <w:tc>
          <w:tcPr>
            <w:tcW w:w="4956" w:type="dxa"/>
            <w:hideMark/>
          </w:tcPr>
          <w:p w:rsidR="00A86D60" w:rsidRPr="00A86D60" w:rsidRDefault="00A86D60" w:rsidP="00110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weak inverse association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of MT 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with the CHS index (Standardized </w:t>
            </w:r>
            <w:r w:rsidRPr="00A86D60">
              <w:rPr>
                <w:rFonts w:ascii="Arial" w:hAnsi="Arial" w:cs="Arial"/>
                <w:sz w:val="18"/>
                <w:szCs w:val="18"/>
                <w:lang w:val="de-DE"/>
              </w:rPr>
              <w:t>β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= - 0.180 ± 0.080, R2 = 0.06, p = 0.027) and no association with the RCFS (p = 0.776).</w:t>
            </w:r>
          </w:p>
        </w:tc>
        <w:tc>
          <w:tcPr>
            <w:tcW w:w="2982" w:type="dxa"/>
            <w:hideMark/>
          </w:tcPr>
          <w:p w:rsidR="00A86D60" w:rsidRPr="00A86D60" w:rsidRDefault="00A86D60" w:rsidP="00110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caution must be used in trying to screen for frailty with a single ultrasonic measure. </w:t>
            </w:r>
          </w:p>
        </w:tc>
      </w:tr>
      <w:tr w:rsidR="00A86D60" w:rsidRPr="00A86D60" w:rsidTr="00A86D60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A86D60" w:rsidRPr="00A86D60" w:rsidRDefault="00A86D60" w:rsidP="00A86D60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6D60">
              <w:rPr>
                <w:rFonts w:ascii="Arial" w:hAnsi="Arial" w:cs="Arial"/>
                <w:sz w:val="18"/>
                <w:szCs w:val="18"/>
                <w:lang w:val="de-DE"/>
              </w:rPr>
              <w:t>Bencivenga et al., 2022 (49)</w:t>
            </w:r>
          </w:p>
        </w:tc>
        <w:tc>
          <w:tcPr>
            <w:tcW w:w="2268" w:type="dxa"/>
            <w:hideMark/>
          </w:tcPr>
          <w:p w:rsidR="00A86D60" w:rsidRPr="00A86D60" w:rsidRDefault="00A86D60" w:rsidP="00A86D6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6D60">
              <w:rPr>
                <w:rFonts w:ascii="Arial" w:hAnsi="Arial" w:cs="Arial"/>
                <w:sz w:val="18"/>
                <w:szCs w:val="18"/>
                <w:lang w:val="de-DE"/>
              </w:rPr>
              <w:t>136 patients aged ≥65 years</w:t>
            </w:r>
          </w:p>
        </w:tc>
        <w:tc>
          <w:tcPr>
            <w:tcW w:w="3260" w:type="dxa"/>
            <w:hideMark/>
          </w:tcPr>
          <w:p w:rsidR="00A86D60" w:rsidRPr="00A86D60" w:rsidRDefault="00A86D60" w:rsidP="00A86D60">
            <w:pPr>
              <w:pStyle w:val="Listenabsatz"/>
              <w:numPr>
                <w:ilvl w:val="0"/>
                <w:numId w:val="26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Comprehensive geriatric assessment, frailty index (FI)</w:t>
            </w:r>
          </w:p>
          <w:p w:rsidR="00A86D60" w:rsidRPr="00A86D60" w:rsidRDefault="00A86D60" w:rsidP="00A86D60">
            <w:pPr>
              <w:pStyle w:val="Listenabsatz"/>
              <w:numPr>
                <w:ilvl w:val="0"/>
                <w:numId w:val="26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Muscle ultrasound: Muscle thicknesses (MT) of rectus femoris plus vastus intermedius </w:t>
            </w:r>
          </w:p>
        </w:tc>
        <w:tc>
          <w:tcPr>
            <w:tcW w:w="4956" w:type="dxa"/>
            <w:hideMark/>
          </w:tcPr>
          <w:p w:rsidR="00A86D60" w:rsidRDefault="00A86D60" w:rsidP="00A86D6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MT of rectus femoris plus vastus intermedius: 29.27 (23.08-35.7) mm. </w:t>
            </w:r>
          </w:p>
          <w:p w:rsidR="00A86D60" w:rsidRPr="00A86D60" w:rsidRDefault="00A86D60" w:rsidP="00A86D6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At multivariable regression analysis, FI resulted significantly and independently associated with age and MT</w:t>
            </w:r>
          </w:p>
        </w:tc>
        <w:tc>
          <w:tcPr>
            <w:tcW w:w="2982" w:type="dxa"/>
            <w:hideMark/>
          </w:tcPr>
          <w:p w:rsidR="00A86D60" w:rsidRPr="00A86D60" w:rsidRDefault="00A86D60" w:rsidP="00A86D6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muscle ultrasound may </w:t>
            </w:r>
            <w:r>
              <w:rPr>
                <w:rFonts w:ascii="Arial" w:hAnsi="Arial" w:cs="Arial"/>
                <w:sz w:val="18"/>
                <w:szCs w:val="18"/>
              </w:rPr>
              <w:t>be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an additional imaging domain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86D60">
              <w:rPr>
                <w:rFonts w:ascii="Arial" w:hAnsi="Arial" w:cs="Arial"/>
                <w:sz w:val="18"/>
                <w:szCs w:val="18"/>
              </w:rPr>
              <w:t>n the assessment of frailty</w:t>
            </w:r>
          </w:p>
        </w:tc>
      </w:tr>
      <w:tr w:rsidR="00AD7615" w:rsidRPr="00A86D60" w:rsidTr="00AD7615">
        <w:trPr>
          <w:trHeight w:val="2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AD7615" w:rsidRPr="00A86D60" w:rsidRDefault="00AD7615" w:rsidP="001104CF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6D60">
              <w:rPr>
                <w:rFonts w:ascii="Arial" w:hAnsi="Arial" w:cs="Arial"/>
                <w:sz w:val="18"/>
                <w:szCs w:val="18"/>
                <w:lang w:val="de-DE"/>
              </w:rPr>
              <w:t>Canales et al., 2022 (109)</w:t>
            </w:r>
          </w:p>
        </w:tc>
        <w:tc>
          <w:tcPr>
            <w:tcW w:w="2268" w:type="dxa"/>
            <w:hideMark/>
          </w:tcPr>
          <w:p w:rsidR="00AD7615" w:rsidRDefault="00AD7615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 patients scheduled for major </w:t>
            </w:r>
            <w:r w:rsidRPr="00A86D60">
              <w:rPr>
                <w:rFonts w:ascii="Arial" w:hAnsi="Arial" w:cs="Arial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 xml:space="preserve">rgery (18 frail patients, </w:t>
            </w:r>
            <w:r w:rsidRPr="00A86D60">
              <w:rPr>
                <w:rFonts w:ascii="Arial" w:hAnsi="Arial" w:cs="Arial"/>
                <w:sz w:val="18"/>
                <w:szCs w:val="18"/>
              </w:rPr>
              <w:t>49 to 95</w:t>
            </w:r>
            <w:r>
              <w:rPr>
                <w:rFonts w:ascii="Arial" w:hAnsi="Arial" w:cs="Arial"/>
                <w:sz w:val="18"/>
                <w:szCs w:val="18"/>
              </w:rPr>
              <w:t xml:space="preserve"> years, and 14 non-frail patients, 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AD7615">
              <w:rPr>
                <w:rFonts w:ascii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Pr="00AD7615">
              <w:rPr>
                <w:rFonts w:ascii="Arial" w:hAnsi="Arial" w:cs="Arial"/>
                <w:sz w:val="18"/>
                <w:szCs w:val="18"/>
              </w:rPr>
              <w:t xml:space="preserve"> years)</w:t>
            </w:r>
          </w:p>
          <w:p w:rsidR="00AD7615" w:rsidRDefault="00AD7615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and 20 healthy volunteers </w:t>
            </w:r>
            <w:r w:rsidRPr="00A86D60">
              <w:rPr>
                <w:rFonts w:ascii="Arial" w:hAnsi="Arial" w:cs="Arial"/>
                <w:sz w:val="18"/>
                <w:szCs w:val="18"/>
              </w:rPr>
              <w:t>(28 to 61</w:t>
            </w:r>
            <w:r>
              <w:rPr>
                <w:rFonts w:ascii="Arial" w:hAnsi="Arial" w:cs="Arial"/>
                <w:sz w:val="18"/>
                <w:szCs w:val="18"/>
              </w:rPr>
              <w:t xml:space="preserve"> years</w:t>
            </w:r>
            <w:r w:rsidRPr="00A86D6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D7615" w:rsidRPr="00A86D60" w:rsidRDefault="00AD7615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AD7615" w:rsidRPr="00A86D60" w:rsidRDefault="00AD7615" w:rsidP="001104CF">
            <w:pPr>
              <w:pStyle w:val="Listenabsatz"/>
              <w:numPr>
                <w:ilvl w:val="0"/>
                <w:numId w:val="29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Muscle ultrasound: quadriceps and rectus femoris</w:t>
            </w:r>
          </w:p>
          <w:p w:rsidR="00AD7615" w:rsidRPr="00A86D60" w:rsidRDefault="00AD7615" w:rsidP="001104CF">
            <w:pPr>
              <w:pStyle w:val="Listenabsatz"/>
              <w:numPr>
                <w:ilvl w:val="0"/>
                <w:numId w:val="29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Computed tomography scans: psoas muscle area</w:t>
            </w:r>
          </w:p>
          <w:p w:rsidR="00AD7615" w:rsidRPr="00A86D60" w:rsidRDefault="00AD7615" w:rsidP="001104CF">
            <w:pPr>
              <w:pStyle w:val="Listenabsatz"/>
              <w:numPr>
                <w:ilvl w:val="0"/>
                <w:numId w:val="29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Fried phenotype assessment.  </w:t>
            </w:r>
          </w:p>
        </w:tc>
        <w:tc>
          <w:tcPr>
            <w:tcW w:w="4956" w:type="dxa"/>
            <w:hideMark/>
          </w:tcPr>
          <w:p w:rsidR="00AD7615" w:rsidRDefault="00AD7615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quadriceps depth and psoas muscle area </w:t>
            </w:r>
            <w:r>
              <w:rPr>
                <w:rFonts w:ascii="Arial" w:hAnsi="Arial" w:cs="Arial"/>
                <w:sz w:val="18"/>
                <w:szCs w:val="18"/>
              </w:rPr>
              <w:t>were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able to identify frailty (</w:t>
            </w:r>
            <w:r>
              <w:rPr>
                <w:rFonts w:ascii="Arial" w:hAnsi="Arial" w:cs="Arial"/>
                <w:sz w:val="18"/>
                <w:szCs w:val="18"/>
              </w:rPr>
              <w:t>AUC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0.80 and 0.88, respectively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D7615" w:rsidRPr="00A86D60" w:rsidRDefault="00AD7615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cross-sectional area of the rectus femoris is less promising (</w:t>
            </w:r>
            <w:r>
              <w:rPr>
                <w:rFonts w:ascii="Arial" w:hAnsi="Arial" w:cs="Arial"/>
                <w:sz w:val="18"/>
                <w:szCs w:val="18"/>
              </w:rPr>
              <w:t>AUC 0.70)</w:t>
            </w:r>
          </w:p>
        </w:tc>
        <w:tc>
          <w:tcPr>
            <w:tcW w:w="2982" w:type="dxa"/>
            <w:hideMark/>
          </w:tcPr>
          <w:p w:rsidR="00AD7615" w:rsidRPr="00A86D60" w:rsidRDefault="00AD7615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reoperative ultrasound measurements of quadriceps depth </w:t>
            </w:r>
            <w:r>
              <w:rPr>
                <w:rFonts w:ascii="Arial" w:hAnsi="Arial" w:cs="Arial"/>
                <w:sz w:val="18"/>
                <w:szCs w:val="18"/>
              </w:rPr>
              <w:t>is promising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in discriminating between frail and not-frail patients before surger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0E1D21" w:rsidRPr="000E1D21" w:rsidTr="001104CF">
        <w:trPr>
          <w:trHeight w:val="2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0E1D21" w:rsidRPr="00A86D60" w:rsidRDefault="000E1D21" w:rsidP="001104CF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6D60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Benton et al., 2022 (112)</w:t>
            </w:r>
          </w:p>
        </w:tc>
        <w:tc>
          <w:tcPr>
            <w:tcW w:w="2268" w:type="dxa"/>
            <w:hideMark/>
          </w:tcPr>
          <w:p w:rsidR="000E1D21" w:rsidRPr="00A86D60" w:rsidRDefault="000E1D21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6D60">
              <w:rPr>
                <w:rFonts w:ascii="Arial" w:hAnsi="Arial" w:cs="Arial"/>
                <w:sz w:val="18"/>
                <w:szCs w:val="18"/>
                <w:lang w:val="de-DE"/>
              </w:rPr>
              <w:t>43 patients (mean age of 78.5)</w:t>
            </w:r>
          </w:p>
        </w:tc>
        <w:tc>
          <w:tcPr>
            <w:tcW w:w="3260" w:type="dxa"/>
            <w:hideMark/>
          </w:tcPr>
          <w:p w:rsidR="000E1D21" w:rsidRPr="00706E13" w:rsidRDefault="000E1D21" w:rsidP="00706E13">
            <w:pPr>
              <w:pStyle w:val="Listenabsatz"/>
              <w:numPr>
                <w:ilvl w:val="0"/>
                <w:numId w:val="32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06E13">
              <w:rPr>
                <w:rFonts w:ascii="Arial" w:hAnsi="Arial" w:cs="Arial"/>
                <w:sz w:val="18"/>
                <w:szCs w:val="18"/>
              </w:rPr>
              <w:t xml:space="preserve">Fatigue, Resistance, Ambulation, Illness and Loss of Weight (FRAIL) scale </w:t>
            </w:r>
          </w:p>
          <w:p w:rsidR="000E1D21" w:rsidRPr="00706E13" w:rsidRDefault="000E1D21" w:rsidP="00706E13">
            <w:pPr>
              <w:pStyle w:val="Listenabsatz"/>
              <w:numPr>
                <w:ilvl w:val="0"/>
                <w:numId w:val="32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06E13">
              <w:rPr>
                <w:rFonts w:ascii="Arial" w:hAnsi="Arial" w:cs="Arial"/>
                <w:sz w:val="18"/>
                <w:szCs w:val="18"/>
              </w:rPr>
              <w:t>Muscle ultrasound: upper arm muscles, quadriceps muscles, and abdominal wall muscles thickness</w:t>
            </w:r>
          </w:p>
        </w:tc>
        <w:tc>
          <w:tcPr>
            <w:tcW w:w="4956" w:type="dxa"/>
            <w:hideMark/>
          </w:tcPr>
          <w:p w:rsidR="000E1D21" w:rsidRDefault="000E1D21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Ultrasound measurements of the three muscle groups were not significantly different between frail and non-frail groups. Frail participants had greater bicep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asymmetry (difference of 0.47 cm vs 0.24 cm, p &lt;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86D60">
              <w:rPr>
                <w:rFonts w:ascii="Arial" w:hAnsi="Arial" w:cs="Arial"/>
                <w:sz w:val="18"/>
                <w:szCs w:val="18"/>
              </w:rPr>
              <w:t>.01).</w:t>
            </w:r>
          </w:p>
          <w:p w:rsidR="000E1D21" w:rsidRDefault="000E1D21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 A predictive logistic regression model using average quadriceps thickness and biceps asymmetry was found to identify frail patients (AUC of 0.816). </w:t>
            </w:r>
          </w:p>
          <w:p w:rsidR="000E1D21" w:rsidRDefault="000E1D21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Participants with subsequent falls had smaller quadriceps (1.18 cm smaller, p &lt;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.01). </w:t>
            </w:r>
          </w:p>
          <w:p w:rsidR="000E1D21" w:rsidRPr="00A86D60" w:rsidRDefault="000E1D21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Subsequently hospitalized patients were found to have smaller quadriceps muscles (0.54 cm smaller, p =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.03) and abdominal wall muscles (0.25 cm smaller, p =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86D60">
              <w:rPr>
                <w:rFonts w:ascii="Arial" w:hAnsi="Arial" w:cs="Arial"/>
                <w:sz w:val="18"/>
                <w:szCs w:val="18"/>
              </w:rPr>
              <w:t>.01).</w:t>
            </w:r>
          </w:p>
        </w:tc>
        <w:tc>
          <w:tcPr>
            <w:tcW w:w="2982" w:type="dxa"/>
            <w:hideMark/>
          </w:tcPr>
          <w:p w:rsidR="000E1D21" w:rsidRPr="000E1D21" w:rsidRDefault="000E1D21" w:rsidP="001104C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Sonographic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measurements of sarcopenia in older patients had mild to moderate associations with frailty, falls and subsequent hospitalizations. </w:t>
            </w:r>
          </w:p>
        </w:tc>
      </w:tr>
      <w:tr w:rsidR="00A86D60" w:rsidRPr="000E1D21" w:rsidTr="000E1D21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A86D60" w:rsidRPr="00A86D60" w:rsidRDefault="00A86D60" w:rsidP="00A86D60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86D60">
              <w:rPr>
                <w:rFonts w:ascii="Arial" w:hAnsi="Arial" w:cs="Arial"/>
                <w:sz w:val="18"/>
                <w:szCs w:val="18"/>
                <w:lang w:val="de-DE"/>
              </w:rPr>
              <w:t>Anderson et al., 2023 (111)</w:t>
            </w:r>
          </w:p>
        </w:tc>
        <w:tc>
          <w:tcPr>
            <w:tcW w:w="2268" w:type="dxa"/>
            <w:hideMark/>
          </w:tcPr>
          <w:p w:rsidR="00A86D60" w:rsidRPr="00A86D60" w:rsidRDefault="00A86D60" w:rsidP="00A86D6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223  adult prevalent (≥3 months) haemodialysis recipients</w:t>
            </w:r>
          </w:p>
        </w:tc>
        <w:tc>
          <w:tcPr>
            <w:tcW w:w="3260" w:type="dxa"/>
            <w:hideMark/>
          </w:tcPr>
          <w:p w:rsidR="00AD7615" w:rsidRPr="000E1D21" w:rsidRDefault="00AD7615" w:rsidP="000E1D21">
            <w:pPr>
              <w:pStyle w:val="Listenabsatz"/>
              <w:numPr>
                <w:ilvl w:val="0"/>
                <w:numId w:val="31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E1D21">
              <w:rPr>
                <w:rFonts w:ascii="Arial" w:hAnsi="Arial" w:cs="Arial"/>
                <w:sz w:val="18"/>
                <w:szCs w:val="18"/>
              </w:rPr>
              <w:t>Muscle u</w:t>
            </w:r>
            <w:r w:rsidR="00A86D60" w:rsidRPr="000E1D21">
              <w:rPr>
                <w:rFonts w:ascii="Arial" w:hAnsi="Arial" w:cs="Arial"/>
                <w:sz w:val="18"/>
                <w:szCs w:val="18"/>
              </w:rPr>
              <w:t>ltrasound</w:t>
            </w:r>
            <w:r w:rsidRPr="000E1D2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6D60" w:rsidRPr="000E1D21">
              <w:rPr>
                <w:rFonts w:ascii="Arial" w:hAnsi="Arial" w:cs="Arial"/>
                <w:sz w:val="18"/>
                <w:szCs w:val="18"/>
              </w:rPr>
              <w:t>bilateral anterior thigh thickness (BATT</w:t>
            </w:r>
            <w:r w:rsidRPr="000E1D2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D7615" w:rsidRPr="000E1D21" w:rsidRDefault="00AD7615" w:rsidP="000E1D21">
            <w:pPr>
              <w:pStyle w:val="Listenabsatz"/>
              <w:numPr>
                <w:ilvl w:val="0"/>
                <w:numId w:val="31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E1D21">
              <w:rPr>
                <w:rFonts w:ascii="Arial" w:hAnsi="Arial" w:cs="Arial"/>
                <w:sz w:val="18"/>
                <w:szCs w:val="18"/>
              </w:rPr>
              <w:t>Frailty Phenotype (FP)</w:t>
            </w:r>
            <w:r w:rsidR="00A86D60" w:rsidRPr="000E1D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7615" w:rsidRPr="000E1D21" w:rsidRDefault="00A86D60" w:rsidP="000E1D21">
            <w:pPr>
              <w:pStyle w:val="Listenabsatz"/>
              <w:numPr>
                <w:ilvl w:val="0"/>
                <w:numId w:val="31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E1D21">
              <w:rPr>
                <w:rFonts w:ascii="Arial" w:hAnsi="Arial" w:cs="Arial"/>
                <w:sz w:val="18"/>
                <w:szCs w:val="18"/>
              </w:rPr>
              <w:t xml:space="preserve">Frailty Index </w:t>
            </w:r>
            <w:r w:rsidR="00AD7615" w:rsidRPr="000E1D21">
              <w:rPr>
                <w:rFonts w:ascii="Arial" w:hAnsi="Arial" w:cs="Arial"/>
                <w:sz w:val="18"/>
                <w:szCs w:val="18"/>
              </w:rPr>
              <w:t>(FI)</w:t>
            </w:r>
          </w:p>
          <w:p w:rsidR="000E1D21" w:rsidRPr="000E1D21" w:rsidRDefault="00A86D60" w:rsidP="000E1D21">
            <w:pPr>
              <w:pStyle w:val="Listenabsatz"/>
              <w:numPr>
                <w:ilvl w:val="0"/>
                <w:numId w:val="31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E1D21">
              <w:rPr>
                <w:rFonts w:ascii="Arial" w:hAnsi="Arial" w:cs="Arial"/>
                <w:sz w:val="18"/>
                <w:szCs w:val="18"/>
              </w:rPr>
              <w:t>Edmonton Frailty</w:t>
            </w:r>
            <w:r w:rsidR="00AD7615" w:rsidRPr="000E1D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D21" w:rsidRPr="000E1D21">
              <w:rPr>
                <w:rFonts w:ascii="Arial" w:hAnsi="Arial" w:cs="Arial"/>
                <w:sz w:val="18"/>
                <w:szCs w:val="18"/>
              </w:rPr>
              <w:t>Scale</w:t>
            </w:r>
            <w:r w:rsidRPr="000E1D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D21" w:rsidRPr="000E1D21">
              <w:rPr>
                <w:rFonts w:ascii="Arial" w:hAnsi="Arial" w:cs="Arial"/>
                <w:sz w:val="18"/>
                <w:szCs w:val="18"/>
              </w:rPr>
              <w:t>(EFS)</w:t>
            </w:r>
          </w:p>
          <w:p w:rsidR="00A86D60" w:rsidRPr="000E1D21" w:rsidRDefault="00A86D60" w:rsidP="000E1D21">
            <w:pPr>
              <w:pStyle w:val="Listenabsatz"/>
              <w:numPr>
                <w:ilvl w:val="0"/>
                <w:numId w:val="31"/>
              </w:numPr>
              <w:spacing w:line="240" w:lineRule="auto"/>
              <w:ind w:left="173" w:hanging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E1D21">
              <w:rPr>
                <w:rFonts w:ascii="Arial" w:hAnsi="Arial" w:cs="Arial"/>
                <w:sz w:val="18"/>
                <w:szCs w:val="18"/>
              </w:rPr>
              <w:t xml:space="preserve">Clinical Frailty Scale </w:t>
            </w:r>
            <w:r w:rsidR="000E1D21" w:rsidRPr="000E1D21">
              <w:rPr>
                <w:rFonts w:ascii="Arial" w:hAnsi="Arial" w:cs="Arial"/>
                <w:sz w:val="18"/>
                <w:szCs w:val="18"/>
              </w:rPr>
              <w:t>(CFS)</w:t>
            </w:r>
          </w:p>
        </w:tc>
        <w:tc>
          <w:tcPr>
            <w:tcW w:w="4956" w:type="dxa"/>
            <w:hideMark/>
          </w:tcPr>
          <w:p w:rsidR="000E1D21" w:rsidRDefault="00A86D60" w:rsidP="00A86D6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BATT was associated with increasing frailty on simple linear regression by all frailty tools, but lost significance on addition of covariables. </w:t>
            </w:r>
          </w:p>
          <w:p w:rsidR="00A86D60" w:rsidRPr="00A86D60" w:rsidRDefault="00A86D60" w:rsidP="00706E1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 xml:space="preserve">Upon dichotomising frailty tools into Frail/Not Frail, BATT was associated with frailty by all tools on univariable analyses, but only retained association for EFS on the fully adjusted model (OR 0.97, 95% C.I. 0.94-1.00, </w:t>
            </w:r>
            <w:r w:rsidR="00706E13">
              <w:rPr>
                <w:rFonts w:ascii="Arial" w:hAnsi="Arial" w:cs="Arial"/>
                <w:sz w:val="18"/>
                <w:szCs w:val="18"/>
              </w:rPr>
              <w:t>p</w:t>
            </w:r>
            <w:r w:rsidRPr="00A86D60">
              <w:rPr>
                <w:rFonts w:ascii="Arial" w:hAnsi="Arial" w:cs="Arial"/>
                <w:sz w:val="18"/>
                <w:szCs w:val="18"/>
              </w:rPr>
              <w:t xml:space="preserve"> = 0.05).</w:t>
            </w:r>
          </w:p>
        </w:tc>
        <w:tc>
          <w:tcPr>
            <w:tcW w:w="2982" w:type="dxa"/>
            <w:hideMark/>
          </w:tcPr>
          <w:p w:rsidR="00A86D60" w:rsidRPr="000E1D21" w:rsidRDefault="00A86D60" w:rsidP="000E1D21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D60">
              <w:rPr>
                <w:rFonts w:ascii="Arial" w:hAnsi="Arial" w:cs="Arial"/>
                <w:sz w:val="18"/>
                <w:szCs w:val="18"/>
              </w:rPr>
              <w:t>Ultrasound measures of quadriceps thickness is variably associated with frailty in prevalent haemodialysis recipients</w:t>
            </w:r>
            <w:r w:rsidR="000E1D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94F16" w:rsidRPr="00526991" w:rsidRDefault="00706E13" w:rsidP="00526991">
      <w:pPr>
        <w:pStyle w:val="Listenabsatz"/>
        <w:spacing w:line="240" w:lineRule="auto"/>
        <w:ind w:left="173"/>
        <w:jc w:val="left"/>
        <w:rPr>
          <w:rFonts w:ascii="Arial" w:hAnsi="Arial" w:cs="Arial"/>
          <w:sz w:val="16"/>
          <w:szCs w:val="16"/>
        </w:rPr>
      </w:pPr>
      <w:r w:rsidRPr="006339E1">
        <w:rPr>
          <w:rFonts w:ascii="Arial" w:eastAsia="Times New Roman" w:hAnsi="Arial" w:cs="Arial"/>
          <w:b/>
          <w:noProof w:val="0"/>
          <w:sz w:val="16"/>
          <w:szCs w:val="16"/>
          <w:lang w:eastAsia="de-DE"/>
        </w:rPr>
        <w:t xml:space="preserve">Abbreviations </w:t>
      </w:r>
      <w:proofErr w:type="gramStart"/>
      <w:r w:rsidRPr="006339E1">
        <w:rPr>
          <w:rFonts w:ascii="Arial" w:eastAsia="Times New Roman" w:hAnsi="Arial" w:cs="Arial"/>
          <w:b/>
          <w:noProof w:val="0"/>
          <w:sz w:val="16"/>
          <w:szCs w:val="16"/>
          <w:lang w:eastAsia="de-DE"/>
        </w:rPr>
        <w:t>are:</w:t>
      </w:r>
      <w:proofErr w:type="gramEnd"/>
      <w:r w:rsidRPr="006339E1">
        <w:rPr>
          <w:rFonts w:ascii="Arial" w:eastAsia="Times New Roman" w:hAnsi="Arial" w:cs="Arial"/>
          <w:noProof w:val="0"/>
          <w:sz w:val="16"/>
          <w:szCs w:val="16"/>
          <w:lang w:eastAsia="de-DE"/>
        </w:rPr>
        <w:t xml:space="preserve"> </w:t>
      </w:r>
      <w:r w:rsidRPr="006339E1">
        <w:rPr>
          <w:rFonts w:ascii="Arial" w:hAnsi="Arial" w:cs="Arial"/>
          <w:sz w:val="16"/>
          <w:szCs w:val="16"/>
        </w:rPr>
        <w:t xml:space="preserve">AUC = area under the curve, </w:t>
      </w:r>
      <w:r w:rsidRPr="00706E13">
        <w:rPr>
          <w:rFonts w:ascii="Arial" w:hAnsi="Arial" w:cs="Arial"/>
          <w:sz w:val="16"/>
          <w:szCs w:val="16"/>
        </w:rPr>
        <w:t>BATT</w:t>
      </w:r>
      <w:r w:rsidRPr="00706E1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= </w:t>
      </w:r>
      <w:r w:rsidRPr="00706E13">
        <w:rPr>
          <w:rFonts w:ascii="Arial" w:hAnsi="Arial" w:cs="Arial"/>
          <w:sz w:val="16"/>
          <w:szCs w:val="16"/>
        </w:rPr>
        <w:t>bilateral anterior thigh thickness</w:t>
      </w:r>
      <w:r>
        <w:rPr>
          <w:rFonts w:ascii="Arial" w:hAnsi="Arial" w:cs="Arial"/>
          <w:sz w:val="16"/>
          <w:szCs w:val="16"/>
        </w:rPr>
        <w:t>,</w:t>
      </w:r>
      <w:r w:rsidRPr="00706E1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CFS = </w:t>
      </w:r>
      <w:r w:rsidRPr="00706E13">
        <w:rPr>
          <w:rFonts w:ascii="Arial" w:hAnsi="Arial" w:cs="Arial"/>
          <w:sz w:val="16"/>
          <w:szCs w:val="16"/>
        </w:rPr>
        <w:t>Clinical Frailty Scale</w:t>
      </w:r>
      <w:r>
        <w:rPr>
          <w:rFonts w:ascii="Arial" w:hAnsi="Arial" w:cs="Arial"/>
          <w:sz w:val="16"/>
          <w:szCs w:val="16"/>
        </w:rPr>
        <w:t>,</w:t>
      </w:r>
      <w:r w:rsidRPr="00706E13">
        <w:rPr>
          <w:rFonts w:ascii="Arial" w:hAnsi="Arial" w:cs="Arial"/>
          <w:sz w:val="16"/>
          <w:szCs w:val="16"/>
        </w:rPr>
        <w:t xml:space="preserve"> </w:t>
      </w:r>
      <w:r w:rsidRPr="00706E13">
        <w:rPr>
          <w:rFonts w:ascii="Arial" w:hAnsi="Arial" w:cs="Arial"/>
          <w:sz w:val="16"/>
          <w:szCs w:val="16"/>
        </w:rPr>
        <w:t>CHS</w:t>
      </w:r>
      <w:r w:rsidRPr="00706E1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= </w:t>
      </w:r>
      <w:r w:rsidRPr="00706E13">
        <w:rPr>
          <w:rFonts w:ascii="Arial" w:hAnsi="Arial" w:cs="Arial"/>
          <w:sz w:val="16"/>
          <w:szCs w:val="16"/>
        </w:rPr>
        <w:t>Cardiovascular Health Study</w:t>
      </w:r>
      <w:r>
        <w:rPr>
          <w:rFonts w:ascii="Arial" w:hAnsi="Arial" w:cs="Arial"/>
          <w:sz w:val="16"/>
          <w:szCs w:val="16"/>
        </w:rPr>
        <w:t>,</w:t>
      </w:r>
      <w:r w:rsidRPr="00706E13">
        <w:rPr>
          <w:rFonts w:ascii="Arial" w:hAnsi="Arial" w:cs="Arial"/>
          <w:sz w:val="16"/>
          <w:szCs w:val="16"/>
        </w:rPr>
        <w:t xml:space="preserve"> </w:t>
      </w:r>
      <w:r w:rsidRPr="00706E13">
        <w:rPr>
          <w:rFonts w:ascii="Arial" w:hAnsi="Arial" w:cs="Arial"/>
          <w:sz w:val="16"/>
          <w:szCs w:val="16"/>
        </w:rPr>
        <w:t xml:space="preserve">C.I. </w:t>
      </w:r>
      <w:r>
        <w:rPr>
          <w:rFonts w:ascii="Arial" w:hAnsi="Arial" w:cs="Arial"/>
          <w:sz w:val="16"/>
          <w:szCs w:val="16"/>
        </w:rPr>
        <w:t xml:space="preserve"> = confidence interval, </w:t>
      </w:r>
      <w:r w:rsidRPr="00706E13">
        <w:rPr>
          <w:rFonts w:ascii="Arial" w:hAnsi="Arial" w:cs="Arial"/>
          <w:sz w:val="16"/>
          <w:szCs w:val="16"/>
        </w:rPr>
        <w:t>EFS</w:t>
      </w:r>
      <w:r w:rsidRPr="00706E1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= </w:t>
      </w:r>
      <w:r w:rsidRPr="00706E13">
        <w:rPr>
          <w:rFonts w:ascii="Arial" w:hAnsi="Arial" w:cs="Arial"/>
          <w:sz w:val="16"/>
          <w:szCs w:val="16"/>
        </w:rPr>
        <w:t>Edmonton Frailty Scale</w:t>
      </w:r>
      <w:r>
        <w:rPr>
          <w:rFonts w:ascii="Arial" w:hAnsi="Arial" w:cs="Arial"/>
          <w:sz w:val="16"/>
          <w:szCs w:val="16"/>
        </w:rPr>
        <w:t>.</w:t>
      </w:r>
      <w:r w:rsidRPr="00706E13">
        <w:rPr>
          <w:rFonts w:ascii="Arial" w:hAnsi="Arial" w:cs="Arial"/>
          <w:sz w:val="16"/>
          <w:szCs w:val="16"/>
        </w:rPr>
        <w:t xml:space="preserve"> </w:t>
      </w:r>
      <w:r w:rsidRPr="00706E13">
        <w:rPr>
          <w:rFonts w:ascii="Arial" w:hAnsi="Arial" w:cs="Arial"/>
          <w:sz w:val="16"/>
          <w:szCs w:val="16"/>
        </w:rPr>
        <w:t>FI</w:t>
      </w:r>
      <w:r w:rsidRPr="00706E1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= </w:t>
      </w:r>
      <w:r w:rsidRPr="00706E13">
        <w:rPr>
          <w:rFonts w:ascii="Arial" w:hAnsi="Arial" w:cs="Arial"/>
          <w:sz w:val="16"/>
          <w:szCs w:val="16"/>
        </w:rPr>
        <w:t>frailty index</w:t>
      </w:r>
      <w:r>
        <w:rPr>
          <w:rFonts w:ascii="Arial" w:hAnsi="Arial" w:cs="Arial"/>
          <w:sz w:val="16"/>
          <w:szCs w:val="16"/>
        </w:rPr>
        <w:t xml:space="preserve">, </w:t>
      </w:r>
      <w:r w:rsidRPr="00706E13">
        <w:rPr>
          <w:rFonts w:ascii="Arial" w:hAnsi="Arial" w:cs="Arial"/>
          <w:sz w:val="16"/>
          <w:szCs w:val="16"/>
        </w:rPr>
        <w:t>FP</w:t>
      </w:r>
      <w:r w:rsidRPr="00706E1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= </w:t>
      </w:r>
      <w:r w:rsidRPr="00706E13">
        <w:rPr>
          <w:rFonts w:ascii="Arial" w:hAnsi="Arial" w:cs="Arial"/>
          <w:sz w:val="16"/>
          <w:szCs w:val="16"/>
        </w:rPr>
        <w:t>Frailty Phenotype</w:t>
      </w:r>
      <w:r>
        <w:rPr>
          <w:rFonts w:ascii="Arial" w:hAnsi="Arial" w:cs="Arial"/>
          <w:sz w:val="16"/>
          <w:szCs w:val="16"/>
        </w:rPr>
        <w:t>,</w:t>
      </w:r>
      <w:r w:rsidRPr="00706E13">
        <w:rPr>
          <w:rFonts w:ascii="Arial" w:hAnsi="Arial" w:cs="Arial"/>
          <w:sz w:val="16"/>
          <w:szCs w:val="16"/>
        </w:rPr>
        <w:t xml:space="preserve"> FRAIL</w:t>
      </w:r>
      <w:r w:rsidRPr="00706E1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= </w:t>
      </w:r>
      <w:r w:rsidRPr="00706E13">
        <w:rPr>
          <w:rFonts w:ascii="Arial" w:hAnsi="Arial" w:cs="Arial"/>
          <w:sz w:val="16"/>
          <w:szCs w:val="16"/>
        </w:rPr>
        <w:t>Fatigue, Resistance, Ambulati</w:t>
      </w:r>
      <w:r>
        <w:rPr>
          <w:rFonts w:ascii="Arial" w:hAnsi="Arial" w:cs="Arial"/>
          <w:sz w:val="16"/>
          <w:szCs w:val="16"/>
        </w:rPr>
        <w:t>on, Illness and Loss of Weight</w:t>
      </w:r>
      <w:r w:rsidRPr="00706E13">
        <w:rPr>
          <w:rFonts w:ascii="Arial" w:hAnsi="Arial" w:cs="Arial"/>
          <w:sz w:val="16"/>
          <w:szCs w:val="16"/>
        </w:rPr>
        <w:t xml:space="preserve"> scale</w:t>
      </w:r>
      <w:r>
        <w:rPr>
          <w:rFonts w:ascii="Arial" w:hAnsi="Arial" w:cs="Arial"/>
          <w:sz w:val="16"/>
          <w:szCs w:val="16"/>
        </w:rPr>
        <w:t>,</w:t>
      </w:r>
      <w:r w:rsidRPr="00706E13">
        <w:rPr>
          <w:rFonts w:ascii="Arial" w:hAnsi="Arial" w:cs="Arial"/>
          <w:sz w:val="16"/>
          <w:szCs w:val="16"/>
        </w:rPr>
        <w:t xml:space="preserve"> </w:t>
      </w:r>
      <w:r w:rsidRPr="006339E1">
        <w:rPr>
          <w:rFonts w:ascii="Arial" w:eastAsia="Times New Roman" w:hAnsi="Arial" w:cs="Arial"/>
          <w:noProof w:val="0"/>
          <w:sz w:val="16"/>
          <w:szCs w:val="16"/>
          <w:lang w:eastAsia="de-DE"/>
        </w:rPr>
        <w:t xml:space="preserve">MT = muscle thickness, </w:t>
      </w:r>
      <w:r w:rsidRPr="00706E13">
        <w:rPr>
          <w:rFonts w:ascii="Arial" w:hAnsi="Arial" w:cs="Arial"/>
          <w:sz w:val="16"/>
          <w:szCs w:val="16"/>
        </w:rPr>
        <w:t>MUAC</w:t>
      </w:r>
      <w:r>
        <w:rPr>
          <w:rFonts w:ascii="Arial" w:hAnsi="Arial" w:cs="Arial"/>
          <w:sz w:val="16"/>
          <w:szCs w:val="16"/>
        </w:rPr>
        <w:t xml:space="preserve">= </w:t>
      </w:r>
      <w:r w:rsidRPr="00706E13">
        <w:rPr>
          <w:rFonts w:ascii="Arial" w:hAnsi="Arial" w:cs="Arial"/>
          <w:sz w:val="16"/>
          <w:szCs w:val="16"/>
        </w:rPr>
        <w:t>Mid-upper arm circumference</w:t>
      </w:r>
      <w:r>
        <w:rPr>
          <w:rFonts w:ascii="Arial" w:hAnsi="Arial" w:cs="Arial"/>
          <w:sz w:val="16"/>
          <w:szCs w:val="16"/>
        </w:rPr>
        <w:t xml:space="preserve">, </w:t>
      </w:r>
      <w:r w:rsidRPr="00706E13">
        <w:rPr>
          <w:rFonts w:ascii="Arial" w:hAnsi="Arial" w:cs="Arial"/>
          <w:sz w:val="16"/>
          <w:szCs w:val="16"/>
        </w:rPr>
        <w:t xml:space="preserve">OR </w:t>
      </w:r>
      <w:r>
        <w:rPr>
          <w:rFonts w:ascii="Arial" w:hAnsi="Arial" w:cs="Arial"/>
          <w:sz w:val="16"/>
          <w:szCs w:val="16"/>
        </w:rPr>
        <w:t xml:space="preserve">= odds ratio, </w:t>
      </w:r>
      <w:r w:rsidRPr="006339E1">
        <w:rPr>
          <w:rFonts w:ascii="Arial" w:hAnsi="Arial" w:cs="Arial"/>
          <w:sz w:val="16"/>
          <w:szCs w:val="16"/>
        </w:rPr>
        <w:t>SMI = skeletal muscle mass index</w:t>
      </w:r>
      <w:r w:rsidR="00526991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094F16" w:rsidRPr="00526991" w:rsidSect="002B209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FC"/>
    <w:multiLevelType w:val="hybridMultilevel"/>
    <w:tmpl w:val="67ACA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81CB6"/>
    <w:multiLevelType w:val="hybridMultilevel"/>
    <w:tmpl w:val="3DAAF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A175D"/>
    <w:multiLevelType w:val="hybridMultilevel"/>
    <w:tmpl w:val="F6D2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F0B66"/>
    <w:multiLevelType w:val="hybridMultilevel"/>
    <w:tmpl w:val="0AACE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334FD"/>
    <w:multiLevelType w:val="hybridMultilevel"/>
    <w:tmpl w:val="306AB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821DC"/>
    <w:multiLevelType w:val="hybridMultilevel"/>
    <w:tmpl w:val="55983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7239F"/>
    <w:multiLevelType w:val="hybridMultilevel"/>
    <w:tmpl w:val="6EA2B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B6B6F"/>
    <w:multiLevelType w:val="hybridMultilevel"/>
    <w:tmpl w:val="B560C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320A6"/>
    <w:multiLevelType w:val="hybridMultilevel"/>
    <w:tmpl w:val="53CC4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F42C7"/>
    <w:multiLevelType w:val="hybridMultilevel"/>
    <w:tmpl w:val="054A5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24B05"/>
    <w:multiLevelType w:val="hybridMultilevel"/>
    <w:tmpl w:val="95D23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76F8"/>
    <w:multiLevelType w:val="hybridMultilevel"/>
    <w:tmpl w:val="C3D67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D4121"/>
    <w:multiLevelType w:val="hybridMultilevel"/>
    <w:tmpl w:val="8FD68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E26E6"/>
    <w:multiLevelType w:val="hybridMultilevel"/>
    <w:tmpl w:val="039E1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51A5E"/>
    <w:multiLevelType w:val="hybridMultilevel"/>
    <w:tmpl w:val="636A7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E7509"/>
    <w:multiLevelType w:val="hybridMultilevel"/>
    <w:tmpl w:val="38A8E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519EF"/>
    <w:multiLevelType w:val="hybridMultilevel"/>
    <w:tmpl w:val="44C49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711"/>
    <w:multiLevelType w:val="hybridMultilevel"/>
    <w:tmpl w:val="1D907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C6CD1"/>
    <w:multiLevelType w:val="hybridMultilevel"/>
    <w:tmpl w:val="CE761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0146E"/>
    <w:multiLevelType w:val="hybridMultilevel"/>
    <w:tmpl w:val="DD80F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8034F"/>
    <w:multiLevelType w:val="hybridMultilevel"/>
    <w:tmpl w:val="26C25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548D5"/>
    <w:multiLevelType w:val="hybridMultilevel"/>
    <w:tmpl w:val="B2C6E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5049E"/>
    <w:multiLevelType w:val="hybridMultilevel"/>
    <w:tmpl w:val="9DA8A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7247E"/>
    <w:multiLevelType w:val="hybridMultilevel"/>
    <w:tmpl w:val="68B2E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27385"/>
    <w:multiLevelType w:val="hybridMultilevel"/>
    <w:tmpl w:val="F7341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957C5"/>
    <w:multiLevelType w:val="hybridMultilevel"/>
    <w:tmpl w:val="AEE64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C1735"/>
    <w:multiLevelType w:val="hybridMultilevel"/>
    <w:tmpl w:val="07049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A660A"/>
    <w:multiLevelType w:val="hybridMultilevel"/>
    <w:tmpl w:val="BA4C6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16AE0"/>
    <w:multiLevelType w:val="hybridMultilevel"/>
    <w:tmpl w:val="B4F25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E0168"/>
    <w:multiLevelType w:val="hybridMultilevel"/>
    <w:tmpl w:val="31501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55F86"/>
    <w:multiLevelType w:val="hybridMultilevel"/>
    <w:tmpl w:val="EA927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56FD4"/>
    <w:multiLevelType w:val="hybridMultilevel"/>
    <w:tmpl w:val="9A0AF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9"/>
  </w:num>
  <w:num w:numId="4">
    <w:abstractNumId w:val="30"/>
  </w:num>
  <w:num w:numId="5">
    <w:abstractNumId w:val="8"/>
  </w:num>
  <w:num w:numId="6">
    <w:abstractNumId w:val="22"/>
  </w:num>
  <w:num w:numId="7">
    <w:abstractNumId w:val="15"/>
  </w:num>
  <w:num w:numId="8">
    <w:abstractNumId w:val="10"/>
  </w:num>
  <w:num w:numId="9">
    <w:abstractNumId w:val="25"/>
  </w:num>
  <w:num w:numId="10">
    <w:abstractNumId w:val="11"/>
  </w:num>
  <w:num w:numId="11">
    <w:abstractNumId w:val="27"/>
  </w:num>
  <w:num w:numId="12">
    <w:abstractNumId w:val="2"/>
  </w:num>
  <w:num w:numId="13">
    <w:abstractNumId w:val="9"/>
  </w:num>
  <w:num w:numId="14">
    <w:abstractNumId w:val="26"/>
  </w:num>
  <w:num w:numId="15">
    <w:abstractNumId w:val="28"/>
  </w:num>
  <w:num w:numId="16">
    <w:abstractNumId w:val="14"/>
  </w:num>
  <w:num w:numId="17">
    <w:abstractNumId w:val="13"/>
  </w:num>
  <w:num w:numId="18">
    <w:abstractNumId w:val="23"/>
  </w:num>
  <w:num w:numId="19">
    <w:abstractNumId w:val="7"/>
  </w:num>
  <w:num w:numId="20">
    <w:abstractNumId w:val="21"/>
  </w:num>
  <w:num w:numId="21">
    <w:abstractNumId w:val="5"/>
  </w:num>
  <w:num w:numId="22">
    <w:abstractNumId w:val="17"/>
  </w:num>
  <w:num w:numId="23">
    <w:abstractNumId w:val="3"/>
  </w:num>
  <w:num w:numId="24">
    <w:abstractNumId w:val="1"/>
  </w:num>
  <w:num w:numId="25">
    <w:abstractNumId w:val="12"/>
  </w:num>
  <w:num w:numId="26">
    <w:abstractNumId w:val="29"/>
  </w:num>
  <w:num w:numId="27">
    <w:abstractNumId w:val="6"/>
  </w:num>
  <w:num w:numId="28">
    <w:abstractNumId w:val="24"/>
  </w:num>
  <w:num w:numId="29">
    <w:abstractNumId w:val="4"/>
  </w:num>
  <w:num w:numId="30">
    <w:abstractNumId w:val="0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9B"/>
    <w:rsid w:val="00094F16"/>
    <w:rsid w:val="000C1C29"/>
    <w:rsid w:val="000E1D21"/>
    <w:rsid w:val="00180E08"/>
    <w:rsid w:val="002554D8"/>
    <w:rsid w:val="002B209B"/>
    <w:rsid w:val="002D0701"/>
    <w:rsid w:val="00301AF9"/>
    <w:rsid w:val="003B51A1"/>
    <w:rsid w:val="00404D56"/>
    <w:rsid w:val="004B3923"/>
    <w:rsid w:val="00526991"/>
    <w:rsid w:val="0057037E"/>
    <w:rsid w:val="006E1C1B"/>
    <w:rsid w:val="00706E13"/>
    <w:rsid w:val="00710463"/>
    <w:rsid w:val="007214E3"/>
    <w:rsid w:val="00726393"/>
    <w:rsid w:val="007E5F22"/>
    <w:rsid w:val="00851371"/>
    <w:rsid w:val="00915B97"/>
    <w:rsid w:val="00961F00"/>
    <w:rsid w:val="00975383"/>
    <w:rsid w:val="009E71AE"/>
    <w:rsid w:val="009F62C2"/>
    <w:rsid w:val="00A86249"/>
    <w:rsid w:val="00A86D60"/>
    <w:rsid w:val="00AD7615"/>
    <w:rsid w:val="00B33F92"/>
    <w:rsid w:val="00B7448A"/>
    <w:rsid w:val="00C30599"/>
    <w:rsid w:val="00D5193D"/>
    <w:rsid w:val="00DE6C51"/>
    <w:rsid w:val="00E11C3F"/>
    <w:rsid w:val="00E40354"/>
    <w:rsid w:val="00EC7175"/>
    <w:rsid w:val="00F16B8B"/>
    <w:rsid w:val="00F361D8"/>
    <w:rsid w:val="00F72F87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7850"/>
  <w15:docId w15:val="{CAD1A5B8-A7BC-481F-8725-F3AD285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209B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2B209B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2B209B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Standard"/>
    <w:qFormat/>
    <w:rsid w:val="002B209B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table" w:styleId="Tabellenraster">
    <w:name w:val="Table Grid"/>
    <w:basedOn w:val="NormaleTabelle"/>
    <w:uiPriority w:val="39"/>
    <w:rsid w:val="00180E0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8513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30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Jena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Axer, Hubertus</dc:creator>
  <cp:keywords/>
  <dc:description/>
  <cp:lastModifiedBy>Axer, Hubertus</cp:lastModifiedBy>
  <cp:revision>7</cp:revision>
  <dcterms:created xsi:type="dcterms:W3CDTF">2024-04-20T10:13:00Z</dcterms:created>
  <dcterms:modified xsi:type="dcterms:W3CDTF">2024-04-21T16:57:00Z</dcterms:modified>
</cp:coreProperties>
</file>