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t>Supplementary Figures and Tables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eastAsia" w:eastAsia="Calibri" w:cs="Times New Roman"/>
          <w:kern w:val="0"/>
          <w:sz w:val="24"/>
          <w:szCs w:val="24"/>
          <w:lang w:val="en-US" w:eastAsia="zh-Hans" w:bidi="ar"/>
        </w:rPr>
        <w:t>Supplementary</w:t>
      </w:r>
      <w:r>
        <w:rPr>
          <w:rFonts w:hint="default" w:eastAsia="Calibri" w:cs="Times New Roman"/>
          <w:kern w:val="0"/>
          <w:sz w:val="24"/>
          <w:szCs w:val="24"/>
          <w:lang w:eastAsia="zh-Hans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Table 1. Timeline of the present case</w:t>
      </w: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" w:hRule="atLeast"/>
        </w:trPr>
        <w:tc>
          <w:tcPr>
            <w:tcW w:w="1996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December 2020</w:t>
            </w:r>
          </w:p>
        </w:tc>
        <w:tc>
          <w:tcPr>
            <w:tcW w:w="7997" w:type="dxa"/>
            <w:tcBorders>
              <w:top w:val="single" w:color="auto" w:sz="4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Holter monitoring revealed intermittent sinus pause and AVB.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03" w:hRule="atLeast"/>
        </w:trPr>
        <w:tc>
          <w:tcPr>
            <w:tcW w:w="1996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January 4th 2021</w:t>
            </w:r>
          </w:p>
        </w:tc>
        <w:tc>
          <w:tcPr>
            <w:tcW w:w="7997" w:type="dxa"/>
            <w:tcBorders>
              <w:top w:val="single" w:color="auto" w:sz="4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AL-CA was diagnosed.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99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January 8th 2021</w:t>
            </w:r>
          </w:p>
        </w:tc>
        <w:tc>
          <w:tcPr>
            <w:tcW w:w="7997" w:type="dxa"/>
            <w:tcBorders>
              <w:top w:val="dotted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 protocol chemotherapy started including bortezomib, cyclophosphamide and dexamethasone.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99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September 2021</w:t>
            </w:r>
          </w:p>
        </w:tc>
        <w:tc>
          <w:tcPr>
            <w:tcW w:w="7997" w:type="dxa"/>
            <w:tcBorders>
              <w:top w:val="dotted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VGPR at the 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hematologic</w:t>
            </w: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level after the 9th cycle of chemotherapy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99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April 6th 2022</w:t>
            </w:r>
          </w:p>
        </w:tc>
        <w:tc>
          <w:tcPr>
            <w:tcW w:w="7997" w:type="dxa"/>
            <w:tcBorders>
              <w:top w:val="dotted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First syncope episode. A subsequent Holter monitoring revealed intermittent third-degree AVB with and without ventricular escapes.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99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May 13th 2022</w:t>
            </w:r>
          </w:p>
        </w:tc>
        <w:tc>
          <w:tcPr>
            <w:tcW w:w="7997" w:type="dxa"/>
            <w:tcBorders>
              <w:top w:val="dotted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Permanent dual chamber pacemaker implantation with LBBP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99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August 2022</w:t>
            </w:r>
          </w:p>
        </w:tc>
        <w:tc>
          <w:tcPr>
            <w:tcW w:w="7997" w:type="dxa"/>
            <w:tcBorders>
              <w:top w:val="dotted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3-month follow-up visit with stable pacing parameters and no recurrent syncope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1996" w:type="dxa"/>
            <w:tcBorders>
              <w:top w:val="dotted" w:color="auto" w:sz="8" w:space="0"/>
              <w:left w:val="dotted" w:color="auto" w:sz="8" w:space="0"/>
              <w:bottom w:val="single" w:color="auto" w:sz="4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June 2023</w:t>
            </w:r>
          </w:p>
        </w:tc>
        <w:tc>
          <w:tcPr>
            <w:tcW w:w="7997" w:type="dxa"/>
            <w:tcBorders>
              <w:top w:val="dotted" w:color="auto" w:sz="8" w:space="0"/>
              <w:left w:val="nil"/>
              <w:bottom w:val="single" w:color="auto" w:sz="4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1-year follow-up visit with left bundle branch capture and stable pacing parameters. No pacemaker-related complications were reported and no syncope or symptoms related to heart failure occurred.</w:t>
            </w:r>
          </w:p>
        </w:tc>
      </w:tr>
    </w:tbl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120" w:beforeAutospacing="0" w:after="240" w:afterAutospacing="0"/>
        <w:ind w:left="0" w:right="0"/>
        <w:jc w:val="left"/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>AL-CA, amyloid light chain cardiac amyloidosis; VGPR, very good partial response; AVB, atrioventricular block; LBBP, left bundle branch pacing.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7FBF170C"/>
    <w:rsid w:val="E72DD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yujiaqi/Library/Containers/com.kingsoft.wpsoffice.mac/Data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1</Lines>
  <Paragraphs>1</Paragraphs>
  <TotalTime>2</TotalTime>
  <ScaleCrop>false</ScaleCrop>
  <LinksUpToDate>false</LinksUpToDate>
  <CharactersWithSpaces>1054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2022-11-18T00:58:00Z</dcterms:created>
  <dc:creator>Frontiers</dc:creator>
  <cp:lastModifiedBy>嘉奇</cp:lastModifiedBy>
  <cp:lastPrinted>2013-10-03T20:51:00Z</cp:lastPrinted>
  <dcterms:modified xsi:type="dcterms:W3CDTF">2023-12-14T18:23:53Z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2052-5.3.0.7872</vt:lpwstr>
  </property>
  <property fmtid="{D5CDD505-2E9C-101B-9397-08002B2CF9AE}" pid="11" name="ICV">
    <vt:lpwstr>B53BF24C56F46B86E4D67A657C38E869_42</vt:lpwstr>
  </property>
</Properties>
</file>