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b w:val="0"/>
        </w:rPr>
      </w:pPr>
      <w:r>
        <w:t>Supplementary Material</w:t>
      </w:r>
    </w:p>
    <w:p>
      <w:pPr>
        <w:pStyle w:val="2"/>
      </w:pPr>
      <w:r>
        <w:t>Supplementary Data</w:t>
      </w:r>
    </w:p>
    <w:p>
      <w:pPr>
        <w:pStyle w:val="4"/>
        <w:bidi w:val="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Supplementary Data 1. </w:t>
      </w:r>
      <w:r>
        <w:rPr>
          <w:rFonts w:hint="default" w:ascii="Times New Roman" w:hAnsi="Times New Roman" w:cs="Times New Roman"/>
          <w:b w:val="0"/>
          <w:bCs w:val="0"/>
          <w:sz w:val="24"/>
          <w:szCs w:val="24"/>
        </w:rPr>
        <w:t>Genotype data and summary statistics for the two-sample Mendelian randomization</w:t>
      </w:r>
    </w:p>
    <w:p>
      <w:pPr>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In our two-sample Mendelian randomization (MR) study, the first sample</w:t>
      </w:r>
      <w:r>
        <w:rPr>
          <w:rFonts w:hint="default" w:ascii="Times New Roman" w:hAnsi="Times New Roman" w:cs="Times New Roman"/>
          <w:sz w:val="24"/>
          <w:szCs w:val="24"/>
          <w:lang w:val="en-US" w:eastAsia="zh-CN"/>
        </w:rPr>
        <w:t xml:space="preserve"> (gene-exposure group)</w:t>
      </w:r>
      <w:r>
        <w:rPr>
          <w:rFonts w:hint="default" w:ascii="Times New Roman" w:hAnsi="Times New Roman" w:cs="Times New Roman"/>
          <w:sz w:val="24"/>
          <w:szCs w:val="24"/>
        </w:rPr>
        <w:t xml:space="preserve"> consisted of </w:t>
      </w:r>
      <w:r>
        <w:rPr>
          <w:rFonts w:hint="default" w:ascii="Times New Roman" w:hAnsi="Times New Roman" w:cs="Times New Roman"/>
          <w:sz w:val="24"/>
          <w:szCs w:val="24"/>
          <w:lang w:val="en-US" w:eastAsia="zh-CN"/>
        </w:rPr>
        <w:t>279,011</w:t>
      </w:r>
      <w:r>
        <w:rPr>
          <w:rFonts w:hint="default" w:ascii="Times New Roman" w:hAnsi="Times New Roman" w:cs="Times New Roman"/>
          <w:sz w:val="24"/>
          <w:szCs w:val="24"/>
        </w:rPr>
        <w:t xml:space="preserve"> participants with available </w:t>
      </w:r>
      <w:r>
        <w:rPr>
          <w:rFonts w:hint="default" w:ascii="Times New Roman" w:hAnsi="Times New Roman" w:cs="Times New Roman"/>
          <w:sz w:val="24"/>
          <w:szCs w:val="24"/>
          <w:lang w:val="en-US" w:eastAsia="zh-CN"/>
        </w:rPr>
        <w:t>HbA1c</w:t>
      </w:r>
      <w:r>
        <w:rPr>
          <w:rFonts w:hint="default" w:ascii="Times New Roman" w:hAnsi="Times New Roman" w:cs="Times New Roman"/>
          <w:sz w:val="24"/>
          <w:szCs w:val="24"/>
        </w:rPr>
        <w:t xml:space="preserve"> data but no neuroimaging data. The second sample</w:t>
      </w:r>
      <w:r>
        <w:rPr>
          <w:rFonts w:hint="default" w:ascii="Times New Roman" w:hAnsi="Times New Roman" w:cs="Times New Roman"/>
          <w:sz w:val="24"/>
          <w:szCs w:val="24"/>
          <w:lang w:val="en-US" w:eastAsia="zh-CN"/>
        </w:rPr>
        <w:t xml:space="preserve"> (gene-outcome group)</w:t>
      </w:r>
      <w:r>
        <w:rPr>
          <w:rFonts w:hint="default" w:ascii="Times New Roman" w:hAnsi="Times New Roman" w:cs="Times New Roman"/>
          <w:sz w:val="24"/>
          <w:szCs w:val="24"/>
        </w:rPr>
        <w:t xml:space="preserve"> was non-overlapping of the first sample, which consisted of participants with both </w:t>
      </w:r>
      <w:r>
        <w:rPr>
          <w:rFonts w:hint="default" w:ascii="Times New Roman" w:hAnsi="Times New Roman" w:cs="Times New Roman"/>
          <w:sz w:val="24"/>
          <w:szCs w:val="24"/>
          <w:lang w:val="en-US" w:eastAsia="zh-CN"/>
        </w:rPr>
        <w:t>HbA1c</w:t>
      </w:r>
      <w:r>
        <w:rPr>
          <w:rFonts w:hint="default" w:ascii="Times New Roman" w:hAnsi="Times New Roman" w:cs="Times New Roman"/>
          <w:sz w:val="24"/>
          <w:szCs w:val="24"/>
        </w:rPr>
        <w:t xml:space="preserve"> and neuroimaging data (see Figure </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 xml:space="preserve">). </w:t>
      </w:r>
    </w:p>
    <w:p>
      <w:pPr>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The quality control of UKB genotype data was performed on the first sample following a commonly used procedure . The genotype data came from two platforms, Affymetrix UK BiLEVE Axiom and UKB Axiom® arrays, which captured over 90 million single-nucleotide variants (SNVs) of ∼500,000 subjects . We removed variants with minor allele frequency (MAF) below 0.01, Hardy-Weinberg equilibrium p-value below 0.001, missing genotype rate at 5%, removed participants with more than 2% missing genotypes, and only kept family-unrelated participants with European ethnic backgrounds. We conducted the principal component analysis (PCA) to adjust for population stratification and chose the top 10 principle components (PCs) as recommended by PLINK (version 2.0) and in previous studies </w:t>
      </w:r>
      <w:r>
        <w:rPr>
          <w:rFonts w:hint="default" w:ascii="Times New Roman" w:hAnsi="Times New Roman" w:cs="Times New Roman"/>
          <w:sz w:val="24"/>
          <w:szCs w:val="24"/>
        </w:rPr>
        <w:fldChar w:fldCharType="begin"/>
      </w:r>
      <w:r>
        <w:rPr>
          <w:rFonts w:hint="eastAsia" w:cs="Times New Roman"/>
          <w:sz w:val="24"/>
          <w:szCs w:val="24"/>
          <w:lang w:eastAsia="zh-CN"/>
        </w:rPr>
        <w:instrText xml:space="preserve"> ADDIN ZOTERO_ITEM CSL_CITATION {"citationID":"7gO78abl","properties":{"formattedCitation":"(Casanova et al., 2020; Liu et al., 2020; Sofianopoulou et al., 2021)","plainCitation":"(Casanova et al., 2020; Liu et al., 2020; Sofianopoulou et al., 2021)","noteIndex":0},"citationItems":[{"id":672,"uris":["http://zotero.org/users/9907810/items/TAEPPLCY"],"itemData":{"id":672,"type":"article-journal","abstract":"Urinary albumin-to-creatinine ratio (ACR) is a marker of diabetic nephropathy and microvascular damage. Metabolic-related traits are observationally associated with ACR, but their causal role is uncertain. Here, we confirmed ACR as a marker of microvascular damage and tested whether metabolic-related traits have causal relationships with ACR. The association between ACR and microvascular function (responses to acetylcholine [ACH] and sodium nitroprusside) was tested in the SUMMIT study. Two-sample Mendelian randomization (MR) was used to infer the causal effects of 11 metabolic risk factors, including glycemic, lipid, and adiposity traits, on ACR. MR was performed in up to 440,000 UK Biobank and 54,451 CKDGen participants. ACR was robustly associated with microvascular function measures in SUMMIT. Using MR, we inferred that higher triglyceride (TG) and LDL cholesterol (LDL-C) levels caused elevated ACR. A 1 SD higher TG and LDL-C level caused a 0.062 (95% CI 0.040, 0.083) and a 0.026 (95% CI 0.008, 0.044) SD higher ACR, respectively. There was evidence that higher body fat and visceral body fat distribution caused elevated ACR, while a metabolically “favorable adiposity” phenotype lowered ACR. ACR is a valid marker for microvascular function. MR suggested that seven traits have causal effects on ACR, highlighting the role of adiposity-related traits in causing lower microvascular function.","container-title":"Diabetes","DOI":"10.2337/db19-0862","ISSN":"0012-1797, 1939-327X","issue":"5","language":"en","page":"1072-1082","source":"DOI.org (Crossref)","title":"A Mendelian Randomization Study Provides Evidence That Adiposity and Dyslipidemia Lead to Lower Urinary Albumin-to-Creatinine Ratio, a Marker of Microvascular Function","volume":"69","author":[{"family":"Casanova","given":"Francesco"},{"family":"Wood","given":"Andrew R."},{"family":"Yaghootkar","given":"Hanieh"},{"family":"Beaumont","given":"Robert N."},{"family":"Jones","given":"Samuel E."},{"family":"Gooding","given":"Kim M."},{"family":"Aizawa","given":"Kunihiko"},{"family":"Strain","given":"W. David"},{"family":"Hattersley","given":"Andrew T."},{"family":"Khan","given":"Faisel"},{"family":"Shore","given":"Angela C."},{"family":"Frayling","given":"Timothy M."},{"family":"Tyrrell","given":"Jessica"}],"issued":{"date-parts":[["2020",5,1]]},"citation-key":"casanovaMendelianRandomizationStudy2020"},"label":"page"},{"id":674,"uris":["http://zotero.org/users/9907810/items/9V8H7AKG"],"itemData":{"id":674,"type":"report","abstract":"Objective: To examine the effects of sleep traits on glycated haemoglobin (HbA1c). Design: Observational multivariable regression (MVR), one-sample Mendelian randomization (1SMR), and two-sample summary data Mendelian randomization (2SMR). Setting: UK Biobank (UKB) prospective cohort study and genome-wide association studies from the Meta-Analyses of Glucose and Insulin-related traits Consortium (MAGIC). Participants: In MVR and 1SMR, participants were adults (mean (SD) age 57 (8) years; 54% female) from the UKB (n=336,999); in 2SMR, participants were adults (53 (11) years; 52% female) from MAGIC (n=46,368). All participants were adults of European ancestry. Exposures: Self-reported insomnia frequency (usually vs sometimes or rarely/never); sleep duration: 24hour sleep duration (hours/day); short sleep (≤6 hours vs 7-8 hours) and long sleep (≥9 hours vs 7-8 hours); daytime sleepiness and daytime napping (each consisting of 3 categories: never/rarely, sometimes, usually); chronotype (5 categories from definite morning to definite evening preference). Main outcome measure: HbA1c in standard deviation (SD) units.\nResults: Across MV, 1SMR, 2SMR, and their sensitivity analyses we found a higher frequency of insomnia (usually vs sometimes or rarely/never) was associated with higher HbA1c (MVR: 0.053 SD units, 95% confidence interval (0.046 to 0.061), 1SMR: 0.52, (0.42 to 0.63), 2SMR: 0.22, (0.10 to 0.35)). Results remained significant but point estimates were somewhat attenuated after excluding people with diagnosed diabetes. For other sleep traits, there was less consistency with significant associations when using some, but not all methods.\nConclusions: This study suggests that insomnia increases HbA1c levels. These findings could have important implications for developing and evaluating strategies that improve sleep habits to reduce hyperglycaemia and prevent diabetes.","genre":"preprint","language":"en","note":"DOI: 10.1101/2020.12.18.20224733","publisher":"Epidemiology","source":"DOI.org (Crossref)","title":"Assessing the causal role of sleep traits on glycated haemoglobin: a Mendelian randomization study","title-short":"Assessing the causal role of sleep traits on glycated haemoglobin","URL":"http://medrxiv.org/lookup/doi/10.1101/2020.12.18.20224733","author":[{"family":"Liu","given":"Junxi"},{"family":"Richmond","given":"Rebecca C"},{"family":"Bowden","given":"Jack"},{"family":"Barry","given":"Ciarrah"},{"family":"Dashti","given":"Hassan S"},{"family":"Daghlas","given":"Iyas"},{"family":"Lane","given":"Jacqueline M"},{"family":"Jones","given":"Samuel E"},{"family":"Wood","given":"Andrew R"},{"family":"Frayling","given":"Timothy M"},{"family":"Wright","given":"Alison K"},{"family":"Carr","given":"Matthew J"},{"family":"Anderson","given":"Simon G"},{"family":"Emsley","given":"Richard"},{"family":"Ray","given":"David"},{"family":"Weedon","given":"Michael N"},{"family":"Saxena","given":"Richa"},{"family":"Lawlor","given":"Deborah A"},{"family":"Rutter","given":"Martin K"}],"accessed":{"date-parts":[["2023",2,10]]},"issued":{"date-parts":[["2020",12,20]]},"citation-key":"liuAssessingCausalRole2020"},"label":"page"},{"id":673,"uris":["http://zotero.org/users/9907810/items/XWSBSWQV"],"itemData":{"id":673,"type":"article-journal","abstract":"Background Randomised trials of vitamin D supplementation for cardiovascular disease and all-cause mortality have generally reported null findings. However, generalisability of results to individuals with low vitamin D status is unclear. We aimed to characterise dose-response relationships between 25-hydroxyvitamin D (25[OH]D) concentrations and risk of coronary heart disease, stroke, and all-cause mortality in observational and Mendelian randomisation frameworks.","container-title":"The Lancet Diabetes &amp; Endocrinology","DOI":"10.1016/S2213-8587(21)00263-1","ISSN":"22138587","issue":"12","journalAbbreviation":"The Lancet Diabetes &amp; Endocrinology","language":"en","page":"837-846","source":"DOI.org (Crossref)","title":"Estimating dose-response relationships for vitamin D with coronary heart disease, stroke, and all-cause mortality: observational and Mendelian randomisation analyses","title-short":"Estimating dose-response relationships for vitamin D with coronary heart disease, stroke, and all-cause mortality","volume":"9","author":[{"family":"Sofianopoulou","given":"Eleni"},{"family":"Kaptoge","given":"Stephen K"},{"family":"Afzal","given":"Shoaib"},{"family":"Jiang","given":"Tao"},{"family":"Gill","given":"Dipender"},{"family":"Gundersen","given":"Thomas E"},{"family":"Bolton","given":"Thomas R"},{"family":"Allara","given":"Elias"},{"family":"Arnold","given":"Matthew G"},{"family":"Mason","given":"Amy M"},{"family":"Chung","given":"Ryan"},{"family":"Pennells","given":"Lisa A M"},{"family":"Shi","given":"Fanchao"},{"family":"Sun","given":"Luanluan"},{"family":"Willeit","given":"Peter"},{"family":"Forouhi","given":"Nita G"},{"family":"Langenberg","given":"Claudia"},{"family":"Sharp","given":"Stephen J"},{"family":"Panico","given":"Salvatore"},{"family":"Engström","given":"Gunnar"},{"family":"Melander","given":"Olle"},{"family":"Tong","given":"Tammy Y N"},{"family":"Perez-Cornago","given":"Aurora"},{"family":"Norberg","given":"Margareta"},{"family":"Johansson","given":"Ingegerd"},{"family":"Katzke","given":"Verena"},{"family":"Srour","given":"Bernard"},{"family":"José Sánchez","given":"María"},{"family":"Redondo-Sánchez","given":"Daniel"},{"family":"Olsen","given":"Anja"},{"family":"Dahm","given":"Christina C"},{"family":"Overvad","given":"Kim"},{"family":"Brustad","given":"Magritt"},{"family":"Skeie","given":"Guri"},{"family":"Moreno-Iribas","given":"Conchi"},{"family":"Onland-Moret","given":"N Charlotte"},{"family":"Schouw","given":"Yvonne T","non-dropping-particle":"van der"},{"family":"Tsilidis","given":"Konstantinos K"},{"family":"Heath","given":"Alicia K"},{"family":"Agnoli","given":"Claudia"},{"family":"Krogh","given":"Vittorio"},{"family":"Boer","given":"Ian H","non-dropping-particle":"de"},{"family":"Kobylecki","given":"Camilla Jannie"},{"family":"Çolak","given":"Yunus"},{"family":"Zittermann","given":"Armin"},{"family":"Sundström","given":"Johan"},{"family":"Welsh","given":"Paul"},{"family":"Weiderpass","given":"Elisabete"},{"family":"Aglago","given":"Elom K"},{"family":"Ferrari","given":"Pietro"},{"family":"Clarke","given":"Robert"},{"family":"Boutron","given":"Marie-Christine"},{"family":"Severi","given":"Gianluca"},{"family":"MacDonald","given":"Conor"},{"family":"Providencia","given":"Rui"},{"family":"Masala","given":"Giovanna"},{"family":"Zamora Ros","given":"Raul"},{"family":"Boer","given":"Jolanda"},{"family":"Verschuren","given":"WM Monique"},{"family":"Cawthon","given":"Peggy"},{"family":"Schierbeck","given":"Louise L"},{"family":"Cooper","given":"Cyrus"},{"family":"Schulze","given":"Matthias B"},{"family":"Bergmann","given":"Manuela M"},{"family":"Hannemann","given":"Anke"},{"family":"Kiechl","given":"Stefan"},{"family":"Brenner","given":"Hermann"},{"family":"Schoor","given":"Natasja M","non-dropping-particle":"van"},{"family":"Albertorio","given":"Juan R"},{"family":"Sacerdote","given":"Carlotta"},{"family":"Linneberg","given":"Allan"},{"family":"Kårhus","given":"Line L"},{"family":"Huerta","given":"José María"},{"family":"Imaz","given":"Liher"},{"family":"Joergensen","given":"Christel"},{"family":"Ben-Shlomo","given":"Yoav"},{"family":"Lundqvist","given":"Annamari"},{"family":"Gallacher","given":"John"},{"family":"Sattar","given":"Naveed"},{"family":"Wood","given":"Angela M"},{"family":"Wareham","given":"Nicholas J"},{"family":"Nordestgaard","given":"Børge G"},{"family":"Di Angelantonio","given":"Emanuele"},{"family":"Danesh","given":"John"},{"family":"Butterworth","given":"Adam S"},{"family":"Burgess","given":"Stephen"}],"issued":{"date-parts":[["2021",12]]},"citation-key":"sofianopoulouEstimatingDoseresponseRelationships2021"},"label":"page"}],"schema":"https://github.com/citation-style-language/schema/raw/master/csl-citation.json"}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lang w:eastAsia="zh-CN"/>
        </w:rPr>
        <w:t>(Casanova et al., 2020; Liu et al., 2020; Sofianopoulou et al., 2021)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p>
      <w:pPr>
        <w:ind w:firstLine="720" w:firstLineChars="0"/>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 xml:space="preserve">To obtain the summary statistics for the two-sample MR analysis, we performed the GWAS on the </w:t>
      </w:r>
      <w:r>
        <w:rPr>
          <w:rFonts w:hint="default" w:ascii="Times New Roman" w:hAnsi="Times New Roman" w:cs="Times New Roman"/>
          <w:sz w:val="24"/>
          <w:szCs w:val="24"/>
          <w:lang w:val="en-US" w:eastAsia="zh-CN"/>
        </w:rPr>
        <w:t>HbA1c</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N=</w:t>
      </w:r>
      <w:r>
        <w:rPr>
          <w:rFonts w:hint="default" w:ascii="Times New Roman" w:hAnsi="Times New Roman" w:cs="Times New Roman"/>
          <w:sz w:val="24"/>
          <w:szCs w:val="24"/>
          <w:lang w:val="en-US" w:eastAsia="zh-CN"/>
        </w:rPr>
        <w:t>279,011)</w:t>
      </w:r>
      <w:r>
        <w:rPr>
          <w:rFonts w:hint="default" w:ascii="Times New Roman" w:hAnsi="Times New Roman" w:cs="Times New Roman"/>
          <w:sz w:val="24"/>
          <w:szCs w:val="24"/>
        </w:rPr>
        <w:t xml:space="preserve"> using the first sample, adjusting for age, gender, body mass index, genotyping chip type, and the acquired top 10 PCs using PLINK (version </w:t>
      </w:r>
      <w:r>
        <w:rPr>
          <w:rFonts w:hint="default" w:ascii="Times New Roman" w:hAnsi="Times New Roman" w:cs="Times New Roman"/>
          <w:sz w:val="24"/>
          <w:szCs w:val="24"/>
          <w:lang w:val="en-US" w:eastAsia="zh-CN"/>
        </w:rPr>
        <w:t>2.0</w:t>
      </w:r>
      <w:r>
        <w:rPr>
          <w:rFonts w:hint="default" w:ascii="Times New Roman" w:hAnsi="Times New Roman" w:cs="Times New Roman"/>
          <w:sz w:val="24"/>
          <w:szCs w:val="24"/>
        </w:rPr>
        <w:t>) .</w:t>
      </w:r>
      <w:r>
        <w:rPr>
          <w:rFonts w:hint="default" w:ascii="Times New Roman" w:hAnsi="Times New Roman" w:cs="Times New Roman"/>
          <w:sz w:val="24"/>
          <w:szCs w:val="24"/>
          <w:lang w:val="en-US" w:eastAsia="zh-CN"/>
        </w:rPr>
        <w:t xml:space="preserve"> We selected genetic variants with</w:t>
      </w:r>
      <w:r>
        <w:rPr>
          <w:rFonts w:hint="default" w:ascii="Times New Roman" w:hAnsi="Times New Roman" w:cs="Times New Roman"/>
          <w:sz w:val="24"/>
          <w:szCs w:val="24"/>
          <w:vertAlign w:val="baseline"/>
          <w:lang w:val="en-US" w:eastAsia="zh-CN"/>
        </w:rPr>
        <w:t xml:space="preserve"> </w:t>
      </w:r>
      <w:r>
        <w:rPr>
          <w:rFonts w:hint="default" w:ascii="Times New Roman" w:hAnsi="Times New Roman" w:cs="Times New Roman"/>
          <w:sz w:val="24"/>
          <w:szCs w:val="24"/>
          <w:lang w:val="en-US" w:eastAsia="zh-CN"/>
        </w:rPr>
        <w:t>genetic-exposure (HbA1c) p-value &lt; 5×10</w:t>
      </w:r>
      <w:r>
        <w:rPr>
          <w:rFonts w:hint="default" w:ascii="Times New Roman" w:hAnsi="Times New Roman" w:cs="Times New Roman"/>
          <w:sz w:val="24"/>
          <w:szCs w:val="24"/>
          <w:vertAlign w:val="superscript"/>
          <w:lang w:val="en-US" w:eastAsia="zh-CN"/>
        </w:rPr>
        <w:t>-8</w:t>
      </w:r>
      <w:r>
        <w:rPr>
          <w:rFonts w:hint="default" w:ascii="Times New Roman" w:hAnsi="Times New Roman" w:cs="Times New Roman"/>
          <w:sz w:val="24"/>
          <w:szCs w:val="24"/>
          <w:vertAlign w:val="baseline"/>
          <w:lang w:val="en-US" w:eastAsia="zh-CN"/>
        </w:rPr>
        <w:t>.</w:t>
      </w:r>
    </w:p>
    <w:p>
      <w:pPr>
        <w:pStyle w:val="4"/>
        <w:bidi w:val="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Supplementary Data 2. </w:t>
      </w:r>
      <w:r>
        <w:rPr>
          <w:rFonts w:hint="default" w:ascii="Times New Roman" w:hAnsi="Times New Roman" w:cs="Times New Roman"/>
          <w:b w:val="0"/>
          <w:bCs w:val="0"/>
          <w:sz w:val="24"/>
          <w:szCs w:val="24"/>
        </w:rPr>
        <w:t>Genome-wide association analysis for adjusted brain age gap</w:t>
      </w:r>
    </w:p>
    <w:p>
      <w:pPr>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We performed reverse causality analysis via MR analysis by treating adjusted </w:t>
      </w:r>
      <w:r>
        <w:rPr>
          <w:rFonts w:hint="default" w:ascii="Times New Roman" w:hAnsi="Times New Roman" w:cs="Times New Roman"/>
          <w:sz w:val="24"/>
          <w:szCs w:val="24"/>
          <w:lang w:val="en-US" w:eastAsia="zh-CN"/>
        </w:rPr>
        <w:t>BAG</w:t>
      </w:r>
      <w:r>
        <w:rPr>
          <w:rFonts w:hint="default" w:ascii="Times New Roman" w:hAnsi="Times New Roman" w:cs="Times New Roman"/>
          <w:sz w:val="24"/>
          <w:szCs w:val="24"/>
        </w:rPr>
        <w:t xml:space="preserve"> as the exposure and </w:t>
      </w:r>
      <w:r>
        <w:rPr>
          <w:rFonts w:hint="default" w:ascii="Times New Roman" w:hAnsi="Times New Roman" w:cs="Times New Roman"/>
          <w:sz w:val="24"/>
          <w:szCs w:val="24"/>
          <w:lang w:val="en-US" w:eastAsia="zh-CN"/>
        </w:rPr>
        <w:t>HbA1c</w:t>
      </w:r>
      <w:r>
        <w:rPr>
          <w:rFonts w:hint="default" w:ascii="Times New Roman" w:hAnsi="Times New Roman" w:cs="Times New Roman"/>
          <w:sz w:val="24"/>
          <w:szCs w:val="24"/>
        </w:rPr>
        <w:t xml:space="preserve"> as the outcome, following the two steps below:</w:t>
      </w:r>
    </w:p>
    <w:p>
      <w:pPr>
        <w:pStyle w:val="3"/>
        <w:numPr>
          <w:ilvl w:val="0"/>
          <w:numId w:val="3"/>
        </w:numPr>
        <w:rPr>
          <w:rFonts w:hint="default" w:ascii="Times New Roman" w:hAnsi="Times New Roman" w:cs="Times New Roman"/>
          <w:sz w:val="24"/>
          <w:szCs w:val="24"/>
        </w:rPr>
      </w:pPr>
      <w:r>
        <w:rPr>
          <w:rFonts w:hint="default" w:ascii="Times New Roman" w:hAnsi="Times New Roman" w:cs="Times New Roman"/>
          <w:sz w:val="24"/>
          <w:szCs w:val="24"/>
        </w:rPr>
        <w:t>Calculated genetic-exposure summary statistics using UKB participants with adjusted BAG data</w:t>
      </w:r>
      <w:r>
        <w:rPr>
          <w:rFonts w:hint="default" w:ascii="Times New Roman" w:hAnsi="Times New Roman" w:cs="Times New Roman"/>
          <w:sz w:val="24"/>
          <w:szCs w:val="24"/>
          <w:lang w:val="en-US" w:eastAsia="zh-CN"/>
        </w:rPr>
        <w:t>.</w:t>
      </w:r>
    </w:p>
    <w:p>
      <w:pPr>
        <w:pStyle w:val="3"/>
        <w:numPr>
          <w:ilvl w:val="0"/>
          <w:numId w:val="3"/>
        </w:numPr>
        <w:rPr>
          <w:rFonts w:hint="default" w:ascii="Times New Roman" w:hAnsi="Times New Roman" w:cs="Times New Roman"/>
          <w:sz w:val="24"/>
          <w:szCs w:val="24"/>
        </w:rPr>
      </w:pPr>
      <w:r>
        <w:rPr>
          <w:rFonts w:hint="default" w:ascii="Times New Roman" w:hAnsi="Times New Roman" w:cs="Times New Roman"/>
          <w:sz w:val="24"/>
          <w:szCs w:val="24"/>
        </w:rPr>
        <w:t xml:space="preserve">Calculated genetic-outcome summary statistics using UKB participants with only </w:t>
      </w:r>
      <w:r>
        <w:rPr>
          <w:rFonts w:hint="default" w:ascii="Times New Roman" w:hAnsi="Times New Roman" w:cs="Times New Roman"/>
          <w:sz w:val="24"/>
          <w:szCs w:val="24"/>
          <w:lang w:val="en-US" w:eastAsia="zh-CN"/>
        </w:rPr>
        <w:t>HbA1c</w:t>
      </w:r>
      <w:r>
        <w:rPr>
          <w:rFonts w:hint="default" w:ascii="Times New Roman" w:hAnsi="Times New Roman" w:cs="Times New Roman"/>
          <w:sz w:val="24"/>
          <w:szCs w:val="24"/>
        </w:rPr>
        <w:t xml:space="preserve"> data yet without adjusted BAG data</w:t>
      </w:r>
      <w:r>
        <w:rPr>
          <w:rFonts w:hint="default" w:ascii="Times New Roman" w:hAnsi="Times New Roman" w:cs="Times New Roman"/>
          <w:sz w:val="24"/>
          <w:szCs w:val="24"/>
          <w:lang w:val="en-US" w:eastAsia="zh-CN"/>
        </w:rPr>
        <w:t>.</w:t>
      </w:r>
    </w:p>
    <w:p>
      <w:pPr>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IV selection: After pruning and clumping genetic variants, we followed the IV selection introduced in </w:t>
      </w:r>
      <w:r>
        <w:rPr>
          <w:rFonts w:hint="default" w:ascii="Times New Roman" w:hAnsi="Times New Roman" w:cs="Times New Roman"/>
          <w:sz w:val="24"/>
          <w:szCs w:val="24"/>
          <w:lang w:val="en-US" w:eastAsia="zh-CN"/>
        </w:rPr>
        <w:t>Appendix 3</w:t>
      </w:r>
      <w:r>
        <w:rPr>
          <w:rFonts w:hint="default" w:ascii="Times New Roman" w:hAnsi="Times New Roman" w:cs="Times New Roman"/>
          <w:sz w:val="24"/>
          <w:szCs w:val="24"/>
        </w:rPr>
        <w:t xml:space="preserve"> and selected IVs for MR analysis using criteria below:</w:t>
      </w:r>
    </w:p>
    <w:p>
      <w:pPr>
        <w:pStyle w:val="3"/>
        <w:numPr>
          <w:ilvl w:val="0"/>
          <w:numId w:val="4"/>
        </w:numPr>
        <w:rPr>
          <w:rFonts w:hint="default" w:ascii="Times New Roman" w:hAnsi="Times New Roman" w:cs="Times New Roman"/>
          <w:sz w:val="24"/>
          <w:szCs w:val="24"/>
        </w:rPr>
      </w:pPr>
      <w:r>
        <w:rPr>
          <w:rFonts w:hint="default" w:ascii="Times New Roman" w:hAnsi="Times New Roman" w:cs="Times New Roman"/>
          <w:sz w:val="24"/>
          <w:szCs w:val="24"/>
        </w:rPr>
        <w:t xml:space="preserve">Selected genetic variants with genetic-exposure </w:t>
      </w:r>
      <w:r>
        <w:rPr>
          <w:rFonts w:hint="default" w:ascii="Times New Roman" w:hAnsi="Times New Roman" w:cs="Times New Roman"/>
          <w:i/>
          <w:iCs/>
          <w:sz w:val="24"/>
          <w:szCs w:val="24"/>
        </w:rPr>
        <w:t>p</w:t>
      </w:r>
      <w:r>
        <w:rPr>
          <w:rFonts w:hint="default" w:ascii="Times New Roman" w:hAnsi="Times New Roman" w:cs="Times New Roman"/>
          <w:sz w:val="24"/>
          <w:szCs w:val="24"/>
        </w:rPr>
        <w:t xml:space="preserve">-value &lt; </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*10</w:t>
      </w:r>
      <w:r>
        <w:rPr>
          <w:rFonts w:hint="default" w:ascii="Times New Roman" w:hAnsi="Times New Roman" w:cs="Times New Roman"/>
          <w:sz w:val="24"/>
          <w:szCs w:val="24"/>
          <w:vertAlign w:val="superscript"/>
          <w:lang w:eastAsia="zh-CN"/>
        </w:rPr>
        <w:t>-</w:t>
      </w:r>
      <w:r>
        <w:rPr>
          <w:rFonts w:hint="default" w:ascii="Times New Roman" w:hAnsi="Times New Roman" w:cs="Times New Roman"/>
          <w:sz w:val="24"/>
          <w:szCs w:val="24"/>
          <w:vertAlign w:val="superscript"/>
          <w:lang w:val="en-US" w:eastAsia="zh-CN"/>
        </w:rPr>
        <w:t>5</w:t>
      </w:r>
    </w:p>
    <w:p>
      <w:pPr>
        <w:pStyle w:val="3"/>
        <w:numPr>
          <w:ilvl w:val="0"/>
          <w:numId w:val="4"/>
        </w:numPr>
        <w:rPr>
          <w:rFonts w:hint="default" w:ascii="Times New Roman" w:hAnsi="Times New Roman" w:cs="Times New Roman"/>
          <w:sz w:val="24"/>
          <w:szCs w:val="24"/>
        </w:rPr>
      </w:pPr>
      <w:r>
        <w:rPr>
          <w:rFonts w:hint="default" w:ascii="Times New Roman" w:hAnsi="Times New Roman" w:cs="Times New Roman"/>
          <w:sz w:val="24"/>
          <w:szCs w:val="24"/>
        </w:rPr>
        <w:t>Selected genetic variants with genetic-confounder BH</w:t>
      </w:r>
      <w:r>
        <w:rPr>
          <w:rFonts w:hint="default" w:ascii="Times New Roman" w:hAnsi="Times New Roman" w:cs="Times New Roman"/>
          <w:i/>
          <w:iCs/>
          <w:sz w:val="24"/>
          <w:szCs w:val="24"/>
        </w:rPr>
        <w:t>p</w:t>
      </w:r>
      <w:r>
        <w:rPr>
          <w:rFonts w:hint="default" w:ascii="Times New Roman" w:hAnsi="Times New Roman" w:cs="Times New Roman"/>
          <w:sz w:val="24"/>
          <w:szCs w:val="24"/>
        </w:rPr>
        <w:t xml:space="preserve"> &gt; 0.05</w:t>
      </w:r>
    </w:p>
    <w:p>
      <w:pPr>
        <w:pStyle w:val="3"/>
        <w:numPr>
          <w:ilvl w:val="0"/>
          <w:numId w:val="4"/>
        </w:numPr>
        <w:rPr>
          <w:rFonts w:hint="default" w:ascii="Times New Roman" w:hAnsi="Times New Roman" w:cs="Times New Roman"/>
          <w:sz w:val="24"/>
          <w:szCs w:val="24"/>
        </w:rPr>
      </w:pPr>
      <w:r>
        <w:rPr>
          <w:rFonts w:hint="default" w:ascii="Times New Roman" w:hAnsi="Times New Roman" w:cs="Times New Roman"/>
          <w:sz w:val="24"/>
          <w:szCs w:val="24"/>
        </w:rPr>
        <w:t xml:space="preserve">Selected genetic variants with genetic-outcome </w:t>
      </w:r>
      <w:r>
        <w:rPr>
          <w:rFonts w:hint="default" w:ascii="Times New Roman" w:hAnsi="Times New Roman" w:cs="Times New Roman"/>
          <w:i/>
          <w:iCs/>
          <w:sz w:val="24"/>
          <w:szCs w:val="24"/>
        </w:rPr>
        <w:t>p</w:t>
      </w:r>
      <w:r>
        <w:rPr>
          <w:rFonts w:hint="default" w:ascii="Times New Roman" w:hAnsi="Times New Roman" w:cs="Times New Roman"/>
          <w:sz w:val="24"/>
          <w:szCs w:val="24"/>
        </w:rPr>
        <w:t>-value &gt; 0.</w:t>
      </w:r>
      <w:r>
        <w:rPr>
          <w:rFonts w:hint="default" w:ascii="Times New Roman" w:hAnsi="Times New Roman" w:cs="Times New Roman"/>
          <w:sz w:val="24"/>
          <w:szCs w:val="24"/>
          <w:lang w:val="en-US" w:eastAsia="zh-CN"/>
        </w:rPr>
        <w:t>1</w:t>
      </w:r>
    </w:p>
    <w:p>
      <w:pPr>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w:t>
      </w:r>
      <w:r>
        <w:rPr>
          <w:rFonts w:hint="default" w:ascii="Times New Roman" w:hAnsi="Times New Roman" w:cs="Times New Roman"/>
          <w:sz w:val="24"/>
          <w:szCs w:val="24"/>
          <w:lang w:val="en-US" w:eastAsia="zh-CN"/>
        </w:rPr>
        <w:t>e</w:t>
      </w:r>
      <w:r>
        <w:rPr>
          <w:rFonts w:hint="default" w:ascii="Times New Roman" w:hAnsi="Times New Roman" w:cs="Times New Roman"/>
          <w:sz w:val="24"/>
          <w:szCs w:val="24"/>
        </w:rPr>
        <w:t xml:space="preserve"> GWAS summary statistics and annotation of the IVs selected were provided in </w:t>
      </w:r>
      <w:r>
        <w:rPr>
          <w:rFonts w:hint="default" w:ascii="Times New Roman" w:hAnsi="Times New Roman" w:cs="Times New Roman"/>
          <w:sz w:val="24"/>
          <w:szCs w:val="24"/>
          <w:lang w:val="en-US" w:eastAsia="zh-CN"/>
        </w:rPr>
        <w:t xml:space="preserve">Supplementary Table </w:t>
      </w:r>
      <w:r>
        <w:rPr>
          <w:rFonts w:hint="eastAsia" w:cs="Times New Roman"/>
          <w:sz w:val="24"/>
          <w:szCs w:val="24"/>
          <w:lang w:val="en-US" w:eastAsia="zh-CN"/>
        </w:rPr>
        <w:t>11</w:t>
      </w:r>
      <w:r>
        <w:rPr>
          <w:rFonts w:hint="default" w:ascii="Times New Roman" w:hAnsi="Times New Roman" w:cs="Times New Roman"/>
          <w:sz w:val="24"/>
          <w:szCs w:val="24"/>
        </w:rPr>
        <w:t>. The Manhattan plot for GWAS for adjusted BAG is shown in Fig</w:t>
      </w:r>
      <w:r>
        <w:rPr>
          <w:rFonts w:hint="eastAsia" w:ascii="Times New Roman" w:hAnsi="Times New Roman" w:cs="Times New Roman"/>
          <w:sz w:val="24"/>
          <w:szCs w:val="24"/>
          <w:lang w:val="en-US" w:eastAsia="zh-CN"/>
        </w:rPr>
        <w:t>.</w:t>
      </w:r>
      <w:r>
        <w:rPr>
          <w:rFonts w:hint="eastAsia" w:cs="Times New Roman"/>
          <w:sz w:val="24"/>
          <w:szCs w:val="24"/>
          <w:lang w:val="en-US" w:eastAsia="zh-CN"/>
        </w:rPr>
        <w:t>1</w:t>
      </w:r>
      <w:r>
        <w:rPr>
          <w:rFonts w:hint="default" w:ascii="Times New Roman" w:hAnsi="Times New Roman" w:cs="Times New Roman"/>
          <w:sz w:val="24"/>
          <w:szCs w:val="24"/>
        </w:rPr>
        <w:t xml:space="preserve"> below.</w:t>
      </w:r>
    </w:p>
    <w:p>
      <w:pPr>
        <w:keepNext w:val="0"/>
        <w:keepLines w:val="0"/>
        <w:widowControl/>
        <w:suppressLineNumbers w:val="0"/>
        <w:jc w:val="center"/>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drawing>
          <wp:inline distT="0" distB="0" distL="114300" distR="114300">
            <wp:extent cx="3115310" cy="3115310"/>
            <wp:effectExtent l="0" t="0" r="8890" b="8890"/>
            <wp:docPr id="2" name="图片 2" descr="assoc_manhatt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ssoc_manhattan2"/>
                    <pic:cNvPicPr>
                      <a:picLocks noChangeAspect="1"/>
                    </pic:cNvPicPr>
                  </pic:nvPicPr>
                  <pic:blipFill>
                    <a:blip r:embed="rId10"/>
                    <a:stretch>
                      <a:fillRect/>
                    </a:stretch>
                  </pic:blipFill>
                  <pic:spPr>
                    <a:xfrm>
                      <a:off x="0" y="0"/>
                      <a:ext cx="3115310" cy="3115310"/>
                    </a:xfrm>
                    <a:prstGeom prst="rect">
                      <a:avLst/>
                    </a:prstGeom>
                  </pic:spPr>
                </pic:pic>
              </a:graphicData>
            </a:graphic>
          </wp:inline>
        </w:drawing>
      </w:r>
    </w:p>
    <w:p>
      <w:pPr>
        <w:spacing w:before="100" w:beforeAutospacing="1" w:after="100" w:afterAutospacing="1"/>
        <w:jc w:val="center"/>
        <w:rPr>
          <w:rFonts w:eastAsia="Times New Roman" w:cs="Times New Roman"/>
          <w:szCs w:val="24"/>
          <w:lang w:val="en-GB" w:eastAsia="en-GB"/>
        </w:rPr>
      </w:pPr>
      <w:r>
        <w:rPr>
          <w:rFonts w:hint="eastAsia" w:eastAsia="宋体" w:cs="Times New Roman"/>
          <w:b/>
          <w:bCs/>
          <w:sz w:val="24"/>
          <w:szCs w:val="24"/>
          <w:lang w:eastAsia="zh-CN"/>
        </w:rPr>
        <w:t>Supplementary</w:t>
      </w:r>
      <w:r>
        <w:rPr>
          <w:rFonts w:hint="default" w:ascii="Times New Roman" w:hAnsi="Times New Roman" w:cs="Times New Roman"/>
          <w:b/>
          <w:bCs/>
          <w:sz w:val="24"/>
          <w:szCs w:val="24"/>
        </w:rPr>
        <w:t xml:space="preserve"> </w:t>
      </w:r>
      <w:r>
        <w:rPr>
          <w:rFonts w:hint="eastAsia" w:eastAsia="宋体" w:cs="Times New Roman"/>
          <w:b/>
          <w:bCs/>
          <w:sz w:val="24"/>
          <w:szCs w:val="24"/>
          <w:lang w:val="en-US" w:eastAsia="zh-CN"/>
        </w:rPr>
        <w:t>Data</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 xml:space="preserve">Figure </w:t>
      </w:r>
      <w:r>
        <w:rPr>
          <w:rFonts w:hint="eastAsia" w:cs="Times New Roman"/>
          <w:b/>
          <w:bCs/>
          <w:sz w:val="24"/>
          <w:szCs w:val="24"/>
          <w:lang w:val="en-US" w:eastAsia="zh-CN"/>
        </w:rPr>
        <w:t>1</w:t>
      </w:r>
      <w:r>
        <w:rPr>
          <w:rFonts w:hint="default" w:ascii="Times New Roman" w:hAnsi="Times New Roman" w:cs="Times New Roman"/>
          <w:b/>
          <w:bCs/>
          <w:sz w:val="24"/>
          <w:szCs w:val="24"/>
        </w:rPr>
        <w:t xml:space="preserve">.  </w:t>
      </w:r>
      <w:r>
        <w:rPr>
          <w:rFonts w:hint="default" w:ascii="Times New Roman" w:hAnsi="Times New Roman" w:cs="Times New Roman"/>
          <w:b w:val="0"/>
          <w:bCs w:val="0"/>
          <w:sz w:val="24"/>
          <w:szCs w:val="24"/>
        </w:rPr>
        <w:t>Manhattan plot of</w:t>
      </w:r>
      <w:r>
        <w:rPr>
          <w:rFonts w:hint="eastAsia" w:eastAsia="宋体" w:cs="Times New Roman"/>
          <w:b w:val="0"/>
          <w:bCs w:val="0"/>
          <w:sz w:val="24"/>
          <w:szCs w:val="24"/>
          <w:lang w:val="en-US" w:eastAsia="zh-CN"/>
        </w:rPr>
        <w:t xml:space="preserve"> GWAS for</w:t>
      </w:r>
      <w:r>
        <w:rPr>
          <w:rFonts w:hint="default" w:ascii="Times New Roman" w:hAnsi="Times New Roman" w:cs="Times New Roman"/>
          <w:b w:val="0"/>
          <w:bCs w:val="0"/>
          <w:sz w:val="24"/>
          <w:szCs w:val="24"/>
        </w:rPr>
        <w:t xml:space="preserve"> adjusted BAG.</w:t>
      </w:r>
    </w:p>
    <w:p>
      <w:pPr>
        <w:pStyle w:val="4"/>
        <w:bidi w:val="0"/>
        <w:rPr>
          <w:rFonts w:hint="eastAsia" w:eastAsia="宋体" w:cs="Times New Roman"/>
          <w:b w:val="0"/>
          <w:bCs w:val="0"/>
          <w:sz w:val="24"/>
          <w:szCs w:val="24"/>
          <w:highlight w:val="none"/>
          <w:lang w:val="en-US" w:eastAsia="zh-CN"/>
        </w:rPr>
      </w:pPr>
      <w:r>
        <w:rPr>
          <w:rFonts w:hint="default" w:ascii="Times New Roman" w:hAnsi="Times New Roman" w:cs="Times New Roman"/>
          <w:b/>
          <w:bCs/>
          <w:sz w:val="24"/>
          <w:szCs w:val="24"/>
          <w:highlight w:val="none"/>
        </w:rPr>
        <w:t>Sup</w:t>
      </w:r>
      <w:bookmarkStart w:id="0" w:name="_GoBack"/>
      <w:bookmarkEnd w:id="0"/>
      <w:r>
        <w:rPr>
          <w:rFonts w:hint="default" w:ascii="Times New Roman" w:hAnsi="Times New Roman" w:cs="Times New Roman"/>
          <w:b/>
          <w:bCs/>
          <w:sz w:val="24"/>
          <w:szCs w:val="24"/>
          <w:highlight w:val="none"/>
        </w:rPr>
        <w:t xml:space="preserve">plementary Data </w:t>
      </w:r>
      <w:r>
        <w:rPr>
          <w:rFonts w:hint="eastAsia" w:eastAsia="宋体" w:cs="Times New Roman"/>
          <w:b/>
          <w:bCs/>
          <w:sz w:val="24"/>
          <w:szCs w:val="24"/>
          <w:highlight w:val="none"/>
          <w:lang w:val="en-US" w:eastAsia="zh-CN"/>
        </w:rPr>
        <w:t xml:space="preserve">3. </w:t>
      </w:r>
      <w:r>
        <w:rPr>
          <w:rFonts w:hint="default" w:ascii="Times New Roman" w:hAnsi="Times New Roman" w:cs="Times New Roman"/>
          <w:b w:val="0"/>
          <w:bCs w:val="0"/>
          <w:sz w:val="24"/>
          <w:szCs w:val="24"/>
          <w:highlight w:val="none"/>
        </w:rPr>
        <w:t xml:space="preserve">Manhattan plot of </w:t>
      </w:r>
      <w:r>
        <w:rPr>
          <w:rFonts w:hint="eastAsia" w:eastAsia="宋体" w:cs="Times New Roman"/>
          <w:b w:val="0"/>
          <w:bCs w:val="0"/>
          <w:sz w:val="24"/>
          <w:szCs w:val="24"/>
          <w:highlight w:val="none"/>
          <w:lang w:val="en-US" w:eastAsia="zh-CN"/>
        </w:rPr>
        <w:t>HbA1c.</w:t>
      </w:r>
    </w:p>
    <w:p>
      <w:pPr>
        <w:rPr>
          <w:rFonts w:hint="default" w:eastAsia="宋体" w:cs="Times New Roman"/>
          <w:b w:val="0"/>
          <w:bCs w:val="0"/>
          <w:sz w:val="24"/>
          <w:szCs w:val="24"/>
          <w:highlight w:val="none"/>
          <w:lang w:val="en-US" w:eastAsia="zh-CN"/>
        </w:rPr>
      </w:pPr>
      <w:r>
        <w:rPr>
          <w:rFonts w:hint="eastAsia" w:eastAsia="宋体" w:cs="Times New Roman"/>
          <w:b w:val="0"/>
          <w:bCs w:val="0"/>
          <w:sz w:val="24"/>
          <w:szCs w:val="24"/>
          <w:highlight w:val="none"/>
          <w:lang w:val="en-US" w:eastAsia="zh-CN"/>
        </w:rPr>
        <w:t>We provided Manhattan plot of the association analysis for adjusted Brain Age Gap (BAG) at a significance level of 5e-8. More details see Supplementary Table S8.</w:t>
      </w:r>
    </w:p>
    <w:p>
      <w:pPr>
        <w:jc w:val="center"/>
        <w:rPr>
          <w:rFonts w:hint="default" w:eastAsia="宋体" w:cs="Times New Roman"/>
          <w:b w:val="0"/>
          <w:bCs w:val="0"/>
          <w:sz w:val="24"/>
          <w:szCs w:val="24"/>
          <w:highlight w:val="none"/>
          <w:lang w:val="en-US" w:eastAsia="zh-CN"/>
        </w:rPr>
      </w:pPr>
      <w:r>
        <w:rPr>
          <w:rFonts w:hint="default" w:eastAsia="宋体" w:cs="Times New Roman"/>
          <w:b w:val="0"/>
          <w:bCs w:val="0"/>
          <w:sz w:val="24"/>
          <w:szCs w:val="24"/>
          <w:highlight w:val="none"/>
          <w:lang w:val="en-US" w:eastAsia="zh-CN"/>
        </w:rPr>
        <w:drawing>
          <wp:inline distT="0" distB="0" distL="114300" distR="114300">
            <wp:extent cx="2746375" cy="3335655"/>
            <wp:effectExtent l="0" t="0" r="12065" b="1905"/>
            <wp:docPr id="10" name="图片 10" descr="assoc_manhatta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ssoc_manhattan8"/>
                    <pic:cNvPicPr>
                      <a:picLocks noChangeAspect="1"/>
                    </pic:cNvPicPr>
                  </pic:nvPicPr>
                  <pic:blipFill>
                    <a:blip r:embed="rId11"/>
                    <a:stretch>
                      <a:fillRect/>
                    </a:stretch>
                  </pic:blipFill>
                  <pic:spPr>
                    <a:xfrm>
                      <a:off x="0" y="0"/>
                      <a:ext cx="2746375" cy="3335655"/>
                    </a:xfrm>
                    <a:prstGeom prst="rect">
                      <a:avLst/>
                    </a:prstGeom>
                  </pic:spPr>
                </pic:pic>
              </a:graphicData>
            </a:graphic>
          </wp:inline>
        </w:drawing>
      </w:r>
    </w:p>
    <w:p>
      <w:pPr>
        <w:jc w:val="center"/>
        <w:rPr>
          <w:rFonts w:hint="eastAsia" w:eastAsia="宋体"/>
          <w:highlight w:val="yellow"/>
          <w:lang w:val="en-US" w:eastAsia="zh-CN"/>
        </w:rPr>
      </w:pPr>
      <w:r>
        <w:rPr>
          <w:rFonts w:hint="eastAsia" w:eastAsia="宋体" w:cs="Times New Roman"/>
          <w:b/>
          <w:bCs/>
          <w:sz w:val="24"/>
          <w:szCs w:val="24"/>
          <w:highlight w:val="none"/>
          <w:lang w:eastAsia="zh-CN"/>
        </w:rPr>
        <w:t>Supplementary</w:t>
      </w:r>
      <w:r>
        <w:rPr>
          <w:rFonts w:hint="default" w:ascii="Times New Roman" w:hAnsi="Times New Roman" w:cs="Times New Roman"/>
          <w:b/>
          <w:bCs/>
          <w:sz w:val="24"/>
          <w:szCs w:val="24"/>
          <w:highlight w:val="none"/>
        </w:rPr>
        <w:t xml:space="preserve"> </w:t>
      </w:r>
      <w:r>
        <w:rPr>
          <w:rFonts w:hint="eastAsia" w:eastAsia="宋体" w:cs="Times New Roman"/>
          <w:b/>
          <w:bCs/>
          <w:sz w:val="24"/>
          <w:szCs w:val="24"/>
          <w:highlight w:val="none"/>
          <w:lang w:val="en-US" w:eastAsia="zh-CN"/>
        </w:rPr>
        <w:t>Data</w:t>
      </w:r>
      <w:r>
        <w:rPr>
          <w:rFonts w:hint="eastAsia" w:ascii="Times New Roman" w:hAnsi="Times New Roman" w:cs="Times New Roman"/>
          <w:b/>
          <w:bCs/>
          <w:sz w:val="24"/>
          <w:szCs w:val="24"/>
          <w:highlight w:val="none"/>
          <w:lang w:val="en-US" w:eastAsia="zh-CN"/>
        </w:rPr>
        <w:t xml:space="preserve"> </w:t>
      </w:r>
      <w:r>
        <w:rPr>
          <w:rFonts w:hint="default" w:ascii="Times New Roman" w:hAnsi="Times New Roman" w:cs="Times New Roman"/>
          <w:b/>
          <w:bCs/>
          <w:sz w:val="24"/>
          <w:szCs w:val="24"/>
          <w:highlight w:val="none"/>
        </w:rPr>
        <w:t xml:space="preserve">Figure </w:t>
      </w:r>
      <w:r>
        <w:rPr>
          <w:rFonts w:hint="eastAsia" w:cs="Times New Roman"/>
          <w:b/>
          <w:bCs/>
          <w:sz w:val="24"/>
          <w:szCs w:val="24"/>
          <w:highlight w:val="none"/>
          <w:lang w:val="en-US" w:eastAsia="zh-CN"/>
        </w:rPr>
        <w:t>2</w:t>
      </w:r>
      <w:r>
        <w:rPr>
          <w:rFonts w:hint="default" w:ascii="Times New Roman" w:hAnsi="Times New Roman" w:cs="Times New Roman"/>
          <w:b/>
          <w:bCs/>
          <w:sz w:val="24"/>
          <w:szCs w:val="24"/>
          <w:highlight w:val="none"/>
        </w:rPr>
        <w:t>.</w:t>
      </w:r>
      <w:r>
        <w:rPr>
          <w:rFonts w:hint="eastAsia" w:eastAsia="宋体" w:cs="Times New Roman"/>
          <w:b/>
          <w:bCs/>
          <w:sz w:val="24"/>
          <w:szCs w:val="24"/>
          <w:highlight w:val="none"/>
          <w:lang w:val="en-US" w:eastAsia="zh-CN"/>
        </w:rPr>
        <w:t xml:space="preserve"> </w:t>
      </w:r>
      <w:r>
        <w:rPr>
          <w:rFonts w:hint="eastAsia" w:eastAsia="宋体" w:cs="Times New Roman"/>
          <w:b w:val="0"/>
          <w:bCs w:val="0"/>
          <w:sz w:val="24"/>
          <w:szCs w:val="24"/>
          <w:highlight w:val="none"/>
          <w:lang w:val="en-US" w:eastAsia="zh-CN"/>
        </w:rPr>
        <w:t>Manhattan plot of GWAS for HbA1c.</w:t>
      </w:r>
    </w:p>
    <w:p>
      <w:r>
        <w:br w:type="page"/>
      </w:r>
    </w:p>
    <w:p>
      <w:pPr>
        <w:pStyle w:val="2"/>
        <w:bidi w:val="0"/>
      </w:pPr>
      <w:r>
        <w:t>Supplementary Figures</w:t>
      </w:r>
    </w:p>
    <w:p>
      <w:pPr>
        <w:pStyle w:val="5"/>
        <w:numPr>
          <w:ilvl w:val="2"/>
          <w:numId w:val="0"/>
        </w:numPr>
        <w:bidi w:val="0"/>
        <w:ind w:leftChars="0"/>
        <w:rPr>
          <w:rFonts w:hint="default" w:ascii="Times New Roman" w:hAnsi="Times New Roman" w:cs="Times New Roman"/>
          <w:b/>
          <w:bCs/>
          <w:sz w:val="24"/>
          <w:szCs w:val="24"/>
          <w:lang w:val="en-US" w:eastAsia="zh-CN"/>
        </w:rPr>
      </w:pPr>
      <w:r>
        <w:rPr>
          <w:rStyle w:val="45"/>
          <w:rFonts w:hint="default"/>
          <w:b/>
        </w:rPr>
        <w:t xml:space="preserve">Figure </w:t>
      </w:r>
      <w:r>
        <w:rPr>
          <w:rStyle w:val="45"/>
          <w:rFonts w:hint="eastAsia"/>
          <w:b/>
          <w:lang w:val="en-US" w:eastAsia="zh-CN"/>
        </w:rPr>
        <w:t>S1</w:t>
      </w:r>
      <w:r>
        <w:rPr>
          <w:rStyle w:val="45"/>
          <w:rFonts w:hint="default"/>
          <w:b/>
        </w:rPr>
        <w:t xml:space="preserve">. </w:t>
      </w:r>
      <w:r>
        <w:rPr>
          <w:rStyle w:val="45"/>
          <w:rFonts w:hint="eastAsia"/>
          <w:b/>
          <w:lang w:val="en-US" w:eastAsia="zh-CN"/>
        </w:rPr>
        <w:t>Association</w:t>
      </w:r>
      <w:r>
        <w:rPr>
          <w:rStyle w:val="45"/>
          <w:rFonts w:hint="default"/>
          <w:b/>
        </w:rPr>
        <w:t xml:space="preserve"> of predicted brain age.</w:t>
      </w:r>
      <w:r>
        <w:rPr>
          <w:rFonts w:hint="default" w:ascii="Times New Roman" w:hAnsi="Times New Roman" w:cs="Times New Roman"/>
          <w:b/>
          <w:bCs/>
          <w:sz w:val="24"/>
          <w:szCs w:val="24"/>
          <w:lang w:val="en-US" w:eastAsia="zh-CN"/>
        </w:rPr>
        <w:t xml:space="preserve"> </w:t>
      </w:r>
    </w:p>
    <w:p>
      <w:p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rPr>
        <w:t xml:space="preserve">A shows the predicted brain age (y-axis) versus chronological age (x-axis) before correction. B shows the predicted brain age after correction. The prediction after the correction revealed improved accuracy according to the increased values of the coefficients of correlation (R) and mean absolute error (MAE (year)). These results indicated that the predicted brain age tended to be overestimated at low chronological age (x-axis) and underestimated at high chronological age </w:t>
      </w:r>
      <w:r>
        <w:rPr>
          <w:rFonts w:hint="default" w:ascii="Times New Roman" w:hAnsi="Times New Roman" w:cs="Times New Roman"/>
          <w:sz w:val="24"/>
          <w:szCs w:val="24"/>
        </w:rPr>
        <w:fldChar w:fldCharType="begin"/>
      </w:r>
      <w:r>
        <w:rPr>
          <w:rFonts w:hint="eastAsia" w:cs="Times New Roman"/>
          <w:sz w:val="24"/>
          <w:szCs w:val="24"/>
          <w:lang w:eastAsia="zh-CN"/>
        </w:rPr>
        <w:instrText xml:space="preserve"> ADDIN ZOTERO_ITEM CSL_CITATION {"citationID":"djG3uXxq","properties":{"formattedCitation":"(Beheshti et al., 2019; Linli et al., 2022)","plainCitation":"(Beheshti et al., 2019; Linli et al., 2022)","noteIndex":0},"citationItems":[{"id":453,"uris":["http://zotero.org/users/9907810/items/KQUPX39U"],"itemData":{"id":453,"type":"article-journal","container-title":"Progress in Neuro-Psychopharmacology and Biological Psychiatry","DOI":"10.1016/j.pnpbp.2021.110471","ISSN":"02785846","journalAbbreviation":"Progress in Neuro-Psychopharmacology and Biological Psychiatry","language":"en","page":"110471","source":"DOI.org (Crossref)","title":"Associations between smoking and accelerated brain ageing","volume":"113","author":[{"family":"Linli","given":"Zeqiang"},{"family":"Feng","given":"Jianfeng"},{"family":"Zhao","given":"Wei"},{"family":"Guo","given":"Shuixia"}],"issued":{"date-parts":[["2022",3]]},"citation-key":"linliAssociationsSmokingAccelerated2022"}},{"id":"HaBsSREz/Tzwfc0UF","uris":["http://zotero.org/users/local/dJvqDwPU/items/6LNNX8X4"],"itemData":{"id":"ZcvBoPSF/jkGmh1Qs","type":"article-journal","container-title":"NeuroImage: Clinical","page":"102063","title":"Bias-adjustment in neuroimaging-based brain age frameworks: A robust scheme","volume":"24","author":[{"family":"Beheshti","given":"Iman"},{"family":"Nugent","given":"Scott"},{"family":"Potvin","given":"Olivier"},{"family":"Duchesne","given":"Simon"}],"issued":{"date-parts":[["2019"]]}}}],"schema":"https://github.com/citation-style-language/schema/raw/master/csl-citation.json"}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lang w:eastAsia="zh-CN"/>
        </w:rPr>
        <w:t>(Beheshti et al., 2019; Linli et al., 2022)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The prediction can be biased toward the mean when regression minimizes the expected loss function for the optimization procedure </w:t>
      </w:r>
      <w:r>
        <w:rPr>
          <w:rFonts w:hint="default" w:ascii="Times New Roman" w:hAnsi="Times New Roman" w:cs="Times New Roman"/>
          <w:sz w:val="24"/>
          <w:szCs w:val="24"/>
        </w:rPr>
        <w:fldChar w:fldCharType="begin"/>
      </w:r>
      <w:r>
        <w:rPr>
          <w:rFonts w:hint="eastAsia" w:cs="Times New Roman"/>
          <w:sz w:val="24"/>
          <w:szCs w:val="24"/>
          <w:lang w:eastAsia="zh-CN"/>
        </w:rPr>
        <w:instrText xml:space="preserve"> ADDIN ZOTERO_ITEM CSL_CITATION {"citationID":"9STJq14f","properties":{"formattedCitation":"(Smith et al., 2019; Butler et al., 2021)","plainCitation":"(Smith et al., 2019; Butler et al., 2021)","noteIndex":0},"citationItems":[{"id":"HaBsSREz/1W0dVywf","uris":["http://zotero.org/users/local/dJvqDwPU/items/VJDMGVZG"],"itemData":{"id":637,"type":"article-journal","container-title":"Neuroimage","page":"528-539","title":"Estimation of brain age delta from brain imaging","volume":"200","author":[{"family":"Smith","given":"Stephen M."},{"family":"Vidaurre","given":"Diego"},{"family":"Alfaro-Almagro","given":"Fidel"},{"family":"Nichols","given":"Thomas E."},{"family":"Miller","given":"Karla L."}],"issued":{"date-parts":[["2019"]]}}},{"id":"HaBsSREz/iLlbvQzh","uris":["http://zotero.org/users/local/dJvqDwPU/items/T9XLSUS7"],"itemData":{"id":734,"type":"report","note":"ISBN: 1065-9471","publisher":"Wiley Online Library","title":"Pitfalls in brain age analyses","author":[{"family":"Butler","given":"Ellyn R."},{"family":"Chen","given":"Andrew"},{"family":"Ramadan","given":"Rabie"},{"family":"Le","given":"Trang T."},{"family":"Ruparel","given":"Kosha"},{"family":"Moore","given":"Tyler M."},{"family":"Satterthwaite","given":"Theodore D."},{"family":"Zhang","given":"Fengqing"},{"family":"Shou","given":"Haochang"},{"family":"Gur","given":"Ruben C."}],"issued":{"date-parts":[["2021"]]}}}],"schema":"https://github.com/citation-style-language/schema/raw/master/csl-citation.json"}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lang w:eastAsia="zh-CN"/>
        </w:rPr>
        <w:t>(Smith et al., 2019; Butler et al., 2021)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This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property causes the regression to naturally predicts values toward the mean instead of remaining as extreme as they were initially observed when randomness exists in the sampling process </w:t>
      </w:r>
      <w:r>
        <w:rPr>
          <w:rFonts w:hint="default" w:ascii="Times New Roman" w:hAnsi="Times New Roman" w:cs="Times New Roman"/>
          <w:sz w:val="24"/>
          <w:szCs w:val="24"/>
        </w:rPr>
        <w:fldChar w:fldCharType="begin"/>
      </w:r>
      <w:r>
        <w:rPr>
          <w:rFonts w:hint="eastAsia" w:cs="Times New Roman"/>
          <w:sz w:val="24"/>
          <w:szCs w:val="24"/>
          <w:lang w:eastAsia="zh-CN"/>
        </w:rPr>
        <w:instrText xml:space="preserve"> ADDIN ZOTERO_ITEM CSL_CITATION {"citationID":"LEZKHFRJ","properties":{"formattedCitation":"(Beheshti et al., 2019)","plainCitation":"(Beheshti et al., 2019)","noteIndex":0},"citationItems":[{"id":"HaBsSREz/Tzwfc0UF","uris":["http://zotero.org/users/local/dJvqDwPU/items/6LNNX8X4"],"itemData":{"id":"3p7uEALW/4L5qY6vz","type":"article-journal","container-title":"NeuroImage: Clinical","page":"102063","title":"Bias-adjustment in neuroimaging-based brain age frameworks: A robust scheme","volume":"24","author":[{"family":"Beheshti","given":"Iman"},{"family":"Nugent","given":"Scott"},{"family":"Potvin","given":"Olivier"},{"family":"Duchesne","given":"Simon"}],"issued":{"date-parts":[["2019"]]}}}],"schema":"https://github.com/citation-style-language/schema/raw/master/csl-citation.json"}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lang w:eastAsia="zh-CN"/>
        </w:rPr>
        <w:t>(Beheshti et al., 2019)</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5963920" cy="2581910"/>
            <wp:effectExtent l="0" t="0" r="10160" b="8890"/>
            <wp:docPr id="4" name="图片 4" descr="绘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绘图4"/>
                    <pic:cNvPicPr>
                      <a:picLocks noChangeAspect="1"/>
                    </pic:cNvPicPr>
                  </pic:nvPicPr>
                  <pic:blipFill>
                    <a:blip r:embed="rId12"/>
                    <a:stretch>
                      <a:fillRect/>
                    </a:stretch>
                  </pic:blipFill>
                  <pic:spPr>
                    <a:xfrm>
                      <a:off x="0" y="0"/>
                      <a:ext cx="5963920" cy="2581910"/>
                    </a:xfrm>
                    <a:prstGeom prst="rect">
                      <a:avLst/>
                    </a:prstGeom>
                  </pic:spPr>
                </pic:pic>
              </a:graphicData>
            </a:graphic>
          </wp:inline>
        </w:drawing>
      </w:r>
    </w:p>
    <w:p>
      <w:pPr>
        <w:pStyle w:val="5"/>
        <w:numPr>
          <w:ilvl w:val="2"/>
          <w:numId w:val="0"/>
        </w:numPr>
        <w:bidi w:val="0"/>
        <w:ind w:leftChars="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Figure </w:t>
      </w:r>
      <w:r>
        <w:rPr>
          <w:rFonts w:hint="eastAsia" w:eastAsia="宋体" w:cs="Times New Roman"/>
          <w:b/>
          <w:bCs/>
          <w:sz w:val="24"/>
          <w:szCs w:val="24"/>
          <w:lang w:val="en-US" w:eastAsia="zh-CN"/>
        </w:rPr>
        <w:t>S</w:t>
      </w:r>
      <w:r>
        <w:rPr>
          <w:rFonts w:hint="eastAsia" w:ascii="Times New Roman" w:hAnsi="Times New Roman" w:cs="Times New Roman"/>
          <w:b/>
          <w:bCs/>
          <w:sz w:val="24"/>
          <w:szCs w:val="24"/>
          <w:lang w:val="en-US" w:eastAsia="zh-CN"/>
        </w:rPr>
        <w:t>2</w:t>
      </w:r>
      <w:r>
        <w:rPr>
          <w:rFonts w:hint="default" w:ascii="Times New Roman" w:hAnsi="Times New Roman" w:cs="Times New Roman"/>
          <w:b/>
          <w:bCs/>
          <w:sz w:val="24"/>
          <w:szCs w:val="24"/>
        </w:rPr>
        <w:t>. The distribution of demographic characteristics for training s</w:t>
      </w:r>
      <w:r>
        <w:rPr>
          <w:rFonts w:hint="default" w:ascii="Times New Roman" w:hAnsi="Times New Roman" w:cs="Times New Roman"/>
          <w:b/>
          <w:bCs/>
          <w:sz w:val="24"/>
          <w:szCs w:val="24"/>
          <w:lang w:val="en-US" w:eastAsia="zh-CN"/>
        </w:rPr>
        <w:t>et</w:t>
      </w:r>
      <w:r>
        <w:rPr>
          <w:rFonts w:hint="default" w:ascii="Times New Roman" w:hAnsi="Times New Roman" w:cs="Times New Roman"/>
          <w:b/>
          <w:bCs/>
          <w:sz w:val="24"/>
          <w:szCs w:val="24"/>
        </w:rPr>
        <w:t xml:space="preserve"> and </w:t>
      </w:r>
      <w:r>
        <w:rPr>
          <w:rFonts w:hint="default" w:ascii="Times New Roman" w:hAnsi="Times New Roman" w:cs="Times New Roman"/>
          <w:b/>
          <w:bCs/>
          <w:sz w:val="24"/>
          <w:szCs w:val="24"/>
          <w:lang w:val="en-US" w:eastAsia="zh-CN"/>
        </w:rPr>
        <w:t xml:space="preserve">testing </w:t>
      </w:r>
      <w:r>
        <w:rPr>
          <w:rFonts w:hint="default" w:ascii="Times New Roman" w:hAnsi="Times New Roman" w:cs="Times New Roman"/>
          <w:b/>
          <w:bCs/>
          <w:sz w:val="24"/>
          <w:szCs w:val="24"/>
        </w:rPr>
        <w:t>s</w:t>
      </w:r>
      <w:r>
        <w:rPr>
          <w:rFonts w:hint="default" w:ascii="Times New Roman" w:hAnsi="Times New Roman" w:cs="Times New Roman"/>
          <w:b/>
          <w:bCs/>
          <w:sz w:val="24"/>
          <w:szCs w:val="24"/>
          <w:lang w:val="en-US" w:eastAsia="zh-CN"/>
        </w:rPr>
        <w:t>et</w:t>
      </w:r>
      <w:r>
        <w:rPr>
          <w:rFonts w:hint="default" w:ascii="Times New Roman" w:hAnsi="Times New Roman" w:cs="Times New Roman"/>
          <w:b/>
          <w:bCs/>
          <w:sz w:val="24"/>
          <w:szCs w:val="24"/>
        </w:rPr>
        <w:t>.</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The plots showed characteristics among different sets, including the training sample (non-</w:t>
      </w:r>
      <w:r>
        <w:rPr>
          <w:rFonts w:hint="default" w:ascii="Times New Roman" w:hAnsi="Times New Roman" w:cs="Times New Roman"/>
          <w:sz w:val="24"/>
          <w:szCs w:val="24"/>
          <w:lang w:val="en-US" w:eastAsia="zh-CN"/>
        </w:rPr>
        <w:t>T2D</w:t>
      </w:r>
      <w:r>
        <w:rPr>
          <w:rFonts w:hint="default" w:ascii="Times New Roman" w:hAnsi="Times New Roman" w:cs="Times New Roman"/>
          <w:sz w:val="24"/>
          <w:szCs w:val="24"/>
        </w:rPr>
        <w:t xml:space="preserve"> only) and the study sample ((non-</w:t>
      </w:r>
      <w:r>
        <w:rPr>
          <w:rFonts w:hint="default" w:ascii="Times New Roman" w:hAnsi="Times New Roman" w:cs="Times New Roman"/>
          <w:sz w:val="24"/>
          <w:szCs w:val="24"/>
          <w:lang w:val="en-US" w:eastAsia="zh-CN"/>
        </w:rPr>
        <w:t>T2D</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eastAsia="zh-CN"/>
        </w:rPr>
        <w:t>T2D</w:t>
      </w:r>
      <w:r>
        <w:rPr>
          <w:rFonts w:hint="default" w:ascii="Times New Roman" w:hAnsi="Times New Roman" w:cs="Times New Roman"/>
          <w:sz w:val="24"/>
          <w:szCs w:val="24"/>
        </w:rPr>
        <w:t xml:space="preserve"> separately).</w:t>
      </w:r>
      <w:r>
        <w:rPr>
          <w:rFonts w:hint="default" w:ascii="Times New Roman" w:hAnsi="Times New Roman" w:cs="Times New Roman"/>
          <w:sz w:val="24"/>
          <w:szCs w:val="24"/>
          <w:lang w:val="en-US" w:eastAsia="zh-CN"/>
        </w:rPr>
        <w:t xml:space="preserve"> A and B show the time distribution of age and BMI in the box diagram. C shows the frequency of gender in the bar graph.</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5637530" cy="1747520"/>
            <wp:effectExtent l="0" t="0" r="1270" b="5080"/>
            <wp:docPr id="3" name="图片 3" descr="绘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绘图3"/>
                    <pic:cNvPicPr>
                      <a:picLocks noChangeAspect="1"/>
                    </pic:cNvPicPr>
                  </pic:nvPicPr>
                  <pic:blipFill>
                    <a:blip r:embed="rId13"/>
                    <a:stretch>
                      <a:fillRect/>
                    </a:stretch>
                  </pic:blipFill>
                  <pic:spPr>
                    <a:xfrm>
                      <a:off x="0" y="0"/>
                      <a:ext cx="5637530" cy="1747520"/>
                    </a:xfrm>
                    <a:prstGeom prst="rect">
                      <a:avLst/>
                    </a:prstGeom>
                  </pic:spPr>
                </pic:pic>
              </a:graphicData>
            </a:graphic>
          </wp:inline>
        </w:drawing>
      </w:r>
    </w:p>
    <w:p>
      <w:p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br w:type="page"/>
      </w:r>
    </w:p>
    <w:p>
      <w:pPr>
        <w:pStyle w:val="5"/>
        <w:numPr>
          <w:ilvl w:val="2"/>
          <w:numId w:val="0"/>
        </w:numPr>
        <w:bidi w:val="0"/>
        <w:ind w:leftChars="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Figure </w:t>
      </w:r>
      <w:r>
        <w:rPr>
          <w:rFonts w:hint="eastAsia" w:cs="Times New Roman"/>
          <w:b/>
          <w:bCs/>
          <w:sz w:val="24"/>
          <w:szCs w:val="24"/>
          <w:lang w:val="en-US" w:eastAsia="zh-CN"/>
        </w:rPr>
        <w:t>S</w:t>
      </w: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val="0"/>
          <w:bCs w:val="0"/>
          <w:sz w:val="24"/>
          <w:szCs w:val="24"/>
          <w:lang w:val="en-US" w:eastAsia="zh-CN"/>
        </w:rPr>
        <w:t>The effect sizes with the 95% confidence interval for testing the difference between non-T2D and T2D within each age category.</w:t>
      </w:r>
    </w:p>
    <w:p>
      <w:pPr>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drawing>
          <wp:inline distT="0" distB="0" distL="114300" distR="114300">
            <wp:extent cx="4363085" cy="3841115"/>
            <wp:effectExtent l="0" t="0" r="10795" b="14605"/>
            <wp:docPr id="8" name="图片 8" descr="cohen's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ohen's d"/>
                    <pic:cNvPicPr>
                      <a:picLocks noChangeAspect="1"/>
                    </pic:cNvPicPr>
                  </pic:nvPicPr>
                  <pic:blipFill>
                    <a:blip r:embed="rId14"/>
                    <a:stretch>
                      <a:fillRect/>
                    </a:stretch>
                  </pic:blipFill>
                  <pic:spPr>
                    <a:xfrm>
                      <a:off x="0" y="0"/>
                      <a:ext cx="4363085" cy="3841115"/>
                    </a:xfrm>
                    <a:prstGeom prst="rect">
                      <a:avLst/>
                    </a:prstGeom>
                  </pic:spPr>
                </pic:pic>
              </a:graphicData>
            </a:graphic>
          </wp:inline>
        </w:drawing>
      </w:r>
    </w:p>
    <w:p>
      <w:pPr>
        <w:pStyle w:val="5"/>
        <w:numPr>
          <w:ilvl w:val="2"/>
          <w:numId w:val="0"/>
        </w:numPr>
        <w:bidi w:val="0"/>
        <w:ind w:leftChars="0"/>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b/>
          <w:bCs/>
          <w:sz w:val="24"/>
          <w:szCs w:val="24"/>
        </w:rPr>
        <w:t xml:space="preserve">Figure </w:t>
      </w:r>
      <w:r>
        <w:rPr>
          <w:rFonts w:hint="eastAsia" w:eastAsia="宋体" w:cs="Times New Roman"/>
          <w:b/>
          <w:bCs/>
          <w:sz w:val="24"/>
          <w:szCs w:val="24"/>
          <w:lang w:val="en-US" w:eastAsia="zh-CN"/>
        </w:rPr>
        <w:t>S</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rPr>
        <w:t xml:space="preserve">. </w:t>
      </w:r>
      <w:r>
        <w:rPr>
          <w:rFonts w:hint="default" w:ascii="Times New Roman" w:hAnsi="Times New Roman" w:cs="Times New Roman"/>
          <w:b w:val="0"/>
          <w:bCs w:val="0"/>
          <w:sz w:val="24"/>
          <w:szCs w:val="24"/>
        </w:rPr>
        <w:t>Leave-one-out analysis</w:t>
      </w:r>
      <w:r>
        <w:rPr>
          <w:rFonts w:hint="eastAsia" w:cs="Times New Roman"/>
          <w:b w:val="0"/>
          <w:bCs w:val="0"/>
          <w:sz w:val="24"/>
          <w:szCs w:val="24"/>
          <w:lang w:val="en-US" w:eastAsia="zh-CN"/>
        </w:rPr>
        <w:t xml:space="preserve"> (LOOA)</w:t>
      </w:r>
      <w:r>
        <w:rPr>
          <w:rFonts w:hint="default" w:ascii="Times New Roman" w:hAnsi="Times New Roman" w:cs="Times New Roman"/>
          <w:b w:val="0"/>
          <w:bCs w:val="0"/>
          <w:sz w:val="24"/>
          <w:szCs w:val="24"/>
        </w:rPr>
        <w:t xml:space="preserve"> for </w:t>
      </w:r>
      <w:r>
        <w:rPr>
          <w:rFonts w:hint="eastAsia" w:cs="Times New Roman"/>
          <w:b w:val="0"/>
          <w:bCs w:val="0"/>
          <w:sz w:val="24"/>
          <w:szCs w:val="24"/>
          <w:lang w:val="en-US" w:eastAsia="zh-CN"/>
        </w:rPr>
        <w:t xml:space="preserve">MR results of </w:t>
      </w:r>
      <w:r>
        <w:rPr>
          <w:rFonts w:hint="default" w:ascii="Times New Roman" w:hAnsi="Times New Roman" w:cs="Times New Roman"/>
          <w:b w:val="0"/>
          <w:bCs w:val="0"/>
          <w:sz w:val="24"/>
          <w:szCs w:val="24"/>
          <w:lang w:val="en-US" w:eastAsia="zh-CN"/>
        </w:rPr>
        <w:t>Hemoglobin Type A1C (HbA1c)</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eastAsia="zh-CN"/>
        </w:rPr>
        <w:t>T</w:t>
      </w:r>
      <w:r>
        <w:rPr>
          <w:rFonts w:hint="default" w:ascii="Times New Roman" w:hAnsi="Times New Roman" w:cs="Times New Roman"/>
          <w:b w:val="0"/>
          <w:bCs w:val="0"/>
          <w:sz w:val="24"/>
          <w:szCs w:val="24"/>
        </w:rPr>
        <w:t>he 10 SNPs</w:t>
      </w:r>
      <w:r>
        <w:rPr>
          <w:rFonts w:hint="eastAsia" w:cs="Times New Roman"/>
          <w:b w:val="0"/>
          <w:bCs w:val="0"/>
          <w:sz w:val="24"/>
          <w:szCs w:val="24"/>
          <w:lang w:val="en-US" w:eastAsia="zh-CN"/>
        </w:rPr>
        <w:t xml:space="preserve"> from LOOA</w:t>
      </w:r>
      <w:r>
        <w:rPr>
          <w:rFonts w:hint="default" w:ascii="Times New Roman" w:hAnsi="Times New Roman" w:cs="Times New Roman"/>
          <w:b w:val="0"/>
          <w:bCs w:val="0"/>
          <w:sz w:val="24"/>
          <w:szCs w:val="24"/>
        </w:rPr>
        <w:t xml:space="preserve"> with the lowest estimated values were selected for plotting.</w:t>
      </w:r>
      <w:r>
        <w:rPr>
          <w:rFonts w:hint="eastAsia" w:cs="Times New Roman"/>
          <w:b w:val="0"/>
          <w:bCs w:val="0"/>
          <w:sz w:val="24"/>
          <w:szCs w:val="24"/>
          <w:lang w:val="en-US" w:eastAsia="zh-CN"/>
        </w:rPr>
        <w:t xml:space="preserve"> Further details can be found in Supplementary Table S10.</w:t>
      </w:r>
    </w:p>
    <w:p>
      <w:pPr>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drawing>
          <wp:inline distT="0" distB="0" distL="114300" distR="114300">
            <wp:extent cx="5266690" cy="2134870"/>
            <wp:effectExtent l="0" t="0" r="6350" b="1397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15"/>
                    <a:stretch>
                      <a:fillRect/>
                    </a:stretch>
                  </pic:blipFill>
                  <pic:spPr>
                    <a:xfrm>
                      <a:off x="0" y="0"/>
                      <a:ext cx="5266690" cy="2134870"/>
                    </a:xfrm>
                    <a:prstGeom prst="rect">
                      <a:avLst/>
                    </a:prstGeom>
                  </pic:spPr>
                </pic:pic>
              </a:graphicData>
            </a:graphic>
          </wp:inline>
        </w:drawing>
      </w:r>
    </w:p>
    <w:p>
      <w:pPr>
        <w:rPr>
          <w:rFonts w:hint="default"/>
          <w:lang w:val="en-US" w:eastAsia="zh-CN"/>
        </w:rPr>
      </w:pPr>
      <w:r>
        <w:rPr>
          <w:rFonts w:hint="default"/>
          <w:lang w:val="en-US" w:eastAsia="zh-CN"/>
        </w:rPr>
        <w:br w:type="page"/>
      </w:r>
    </w:p>
    <w:p>
      <w:pPr>
        <w:pStyle w:val="5"/>
        <w:numPr>
          <w:ilvl w:val="2"/>
          <w:numId w:val="0"/>
        </w:numPr>
        <w:bidi w:val="0"/>
        <w:ind w:leftChars="0"/>
        <w:rPr>
          <w:rFonts w:hint="default"/>
          <w:lang w:val="en-US" w:eastAsia="zh-CN"/>
        </w:rPr>
      </w:pPr>
      <w:r>
        <w:rPr>
          <w:rFonts w:hint="default"/>
          <w:lang w:val="en-US" w:eastAsia="zh-CN"/>
        </w:rPr>
        <w:t xml:space="preserve">Figure S5. Sensitivity analysis results after including individuals who injected insulin or took medications for diabetes into the gene-outcome group. </w:t>
      </w:r>
    </w:p>
    <w:p>
      <w:pP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 causal effect estimates for HbA1c, along with their corresponding 95% confidence intervals (CI), were obtained using various MR methods that were selected based on adherence to the three instrumental variable (IV) assumptions. The primary MR method, Gen-IVW (indicated by a triangle), represents the weighted generalized linear regression, while the other methods (represented by a dot) were used in the sensitivity analysis. Different colors are used to distinguish between different groups.</w:t>
      </w:r>
    </w:p>
    <w:p>
      <w:pPr>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drawing>
          <wp:inline distT="0" distB="0" distL="114300" distR="114300">
            <wp:extent cx="5167630" cy="3003550"/>
            <wp:effectExtent l="0" t="0" r="0" b="0"/>
            <wp:docPr id="6" name="图片 6" descr="Sensitivity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ensitivity Analysis"/>
                    <pic:cNvPicPr>
                      <a:picLocks noChangeAspect="1"/>
                    </pic:cNvPicPr>
                  </pic:nvPicPr>
                  <pic:blipFill>
                    <a:blip r:embed="rId16"/>
                    <a:srcRect r="16593"/>
                    <a:stretch>
                      <a:fillRect/>
                    </a:stretch>
                  </pic:blipFill>
                  <pic:spPr>
                    <a:xfrm>
                      <a:off x="0" y="0"/>
                      <a:ext cx="5167630" cy="3003550"/>
                    </a:xfrm>
                    <a:prstGeom prst="rect">
                      <a:avLst/>
                    </a:prstGeom>
                  </pic:spPr>
                </pic:pic>
              </a:graphicData>
            </a:graphic>
          </wp:inline>
        </w:drawing>
      </w:r>
    </w:p>
    <w:p>
      <w:pPr>
        <w:rPr>
          <w:rFonts w:hint="default" w:ascii="Times New Roman" w:hAnsi="Times New Roman" w:cs="Times New Roman"/>
          <w:b/>
          <w:bCs/>
          <w:sz w:val="24"/>
          <w:szCs w:val="24"/>
          <w:lang w:val="en-US" w:eastAsia="zh-CN"/>
        </w:rPr>
      </w:pPr>
    </w:p>
    <w:p>
      <w:pPr>
        <w:rPr>
          <w:rFonts w:hint="eastAsia" w:cs="Times New Roman"/>
          <w:b/>
          <w:bCs/>
          <w:sz w:val="24"/>
          <w:szCs w:val="24"/>
          <w:lang w:val="en-US" w:eastAsia="zh-CN"/>
        </w:rPr>
      </w:pPr>
      <w:r>
        <w:rPr>
          <w:rFonts w:hint="eastAsia" w:cs="Times New Roman"/>
          <w:b/>
          <w:bCs/>
          <w:sz w:val="24"/>
          <w:szCs w:val="24"/>
          <w:lang w:val="en-US" w:eastAsia="zh-CN"/>
        </w:rPr>
        <w:br w:type="page"/>
      </w:r>
    </w:p>
    <w:p>
      <w:pPr>
        <w:rPr>
          <w:rFonts w:hint="eastAsia" w:cs="Times New Roman"/>
          <w:b/>
          <w:bCs/>
          <w:sz w:val="24"/>
          <w:szCs w:val="24"/>
          <w:lang w:val="en-US" w:eastAsia="zh-CN"/>
        </w:rPr>
      </w:pPr>
      <w:r>
        <w:rPr>
          <w:rFonts w:hint="eastAsia" w:cs="Times New Roman"/>
          <w:b/>
          <w:bCs/>
          <w:sz w:val="24"/>
          <w:szCs w:val="24"/>
          <w:lang w:val="en-US" w:eastAsia="zh-CN"/>
        </w:rPr>
        <w:t>Reference</w:t>
      </w:r>
    </w:p>
    <w:p>
      <w:pPr>
        <w:pStyle w:val="57"/>
        <w:bidi w:val="0"/>
        <w:rPr>
          <w:rFonts w:hint="default" w:ascii="Times New Roman" w:hAnsi="Times New Roman" w:cs="Times New Roman"/>
          <w:sz w:val="24"/>
          <w:szCs w:val="24"/>
        </w:rPr>
      </w:pPr>
      <w:r>
        <w:rPr>
          <w:rFonts w:hint="default" w:cs="Times New Roman"/>
          <w:b/>
          <w:bCs/>
          <w:sz w:val="24"/>
          <w:szCs w:val="24"/>
          <w:lang w:val="en-US" w:eastAsia="zh-CN"/>
        </w:rPr>
        <w:fldChar w:fldCharType="begin"/>
      </w:r>
      <w:r>
        <w:rPr>
          <w:rFonts w:hint="eastAsia" w:cs="Times New Roman"/>
          <w:b/>
          <w:bCs/>
          <w:sz w:val="24"/>
          <w:szCs w:val="24"/>
          <w:lang w:val="en-US" w:eastAsia="zh-CN"/>
        </w:rPr>
        <w:instrText xml:space="preserve"> ADDIN ZOTERO_BIBL {"uncited":[],"omitted":[],"custom":[]} CSL_BIBLIOGRAPHY </w:instrText>
      </w:r>
      <w:r>
        <w:rPr>
          <w:rFonts w:hint="default" w:cs="Times New Roman"/>
          <w:b/>
          <w:bCs/>
          <w:sz w:val="24"/>
          <w:szCs w:val="24"/>
          <w:lang w:val="en-US" w:eastAsia="zh-CN"/>
        </w:rPr>
        <w:fldChar w:fldCharType="separate"/>
      </w:r>
      <w:r>
        <w:rPr>
          <w:rFonts w:hint="default" w:ascii="Times New Roman" w:hAnsi="Times New Roman" w:cs="Times New Roman"/>
          <w:sz w:val="24"/>
          <w:szCs w:val="24"/>
        </w:rPr>
        <w:t xml:space="preserve">Beheshti, I., Nugent, S., Potvin, O., and Duchesne, S. (2019). Bias-adjustment in neuroimaging-based brain age frameworks: A robust scheme. </w:t>
      </w:r>
      <w:r>
        <w:rPr>
          <w:rFonts w:hint="default" w:ascii="Times New Roman" w:hAnsi="Times New Roman" w:cs="Times New Roman"/>
          <w:i/>
          <w:sz w:val="24"/>
          <w:szCs w:val="24"/>
        </w:rPr>
        <w:t>NeuroImage: Clinical</w:t>
      </w:r>
      <w:r>
        <w:rPr>
          <w:rFonts w:hint="default" w:ascii="Times New Roman" w:hAnsi="Times New Roman" w:cs="Times New Roman"/>
          <w:sz w:val="24"/>
          <w:szCs w:val="24"/>
        </w:rPr>
        <w:t xml:space="preserve"> 24, 102063.</w:t>
      </w:r>
    </w:p>
    <w:p>
      <w:pPr>
        <w:pStyle w:val="57"/>
        <w:bidi w:val="0"/>
        <w:rPr>
          <w:rFonts w:hint="default" w:ascii="Times New Roman" w:hAnsi="Times New Roman" w:cs="Times New Roman"/>
          <w:sz w:val="24"/>
          <w:szCs w:val="24"/>
        </w:rPr>
      </w:pPr>
      <w:r>
        <w:rPr>
          <w:rFonts w:hint="default" w:ascii="Times New Roman" w:hAnsi="Times New Roman" w:cs="Times New Roman"/>
          <w:sz w:val="24"/>
          <w:szCs w:val="24"/>
        </w:rPr>
        <w:t xml:space="preserve">Bergenstal, R. M., Gal, R. L., Connor, C. G., Gubitosi-Klug, R., Kruger, D., Olson, B. A., et al. (2017). Racial Differences in the Relationship of Glucose Concentrations and Hemoglobin A </w:t>
      </w:r>
      <w:r>
        <w:rPr>
          <w:rFonts w:hint="default" w:ascii="Times New Roman" w:hAnsi="Times New Roman" w:cs="Times New Roman"/>
          <w:sz w:val="24"/>
          <w:szCs w:val="24"/>
          <w:vertAlign w:val="subscript"/>
        </w:rPr>
        <w:t>1c</w:t>
      </w:r>
      <w:r>
        <w:rPr>
          <w:rFonts w:hint="default" w:ascii="Times New Roman" w:hAnsi="Times New Roman" w:cs="Times New Roman"/>
          <w:sz w:val="24"/>
          <w:szCs w:val="24"/>
        </w:rPr>
        <w:t xml:space="preserve"> Levels. </w:t>
      </w:r>
      <w:r>
        <w:rPr>
          <w:rFonts w:hint="default" w:ascii="Times New Roman" w:hAnsi="Times New Roman" w:cs="Times New Roman"/>
          <w:i/>
          <w:sz w:val="24"/>
          <w:szCs w:val="24"/>
        </w:rPr>
        <w:t>Ann Intern Med</w:t>
      </w:r>
      <w:r>
        <w:rPr>
          <w:rFonts w:hint="default" w:ascii="Times New Roman" w:hAnsi="Times New Roman" w:cs="Times New Roman"/>
          <w:sz w:val="24"/>
          <w:szCs w:val="24"/>
        </w:rPr>
        <w:t xml:space="preserve"> 167, 95. doi: 10.7326/M16-2596.</w:t>
      </w:r>
    </w:p>
    <w:p>
      <w:pPr>
        <w:pStyle w:val="57"/>
        <w:bidi w:val="0"/>
        <w:rPr>
          <w:rFonts w:hint="default" w:ascii="Times New Roman" w:hAnsi="Times New Roman" w:cs="Times New Roman"/>
          <w:sz w:val="24"/>
          <w:szCs w:val="24"/>
        </w:rPr>
      </w:pPr>
      <w:r>
        <w:rPr>
          <w:rFonts w:hint="default" w:ascii="Times New Roman" w:hAnsi="Times New Roman" w:cs="Times New Roman"/>
          <w:sz w:val="24"/>
          <w:szCs w:val="24"/>
        </w:rPr>
        <w:t xml:space="preserve">Brickman, A. M., Schupf, N., Manly, J. J., Luchsinger, J. A., Andrews, H., Tang, M. X., et al. (2008). Brain Morphology in Older African Americans, Caribbean Hispanics, and Whites From Northern Manhattan. </w:t>
      </w:r>
      <w:r>
        <w:rPr>
          <w:rFonts w:hint="default" w:ascii="Times New Roman" w:hAnsi="Times New Roman" w:cs="Times New Roman"/>
          <w:i/>
          <w:sz w:val="24"/>
          <w:szCs w:val="24"/>
        </w:rPr>
        <w:t>Arch Neurol</w:t>
      </w:r>
      <w:r>
        <w:rPr>
          <w:rFonts w:hint="default" w:ascii="Times New Roman" w:hAnsi="Times New Roman" w:cs="Times New Roman"/>
          <w:sz w:val="24"/>
          <w:szCs w:val="24"/>
        </w:rPr>
        <w:t xml:space="preserve"> 65. doi: 10.1001/archneur.65.8.1053.</w:t>
      </w:r>
    </w:p>
    <w:p>
      <w:pPr>
        <w:pStyle w:val="57"/>
        <w:bidi w:val="0"/>
        <w:rPr>
          <w:rFonts w:hint="default" w:ascii="Times New Roman" w:hAnsi="Times New Roman" w:cs="Times New Roman"/>
          <w:sz w:val="24"/>
          <w:szCs w:val="24"/>
        </w:rPr>
      </w:pPr>
      <w:r>
        <w:rPr>
          <w:rFonts w:hint="default" w:ascii="Times New Roman" w:hAnsi="Times New Roman" w:cs="Times New Roman"/>
          <w:sz w:val="24"/>
          <w:szCs w:val="24"/>
        </w:rPr>
        <w:t>Butler, E. R., Chen, A., Ramadan, R., Le, T. T., Ruparel, K., Moore, T. M., et al. (2021). Pitfalls in brain age analyses. Wiley Online Library.</w:t>
      </w:r>
    </w:p>
    <w:p>
      <w:pPr>
        <w:pStyle w:val="57"/>
        <w:bidi w:val="0"/>
        <w:rPr>
          <w:rFonts w:hint="default" w:ascii="Times New Roman" w:hAnsi="Times New Roman" w:cs="Times New Roman"/>
          <w:sz w:val="24"/>
          <w:szCs w:val="24"/>
        </w:rPr>
      </w:pPr>
      <w:r>
        <w:rPr>
          <w:rFonts w:hint="default" w:ascii="Times New Roman" w:hAnsi="Times New Roman" w:cs="Times New Roman"/>
          <w:sz w:val="24"/>
          <w:szCs w:val="24"/>
        </w:rPr>
        <w:t xml:space="preserve">Casanova, F., Wood, A. R., Yaghootkar, H., Beaumont, R. N., Jones, S. E., Gooding, K. M., et al. (2020). A Mendelian Randomization Study Provides Evidence That Adiposity and Dyslipidemia Lead to Lower Urinary Albumin-to-Creatinine Ratio, a Marker of Microvascular Function. </w:t>
      </w:r>
      <w:r>
        <w:rPr>
          <w:rFonts w:hint="default" w:ascii="Times New Roman" w:hAnsi="Times New Roman" w:cs="Times New Roman"/>
          <w:i/>
          <w:sz w:val="24"/>
          <w:szCs w:val="24"/>
        </w:rPr>
        <w:t>Diabetes</w:t>
      </w:r>
      <w:r>
        <w:rPr>
          <w:rFonts w:hint="default" w:ascii="Times New Roman" w:hAnsi="Times New Roman" w:cs="Times New Roman"/>
          <w:sz w:val="24"/>
          <w:szCs w:val="24"/>
        </w:rPr>
        <w:t xml:space="preserve"> 69, 1072–1082. doi: 10.2337/db19-0862.</w:t>
      </w:r>
    </w:p>
    <w:p>
      <w:pPr>
        <w:pStyle w:val="57"/>
        <w:bidi w:val="0"/>
        <w:rPr>
          <w:rFonts w:hint="default" w:ascii="Times New Roman" w:hAnsi="Times New Roman" w:cs="Times New Roman"/>
          <w:sz w:val="24"/>
          <w:szCs w:val="24"/>
        </w:rPr>
      </w:pPr>
      <w:r>
        <w:rPr>
          <w:rFonts w:hint="default" w:ascii="Times New Roman" w:hAnsi="Times New Roman" w:cs="Times New Roman"/>
          <w:sz w:val="24"/>
          <w:szCs w:val="24"/>
        </w:rPr>
        <w:t xml:space="preserve">Cavagnolli, G., Pimentel, A. L., Freitas, P. A. C., Gross, J. L., and Camargo, J. L. (2017). Effect of ethnicity on HbA1c levels in individuals without diabetes: Systematic review and meta-analysis. </w:t>
      </w:r>
      <w:r>
        <w:rPr>
          <w:rFonts w:hint="default" w:ascii="Times New Roman" w:hAnsi="Times New Roman" w:cs="Times New Roman"/>
          <w:i/>
          <w:sz w:val="24"/>
          <w:szCs w:val="24"/>
        </w:rPr>
        <w:t>PLoS ONE</w:t>
      </w:r>
      <w:r>
        <w:rPr>
          <w:rFonts w:hint="default" w:ascii="Times New Roman" w:hAnsi="Times New Roman" w:cs="Times New Roman"/>
          <w:sz w:val="24"/>
          <w:szCs w:val="24"/>
        </w:rPr>
        <w:t xml:space="preserve"> 12, e0171315. doi: 10.1371/journal.pone.0171315.</w:t>
      </w:r>
    </w:p>
    <w:p>
      <w:pPr>
        <w:pStyle w:val="57"/>
        <w:bidi w:val="0"/>
        <w:rPr>
          <w:rFonts w:hint="default" w:ascii="Times New Roman" w:hAnsi="Times New Roman" w:cs="Times New Roman"/>
          <w:sz w:val="24"/>
          <w:szCs w:val="24"/>
        </w:rPr>
      </w:pPr>
      <w:r>
        <w:rPr>
          <w:rFonts w:hint="default" w:ascii="Times New Roman" w:hAnsi="Times New Roman" w:cs="Times New Roman"/>
          <w:sz w:val="24"/>
          <w:szCs w:val="24"/>
        </w:rPr>
        <w:t xml:space="preserve">Linli, Z., Feng, J., Zhao, W., and Guo, S. (2022). Associations between smoking and accelerated brain ageing. </w:t>
      </w:r>
      <w:r>
        <w:rPr>
          <w:rFonts w:hint="default" w:ascii="Times New Roman" w:hAnsi="Times New Roman" w:cs="Times New Roman"/>
          <w:i/>
          <w:sz w:val="24"/>
          <w:szCs w:val="24"/>
        </w:rPr>
        <w:t>Progress in Neuro-Psychopharmacology and Biological Psychiatry</w:t>
      </w:r>
      <w:r>
        <w:rPr>
          <w:rFonts w:hint="default" w:ascii="Times New Roman" w:hAnsi="Times New Roman" w:cs="Times New Roman"/>
          <w:sz w:val="24"/>
          <w:szCs w:val="24"/>
        </w:rPr>
        <w:t xml:space="preserve"> 113, 110471. doi: 10.1016/j.pnpbp.2021.110471.</w:t>
      </w:r>
    </w:p>
    <w:p>
      <w:pPr>
        <w:pStyle w:val="57"/>
        <w:bidi w:val="0"/>
        <w:rPr>
          <w:rFonts w:hint="default" w:ascii="Times New Roman" w:hAnsi="Times New Roman" w:cs="Times New Roman"/>
          <w:sz w:val="24"/>
          <w:szCs w:val="24"/>
        </w:rPr>
      </w:pPr>
      <w:r>
        <w:rPr>
          <w:rFonts w:hint="default" w:ascii="Times New Roman" w:hAnsi="Times New Roman" w:cs="Times New Roman"/>
          <w:sz w:val="24"/>
          <w:szCs w:val="24"/>
        </w:rPr>
        <w:t>Liu, J., Richmond, R. C., Bowden, J., Barry, C., Dashti, H. S., Daghlas, I., et al. (2020). Assessing the causal role of sleep traits on glycated haemoglobin: a Mendelian randomization study. Epidemiology doi: 10.1101/2020.12.18.20224733.</w:t>
      </w:r>
    </w:p>
    <w:p>
      <w:pPr>
        <w:pStyle w:val="57"/>
        <w:bidi w:val="0"/>
        <w:rPr>
          <w:rFonts w:hint="default" w:ascii="Times New Roman" w:hAnsi="Times New Roman" w:cs="Times New Roman"/>
          <w:sz w:val="24"/>
          <w:szCs w:val="24"/>
        </w:rPr>
      </w:pPr>
      <w:r>
        <w:rPr>
          <w:rFonts w:hint="default" w:ascii="Times New Roman" w:hAnsi="Times New Roman" w:cs="Times New Roman"/>
          <w:sz w:val="24"/>
          <w:szCs w:val="24"/>
        </w:rPr>
        <w:t xml:space="preserve">Mayeda, E. R., Karter, A. J., Huang, E. S., Moffet, H. H., Haan, M. N., and Whitmer, R. A. (2014). Racial/Ethnic Differences in Dementia Risk Among Older Type 2 Diabetic Patients: The Diabetes and Aging Study. </w:t>
      </w:r>
      <w:r>
        <w:rPr>
          <w:rFonts w:hint="default" w:ascii="Times New Roman" w:hAnsi="Times New Roman" w:cs="Times New Roman"/>
          <w:i/>
          <w:sz w:val="24"/>
          <w:szCs w:val="24"/>
        </w:rPr>
        <w:t>Diabetes Care</w:t>
      </w:r>
      <w:r>
        <w:rPr>
          <w:rFonts w:hint="default" w:ascii="Times New Roman" w:hAnsi="Times New Roman" w:cs="Times New Roman"/>
          <w:sz w:val="24"/>
          <w:szCs w:val="24"/>
        </w:rPr>
        <w:t xml:space="preserve"> 37, 1009–1015. doi: 10.2337/dc13-0215.</w:t>
      </w:r>
    </w:p>
    <w:p>
      <w:pPr>
        <w:pStyle w:val="57"/>
        <w:bidi w:val="0"/>
        <w:rPr>
          <w:rFonts w:hint="default" w:ascii="Times New Roman" w:hAnsi="Times New Roman" w:cs="Times New Roman"/>
          <w:sz w:val="24"/>
          <w:szCs w:val="24"/>
        </w:rPr>
      </w:pPr>
      <w:r>
        <w:rPr>
          <w:rFonts w:hint="default" w:ascii="Times New Roman" w:hAnsi="Times New Roman" w:cs="Times New Roman"/>
          <w:sz w:val="24"/>
          <w:szCs w:val="24"/>
        </w:rPr>
        <w:t xml:space="preserve">Selvin, E. (2016). Are There Clinical Implications of Racial Differences in HbA1c? A Difference, to Be a Difference, Must Make a Difference. </w:t>
      </w:r>
      <w:r>
        <w:rPr>
          <w:rFonts w:hint="default" w:ascii="Times New Roman" w:hAnsi="Times New Roman" w:cs="Times New Roman"/>
          <w:i/>
          <w:sz w:val="24"/>
          <w:szCs w:val="24"/>
        </w:rPr>
        <w:t>Diabetes Care</w:t>
      </w:r>
      <w:r>
        <w:rPr>
          <w:rFonts w:hint="default" w:ascii="Times New Roman" w:hAnsi="Times New Roman" w:cs="Times New Roman"/>
          <w:sz w:val="24"/>
          <w:szCs w:val="24"/>
        </w:rPr>
        <w:t xml:space="preserve"> 39, 1462–1467. doi: 10.2337/dc16-0042.</w:t>
      </w:r>
    </w:p>
    <w:p>
      <w:pPr>
        <w:pStyle w:val="57"/>
        <w:bidi w:val="0"/>
        <w:rPr>
          <w:rFonts w:hint="default" w:ascii="Times New Roman" w:hAnsi="Times New Roman" w:cs="Times New Roman"/>
          <w:sz w:val="24"/>
          <w:szCs w:val="24"/>
        </w:rPr>
      </w:pPr>
      <w:r>
        <w:rPr>
          <w:rFonts w:hint="default" w:ascii="Times New Roman" w:hAnsi="Times New Roman" w:cs="Times New Roman"/>
          <w:sz w:val="24"/>
          <w:szCs w:val="24"/>
        </w:rPr>
        <w:t xml:space="preserve">Smith, S. M., Vidaurre, D., Alfaro-Almagro, F., Nichols, T. E., and Miller, K. L. (2019). Estimation of brain age delta from brain imaging. </w:t>
      </w:r>
      <w:r>
        <w:rPr>
          <w:rFonts w:hint="default" w:ascii="Times New Roman" w:hAnsi="Times New Roman" w:cs="Times New Roman"/>
          <w:i/>
          <w:sz w:val="24"/>
          <w:szCs w:val="24"/>
        </w:rPr>
        <w:t>Neuroimage</w:t>
      </w:r>
      <w:r>
        <w:rPr>
          <w:rFonts w:hint="default" w:ascii="Times New Roman" w:hAnsi="Times New Roman" w:cs="Times New Roman"/>
          <w:sz w:val="24"/>
          <w:szCs w:val="24"/>
        </w:rPr>
        <w:t xml:space="preserve"> 200, 528–539.</w:t>
      </w:r>
    </w:p>
    <w:p>
      <w:pPr>
        <w:pStyle w:val="57"/>
        <w:bidi w:val="0"/>
        <w:rPr>
          <w:rFonts w:hint="default" w:ascii="Times New Roman" w:hAnsi="Times New Roman" w:cs="Times New Roman"/>
          <w:sz w:val="24"/>
          <w:szCs w:val="24"/>
        </w:rPr>
      </w:pPr>
      <w:r>
        <w:rPr>
          <w:rFonts w:hint="default" w:ascii="Times New Roman" w:hAnsi="Times New Roman" w:cs="Times New Roman"/>
          <w:sz w:val="24"/>
          <w:szCs w:val="24"/>
        </w:rPr>
        <w:t xml:space="preserve">Sofianopoulou, E., Kaptoge, S. K., Afzal, S., Jiang, T., Gill, D., Gundersen, T. E., et al. (2021). Estimating dose-response relationships for vitamin D with coronary heart disease, stroke, and all-cause mortality: observational and Mendelian randomisation analyses. </w:t>
      </w:r>
      <w:r>
        <w:rPr>
          <w:rFonts w:hint="default" w:ascii="Times New Roman" w:hAnsi="Times New Roman" w:cs="Times New Roman"/>
          <w:i/>
          <w:sz w:val="24"/>
          <w:szCs w:val="24"/>
        </w:rPr>
        <w:t>The Lancet Diabetes &amp; Endocrinology</w:t>
      </w:r>
      <w:r>
        <w:rPr>
          <w:rFonts w:hint="default" w:ascii="Times New Roman" w:hAnsi="Times New Roman" w:cs="Times New Roman"/>
          <w:sz w:val="24"/>
          <w:szCs w:val="24"/>
        </w:rPr>
        <w:t xml:space="preserve"> 9, 837–846. doi: 10.1016/S2213-8587(21)00263-1.</w:t>
      </w:r>
    </w:p>
    <w:p>
      <w:pPr>
        <w:pStyle w:val="57"/>
        <w:bidi w:val="0"/>
        <w:rPr>
          <w:rFonts w:hint="default" w:ascii="Times New Roman" w:hAnsi="Times New Roman" w:cs="Times New Roman"/>
          <w:sz w:val="24"/>
          <w:szCs w:val="24"/>
        </w:rPr>
      </w:pPr>
      <w:r>
        <w:rPr>
          <w:rFonts w:hint="default" w:ascii="Times New Roman" w:hAnsi="Times New Roman" w:cs="Times New Roman"/>
          <w:sz w:val="24"/>
          <w:szCs w:val="24"/>
        </w:rPr>
        <w:t xml:space="preserve">Turney, I. C., Lao, P. J., Rentería, M. A., Igwe, K. C., Berroa, J., Rivera, A., et al. (2023). Brain Aging Among Racially and Ethnically Diverse Middle-Aged and Older Adults. </w:t>
      </w:r>
      <w:r>
        <w:rPr>
          <w:rFonts w:hint="default" w:ascii="Times New Roman" w:hAnsi="Times New Roman" w:cs="Times New Roman"/>
          <w:i/>
          <w:sz w:val="24"/>
          <w:szCs w:val="24"/>
        </w:rPr>
        <w:t>JAMA Neurol</w:t>
      </w:r>
      <w:r>
        <w:rPr>
          <w:rFonts w:hint="default" w:ascii="Times New Roman" w:hAnsi="Times New Roman" w:cs="Times New Roman"/>
          <w:sz w:val="24"/>
          <w:szCs w:val="24"/>
        </w:rPr>
        <w:t xml:space="preserve"> 80, 73. doi: 10.1001/jamaneurol.2022.3919.</w:t>
      </w:r>
    </w:p>
    <w:p>
      <w:pPr>
        <w:pStyle w:val="57"/>
        <w:bidi w:val="0"/>
        <w:rPr>
          <w:rFonts w:hint="default" w:ascii="Times New Roman" w:hAnsi="Times New Roman" w:cs="Times New Roman"/>
          <w:sz w:val="24"/>
          <w:szCs w:val="24"/>
        </w:rPr>
      </w:pPr>
      <w:r>
        <w:rPr>
          <w:rFonts w:hint="default" w:ascii="Times New Roman" w:hAnsi="Times New Roman" w:cs="Times New Roman"/>
          <w:sz w:val="24"/>
          <w:szCs w:val="24"/>
        </w:rPr>
        <w:t xml:space="preserve">Yousuf, T., Shahid, Q. U. A., Hamdan Tafheem, M. M., Kanwal, M., and Ahmed, A. (2022). Study Finds Racism; Causes Black Americans and Asians Brain to Age Faster than of other Races, Increasing Dementia Risk. </w:t>
      </w:r>
      <w:r>
        <w:rPr>
          <w:rFonts w:hint="default" w:ascii="Times New Roman" w:hAnsi="Times New Roman" w:cs="Times New Roman"/>
          <w:i/>
          <w:sz w:val="24"/>
          <w:szCs w:val="24"/>
        </w:rPr>
        <w:t>PJMHS</w:t>
      </w:r>
      <w:r>
        <w:rPr>
          <w:rFonts w:hint="default" w:ascii="Times New Roman" w:hAnsi="Times New Roman" w:cs="Times New Roman"/>
          <w:sz w:val="24"/>
          <w:szCs w:val="24"/>
        </w:rPr>
        <w:t xml:space="preserve"> 16, 516–518. doi: 10.53350/pjmhs20221611516.</w:t>
      </w:r>
    </w:p>
    <w:p>
      <w:pPr>
        <w:rPr>
          <w:rFonts w:hint="default" w:cs="Times New Roman"/>
          <w:b/>
          <w:bCs/>
          <w:sz w:val="24"/>
          <w:szCs w:val="24"/>
          <w:lang w:val="en-US" w:eastAsia="zh-CN"/>
        </w:rPr>
      </w:pPr>
      <w:r>
        <w:rPr>
          <w:rFonts w:hint="default" w:cs="Times New Roman"/>
          <w:b/>
          <w:bCs/>
          <w:sz w:val="24"/>
          <w:szCs w:val="24"/>
          <w:lang w:val="en-US" w:eastAsia="zh-CN"/>
        </w:rPr>
        <w:fldChar w:fldCharType="end"/>
      </w:r>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258CC"/>
    <w:multiLevelType w:val="multilevel"/>
    <w:tmpl w:val="0D9258C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b/>
        <w:bCs/>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2">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578A1CAD"/>
    <w:multiLevelType w:val="multilevel"/>
    <w:tmpl w:val="578A1CAD"/>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800" w:hanging="720"/>
      </w:pPr>
      <w:rPr>
        <w:rFonts w:hint="default" w:ascii="Times New Roman" w:hAnsi="Times New Roman" w:cs="Times New Roman" w:eastAsiaTheme="minorEastAsia"/>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iOTBjNTgyZTQ2NzU4ZmZiMDExZmU4NGVkNmVkYTgifQ=="/>
  </w:docVars>
  <w:rsids>
    <w:rsidRoot w:val="00172A27"/>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AE7591"/>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069D65D0"/>
    <w:rsid w:val="08030185"/>
    <w:rsid w:val="08517DBF"/>
    <w:rsid w:val="09465A17"/>
    <w:rsid w:val="0A174C48"/>
    <w:rsid w:val="0B3D0738"/>
    <w:rsid w:val="0B7A048B"/>
    <w:rsid w:val="0BE95B29"/>
    <w:rsid w:val="0E2A1FC8"/>
    <w:rsid w:val="0E653000"/>
    <w:rsid w:val="11383654"/>
    <w:rsid w:val="11477A64"/>
    <w:rsid w:val="13DB4EC9"/>
    <w:rsid w:val="140B496C"/>
    <w:rsid w:val="159468C1"/>
    <w:rsid w:val="169363EE"/>
    <w:rsid w:val="17303577"/>
    <w:rsid w:val="187579D6"/>
    <w:rsid w:val="191A0E8B"/>
    <w:rsid w:val="1A0F12F5"/>
    <w:rsid w:val="1AA63A91"/>
    <w:rsid w:val="1B684130"/>
    <w:rsid w:val="1E102575"/>
    <w:rsid w:val="21817CF9"/>
    <w:rsid w:val="221E4818"/>
    <w:rsid w:val="22235254"/>
    <w:rsid w:val="2245725E"/>
    <w:rsid w:val="23D34A58"/>
    <w:rsid w:val="25310684"/>
    <w:rsid w:val="26CB1012"/>
    <w:rsid w:val="2A461C3A"/>
    <w:rsid w:val="2B774C09"/>
    <w:rsid w:val="2DF87595"/>
    <w:rsid w:val="30DB180B"/>
    <w:rsid w:val="30DF0FBC"/>
    <w:rsid w:val="31C41556"/>
    <w:rsid w:val="32852D31"/>
    <w:rsid w:val="355A3668"/>
    <w:rsid w:val="35CC75F2"/>
    <w:rsid w:val="37E82428"/>
    <w:rsid w:val="38A7782E"/>
    <w:rsid w:val="39180AEB"/>
    <w:rsid w:val="3A61784F"/>
    <w:rsid w:val="3AA44396"/>
    <w:rsid w:val="3AB17CAB"/>
    <w:rsid w:val="3B5603E0"/>
    <w:rsid w:val="3F5B7984"/>
    <w:rsid w:val="3FB4519D"/>
    <w:rsid w:val="40106918"/>
    <w:rsid w:val="40B91D1C"/>
    <w:rsid w:val="42454C4D"/>
    <w:rsid w:val="42C57F36"/>
    <w:rsid w:val="42D832B0"/>
    <w:rsid w:val="432450BB"/>
    <w:rsid w:val="442422EE"/>
    <w:rsid w:val="44634494"/>
    <w:rsid w:val="44A92F3F"/>
    <w:rsid w:val="48CC6262"/>
    <w:rsid w:val="4B2749B7"/>
    <w:rsid w:val="4B4C4B8B"/>
    <w:rsid w:val="4C3C6805"/>
    <w:rsid w:val="4E8F6622"/>
    <w:rsid w:val="5075243A"/>
    <w:rsid w:val="50E4428F"/>
    <w:rsid w:val="512806D0"/>
    <w:rsid w:val="51506CA8"/>
    <w:rsid w:val="540168F4"/>
    <w:rsid w:val="55E71B19"/>
    <w:rsid w:val="56004380"/>
    <w:rsid w:val="567F1D52"/>
    <w:rsid w:val="58475996"/>
    <w:rsid w:val="5A2A7F34"/>
    <w:rsid w:val="5BFF0B2C"/>
    <w:rsid w:val="5C591EB0"/>
    <w:rsid w:val="5CF34A6F"/>
    <w:rsid w:val="5EB5584E"/>
    <w:rsid w:val="5EE975A9"/>
    <w:rsid w:val="629006B3"/>
    <w:rsid w:val="63190B09"/>
    <w:rsid w:val="63C11BFC"/>
    <w:rsid w:val="64BA136C"/>
    <w:rsid w:val="64D80290"/>
    <w:rsid w:val="6553456C"/>
    <w:rsid w:val="67205B87"/>
    <w:rsid w:val="6A5E63F6"/>
    <w:rsid w:val="6B030D4C"/>
    <w:rsid w:val="6C5A2BED"/>
    <w:rsid w:val="6FEE7BB1"/>
    <w:rsid w:val="72042C9B"/>
    <w:rsid w:val="72A44AF6"/>
    <w:rsid w:val="742C4E6F"/>
    <w:rsid w:val="763C3364"/>
    <w:rsid w:val="769211D6"/>
    <w:rsid w:val="789C1508"/>
    <w:rsid w:val="792C5F70"/>
    <w:rsid w:val="79937694"/>
    <w:rsid w:val="7A6F34F2"/>
    <w:rsid w:val="7A831561"/>
    <w:rsid w:val="7B9D23A2"/>
    <w:rsid w:val="7C0526B8"/>
    <w:rsid w:val="7C2B43D3"/>
    <w:rsid w:val="7C5A0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Revision"/>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 w:type="character" w:customStyle="1" w:styleId="54">
    <w:name w:val="font11"/>
    <w:basedOn w:val="22"/>
    <w:qFormat/>
    <w:uiPriority w:val="0"/>
    <w:rPr>
      <w:rFonts w:hint="default" w:ascii="Times New Roman" w:hAnsi="Times New Roman" w:cs="Times New Roman"/>
      <w:b/>
      <w:bCs/>
      <w:color w:val="000000"/>
      <w:sz w:val="24"/>
      <w:szCs w:val="24"/>
      <w:u w:val="none"/>
    </w:rPr>
  </w:style>
  <w:style w:type="character" w:customStyle="1" w:styleId="55">
    <w:name w:val="font51"/>
    <w:basedOn w:val="22"/>
    <w:qFormat/>
    <w:uiPriority w:val="0"/>
    <w:rPr>
      <w:rFonts w:hint="eastAsia" w:ascii="宋体" w:hAnsi="宋体" w:eastAsia="宋体" w:cs="宋体"/>
      <w:b/>
      <w:bCs/>
      <w:color w:val="000000"/>
      <w:sz w:val="24"/>
      <w:szCs w:val="24"/>
      <w:u w:val="none"/>
    </w:rPr>
  </w:style>
  <w:style w:type="character" w:customStyle="1" w:styleId="56">
    <w:name w:val="font61"/>
    <w:basedOn w:val="22"/>
    <w:qFormat/>
    <w:uiPriority w:val="0"/>
    <w:rPr>
      <w:rFonts w:hint="eastAsia" w:ascii="宋体" w:hAnsi="宋体" w:eastAsia="宋体" w:cs="宋体"/>
      <w:b/>
      <w:bCs/>
      <w:color w:val="000000"/>
      <w:sz w:val="24"/>
      <w:szCs w:val="24"/>
      <w:u w:val="none"/>
    </w:rPr>
  </w:style>
  <w:style w:type="paragraph" w:customStyle="1" w:styleId="57">
    <w:name w:val="Bibliography"/>
    <w:basedOn w:val="1"/>
    <w:qFormat/>
    <w:uiPriority w:val="0"/>
    <w:pPr>
      <w:ind w:left="720" w:hanging="7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4929F-83D0-432F-8F82-6D4423C25F5E}">
  <ds:schemaRefs/>
</ds:datastoreItem>
</file>

<file path=customXml/itemProps3.xml><?xml version="1.0" encoding="utf-8"?>
<ds:datastoreItem xmlns:ds="http://schemas.openxmlformats.org/officeDocument/2006/customXml" ds:itemID="{4B2E0E22-D442-4EBE-AAA2-EDC8871E7B4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114314AF-3C36-4C2C-B599-40A76C6FFFC1}">
  <ds:schemaRefs/>
</ds:datastoreItem>
</file>

<file path=customXml/itemProps6.xml><?xml version="1.0" encoding="utf-8"?>
<ds:datastoreItem xmlns:ds="http://schemas.openxmlformats.org/officeDocument/2006/customXml" ds:itemID="{DFF441E3-103C-4487-877D-08CD22337C19}">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Pages>
  <Words>142</Words>
  <Characters>810</Characters>
  <Lines>6</Lines>
  <Paragraphs>1</Paragraphs>
  <TotalTime>0</TotalTime>
  <ScaleCrop>false</ScaleCrop>
  <LinksUpToDate>false</LinksUpToDate>
  <CharactersWithSpaces>951</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ChengTian</cp:lastModifiedBy>
  <cp:lastPrinted>2013-10-03T12:51:00Z</cp:lastPrinted>
  <dcterms:modified xsi:type="dcterms:W3CDTF">2023-12-15T02:44:40Z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2052-12.1.0.15336</vt:lpwstr>
  </property>
  <property fmtid="{D5CDD505-2E9C-101B-9397-08002B2CF9AE}" pid="11" name="ICV">
    <vt:lpwstr>83BFCAF072C74066B3A5692CB57F479E_12</vt:lpwstr>
  </property>
  <property fmtid="{D5CDD505-2E9C-101B-9397-08002B2CF9AE}" pid="12" name="ZOTERO_PREF_1">
    <vt:lpwstr>&lt;data data-version="3" zotero-version="6.0.30"&gt;&lt;session id="HaBsSREz"/&gt;&lt;style id="http://www.zotero.org/styles/frontiers-in-neuroscience" hasBibliography="1" bibliographyStyleHasBeenSet="1"/&gt;&lt;prefs&gt;&lt;pref name="fieldType" value="Field"/&gt;&lt;/prefs&gt;&lt;/data&gt;</vt:lpwstr>
  </property>
</Properties>
</file>