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pPr w:leftFromText="180" w:rightFromText="180" w:vertAnchor="page" w:horzAnchor="margin" w:tblpY="826"/>
        <w:tblW w:w="5000" w:type="pct"/>
        <w:tblLayout w:type="fixed"/>
        <w:tblLook w:val="0620" w:firstRow="1" w:lastRow="0" w:firstColumn="0" w:lastColumn="0" w:noHBand="1" w:noVBand="1"/>
      </w:tblPr>
      <w:tblGrid>
        <w:gridCol w:w="1384"/>
        <w:gridCol w:w="4113"/>
        <w:gridCol w:w="4357"/>
      </w:tblGrid>
      <w:tr w:rsidR="008C7463" w:rsidRPr="00DA07B6" w:rsidTr="00C76042">
        <w:trPr>
          <w:cnfStyle w:val="100000000000" w:firstRow="1" w:lastRow="0" w:firstColumn="0" w:lastColumn="0" w:oddVBand="0" w:evenVBand="0" w:oddHBand="0" w:evenHBand="0" w:firstRowFirstColumn="0" w:firstRowLastColumn="0" w:lastRowFirstColumn="0" w:lastRowLastColumn="0"/>
          <w:trHeight w:val="406"/>
        </w:trPr>
        <w:tc>
          <w:tcPr>
            <w:tcW w:w="702" w:type="pct"/>
            <w:hideMark/>
          </w:tcPr>
          <w:p w:rsidR="00607E9B" w:rsidRPr="00DA07B6" w:rsidRDefault="004F2999"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t>Valuation Approach</w:t>
            </w:r>
          </w:p>
        </w:tc>
        <w:tc>
          <w:tcPr>
            <w:tcW w:w="2087" w:type="pct"/>
            <w:hideMark/>
          </w:tcPr>
          <w:p w:rsidR="00607E9B" w:rsidRPr="00DA07B6" w:rsidRDefault="00607E9B" w:rsidP="00C76042">
            <w:pPr>
              <w:spacing w:after="200" w:line="276" w:lineRule="auto"/>
              <w:rPr>
                <w:rFonts w:ascii="Times New Roman" w:hAnsi="Times New Roman" w:cs="Times New Roman"/>
                <w:sz w:val="20"/>
                <w:szCs w:val="20"/>
              </w:rPr>
            </w:pPr>
            <w:r w:rsidRPr="00DA07B6">
              <w:rPr>
                <w:rFonts w:ascii="Times New Roman" w:hAnsi="Times New Roman" w:cs="Times New Roman"/>
                <w:sz w:val="20"/>
                <w:szCs w:val="20"/>
              </w:rPr>
              <w:t>Valuation Methodology</w:t>
            </w:r>
          </w:p>
        </w:tc>
        <w:tc>
          <w:tcPr>
            <w:tcW w:w="2211" w:type="pct"/>
          </w:tcPr>
          <w:p w:rsidR="00607E9B" w:rsidRPr="000964FC" w:rsidRDefault="00607E9B" w:rsidP="00C76042">
            <w:pPr>
              <w:rPr>
                <w:rFonts w:ascii="Times New Roman" w:hAnsi="Times New Roman" w:cs="Times New Roman"/>
                <w:bCs w:val="0"/>
                <w:sz w:val="20"/>
                <w:szCs w:val="20"/>
              </w:rPr>
            </w:pPr>
            <w:r w:rsidRPr="000964FC">
              <w:rPr>
                <w:rFonts w:ascii="Times New Roman" w:hAnsi="Times New Roman" w:cs="Times New Roman"/>
                <w:bCs w:val="0"/>
                <w:sz w:val="20"/>
                <w:szCs w:val="20"/>
              </w:rPr>
              <w:t>Advantages and Disadvantages of Valuation Techniques</w:t>
            </w:r>
          </w:p>
        </w:tc>
      </w:tr>
      <w:tr w:rsidR="008C7463" w:rsidRPr="00DA07B6" w:rsidTr="00C76042">
        <w:trPr>
          <w:trHeight w:val="1119"/>
        </w:trPr>
        <w:tc>
          <w:tcPr>
            <w:tcW w:w="702" w:type="pct"/>
            <w:hideMark/>
          </w:tcPr>
          <w:p w:rsidR="00607E9B" w:rsidRPr="00DA07B6" w:rsidRDefault="004F2999"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t>Market Cost</w:t>
            </w:r>
          </w:p>
        </w:tc>
        <w:tc>
          <w:tcPr>
            <w:tcW w:w="2087" w:type="pct"/>
            <w:hideMark/>
          </w:tcPr>
          <w:p w:rsidR="004F2999" w:rsidRDefault="004F2999" w:rsidP="00C76042">
            <w:pPr>
              <w:spacing w:after="200"/>
              <w:rPr>
                <w:rFonts w:ascii="Times New Roman" w:hAnsi="Times New Roman" w:cs="Times New Roman"/>
                <w:sz w:val="20"/>
                <w:szCs w:val="20"/>
              </w:rPr>
            </w:pPr>
            <w:r>
              <w:rPr>
                <w:rFonts w:ascii="Times New Roman" w:hAnsi="Times New Roman" w:cs="Times New Roman"/>
                <w:sz w:val="20"/>
                <w:szCs w:val="20"/>
              </w:rPr>
              <w:t>Avoided</w:t>
            </w:r>
            <w:r w:rsidR="00607E9B" w:rsidRPr="00DA07B6">
              <w:rPr>
                <w:rFonts w:ascii="Times New Roman" w:hAnsi="Times New Roman" w:cs="Times New Roman"/>
                <w:sz w:val="20"/>
                <w:szCs w:val="20"/>
              </w:rPr>
              <w:t xml:space="preserve"> Cost</w:t>
            </w:r>
            <w:r>
              <w:rPr>
                <w:rFonts w:ascii="Times New Roman" w:hAnsi="Times New Roman" w:cs="Times New Roman"/>
                <w:sz w:val="20"/>
                <w:szCs w:val="20"/>
              </w:rPr>
              <w:t xml:space="preserve">: </w:t>
            </w:r>
            <w:r w:rsidR="00607E9B">
              <w:rPr>
                <w:rFonts w:ascii="Times New Roman" w:hAnsi="Times New Roman" w:cs="Times New Roman"/>
                <w:sz w:val="20"/>
                <w:szCs w:val="20"/>
              </w:rPr>
              <w:t>ES valued on the basis of costs avoided i.e. prohibiting the degradation or d</w:t>
            </w:r>
            <w:r>
              <w:rPr>
                <w:rFonts w:ascii="Times New Roman" w:hAnsi="Times New Roman" w:cs="Times New Roman"/>
                <w:sz w:val="20"/>
                <w:szCs w:val="20"/>
              </w:rPr>
              <w:t>amage of environmental be</w:t>
            </w:r>
            <w:r w:rsidR="008C7463">
              <w:rPr>
                <w:rFonts w:ascii="Times New Roman" w:hAnsi="Times New Roman" w:cs="Times New Roman"/>
                <w:sz w:val="20"/>
                <w:szCs w:val="20"/>
              </w:rPr>
              <w:t>nefits</w:t>
            </w:r>
          </w:p>
          <w:p w:rsidR="008C7463" w:rsidRDefault="008C7463" w:rsidP="00C76042">
            <w:pPr>
              <w:spacing w:after="200"/>
              <w:rPr>
                <w:rFonts w:ascii="Times New Roman" w:hAnsi="Times New Roman" w:cs="Times New Roman"/>
                <w:sz w:val="20"/>
                <w:szCs w:val="20"/>
              </w:rPr>
            </w:pPr>
          </w:p>
          <w:p w:rsidR="00607E9B" w:rsidRPr="00DA07B6" w:rsidRDefault="004F2999" w:rsidP="00C76042">
            <w:pPr>
              <w:spacing w:after="200"/>
              <w:rPr>
                <w:rFonts w:ascii="Times New Roman" w:hAnsi="Times New Roman" w:cs="Times New Roman"/>
                <w:sz w:val="20"/>
                <w:szCs w:val="20"/>
              </w:rPr>
            </w:pPr>
            <w:r w:rsidRPr="00DA07B6">
              <w:rPr>
                <w:rFonts w:ascii="Times New Roman" w:hAnsi="Times New Roman" w:cs="Times New Roman"/>
                <w:sz w:val="20"/>
                <w:szCs w:val="20"/>
              </w:rPr>
              <w:t>Production Function</w:t>
            </w:r>
            <w:r>
              <w:rPr>
                <w:rFonts w:ascii="Times New Roman" w:hAnsi="Times New Roman" w:cs="Times New Roman"/>
                <w:sz w:val="20"/>
                <w:szCs w:val="20"/>
              </w:rPr>
              <w:t>: value of ecological function with regards to economic output effects. Changes in ES quality and quantity on human-</w:t>
            </w:r>
            <w:r w:rsidR="008C7463">
              <w:rPr>
                <w:rFonts w:ascii="Times New Roman" w:hAnsi="Times New Roman" w:cs="Times New Roman"/>
                <w:sz w:val="20"/>
                <w:szCs w:val="20"/>
              </w:rPr>
              <w:t>wellbeing</w:t>
            </w:r>
          </w:p>
        </w:tc>
        <w:tc>
          <w:tcPr>
            <w:tcW w:w="2211" w:type="pct"/>
          </w:tcPr>
          <w:p w:rsidR="004F2999" w:rsidRPr="00A30139" w:rsidRDefault="00607E9B" w:rsidP="00C76042">
            <w:pPr>
              <w:rPr>
                <w:rFonts w:ascii="Times New Roman" w:hAnsi="Times New Roman" w:cs="Times New Roman"/>
                <w:sz w:val="20"/>
                <w:szCs w:val="20"/>
              </w:rPr>
            </w:pPr>
            <w:r w:rsidRPr="00A30139">
              <w:rPr>
                <w:rFonts w:ascii="Times New Roman" w:hAnsi="Times New Roman" w:cs="Times New Roman"/>
                <w:sz w:val="20"/>
                <w:szCs w:val="20"/>
              </w:rPr>
              <w:t>Mismatches can arise between the likely benefits of intervention compared to original benefits leading to misleading WTP results</w:t>
            </w:r>
            <w:r w:rsidR="00A30139" w:rsidRPr="00A30139">
              <w:rPr>
                <w:rFonts w:ascii="Times New Roman" w:hAnsi="Times New Roman" w:cs="Times New Roman"/>
                <w:sz w:val="20"/>
                <w:szCs w:val="20"/>
              </w:rPr>
              <w:t xml:space="preserve">. </w:t>
            </w:r>
            <w:r w:rsidRPr="00A30139">
              <w:rPr>
                <w:rFonts w:ascii="Times New Roman" w:hAnsi="Times New Roman" w:cs="Times New Roman"/>
                <w:sz w:val="20"/>
                <w:szCs w:val="20"/>
              </w:rPr>
              <w:t>Applies the precautionary principle</w:t>
            </w:r>
            <w:r w:rsidR="00A30139" w:rsidRPr="00A30139">
              <w:rPr>
                <w:rFonts w:ascii="Times New Roman" w:hAnsi="Times New Roman" w:cs="Times New Roman"/>
                <w:sz w:val="20"/>
                <w:szCs w:val="20"/>
              </w:rPr>
              <w:t xml:space="preserve">. </w:t>
            </w:r>
            <w:r w:rsidRPr="00A30139">
              <w:rPr>
                <w:rFonts w:ascii="Times New Roman" w:hAnsi="Times New Roman" w:cs="Times New Roman"/>
                <w:sz w:val="20"/>
                <w:szCs w:val="20"/>
              </w:rPr>
              <w:t>Can estimate indirect-use benefits</w:t>
            </w:r>
            <w:r w:rsidR="004F2999" w:rsidRPr="00A30139">
              <w:rPr>
                <w:rFonts w:ascii="Times New Roman" w:hAnsi="Times New Roman" w:cs="Times New Roman"/>
                <w:sz w:val="20"/>
                <w:szCs w:val="20"/>
              </w:rPr>
              <w:t xml:space="preserve"> </w:t>
            </w:r>
          </w:p>
          <w:p w:rsidR="008C7463" w:rsidRDefault="008C7463" w:rsidP="00C76042">
            <w:pPr>
              <w:rPr>
                <w:rFonts w:ascii="Times New Roman" w:hAnsi="Times New Roman" w:cs="Times New Roman"/>
                <w:sz w:val="20"/>
                <w:szCs w:val="20"/>
              </w:rPr>
            </w:pPr>
          </w:p>
          <w:p w:rsidR="00607E9B" w:rsidRPr="00A30139" w:rsidRDefault="004F2999" w:rsidP="00C76042">
            <w:pPr>
              <w:rPr>
                <w:rFonts w:ascii="Times New Roman" w:hAnsi="Times New Roman" w:cs="Times New Roman"/>
                <w:sz w:val="20"/>
                <w:szCs w:val="20"/>
              </w:rPr>
            </w:pPr>
            <w:r w:rsidRPr="00A30139">
              <w:rPr>
                <w:rFonts w:ascii="Times New Roman" w:hAnsi="Times New Roman" w:cs="Times New Roman"/>
                <w:sz w:val="20"/>
                <w:szCs w:val="20"/>
              </w:rPr>
              <w:t>Not able to assess non-use values</w:t>
            </w:r>
            <w:r w:rsidR="00A30139">
              <w:rPr>
                <w:rFonts w:ascii="Times New Roman" w:hAnsi="Times New Roman" w:cs="Times New Roman"/>
                <w:sz w:val="20"/>
                <w:szCs w:val="20"/>
              </w:rPr>
              <w:t xml:space="preserve">. </w:t>
            </w:r>
            <w:r w:rsidRPr="00A30139">
              <w:rPr>
                <w:rFonts w:ascii="Times New Roman" w:hAnsi="Times New Roman" w:cs="Times New Roman"/>
                <w:sz w:val="20"/>
                <w:szCs w:val="20"/>
              </w:rPr>
              <w:t>Difficult to derive data about changes in ES</w:t>
            </w:r>
            <w:r w:rsidR="00A30139">
              <w:rPr>
                <w:rFonts w:ascii="Times New Roman" w:hAnsi="Times New Roman" w:cs="Times New Roman"/>
                <w:sz w:val="20"/>
                <w:szCs w:val="20"/>
              </w:rPr>
              <w:t xml:space="preserve">. </w:t>
            </w:r>
            <w:r w:rsidRPr="00A30139">
              <w:rPr>
                <w:rFonts w:ascii="Times New Roman" w:hAnsi="Times New Roman" w:cs="Times New Roman"/>
                <w:sz w:val="20"/>
                <w:szCs w:val="20"/>
              </w:rPr>
              <w:t>Widely employed in the contexts of coastal and wetland ecosystems</w:t>
            </w:r>
          </w:p>
        </w:tc>
      </w:tr>
      <w:tr w:rsidR="008C7463" w:rsidRPr="00DA07B6" w:rsidTr="00C76042">
        <w:trPr>
          <w:trHeight w:val="648"/>
        </w:trPr>
        <w:tc>
          <w:tcPr>
            <w:tcW w:w="702" w:type="pct"/>
            <w:hideMark/>
          </w:tcPr>
          <w:p w:rsidR="00607E9B" w:rsidRPr="00DA07B6" w:rsidRDefault="004F2999"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t>Market Price</w:t>
            </w:r>
          </w:p>
        </w:tc>
        <w:tc>
          <w:tcPr>
            <w:tcW w:w="2087" w:type="pct"/>
            <w:hideMark/>
          </w:tcPr>
          <w:p w:rsidR="00607E9B" w:rsidRPr="00DA07B6" w:rsidRDefault="004F2999" w:rsidP="00C76042">
            <w:pPr>
              <w:spacing w:after="200"/>
              <w:rPr>
                <w:rFonts w:ascii="Times New Roman" w:hAnsi="Times New Roman" w:cs="Times New Roman"/>
                <w:sz w:val="20"/>
                <w:szCs w:val="20"/>
              </w:rPr>
            </w:pPr>
            <w:r>
              <w:rPr>
                <w:rFonts w:ascii="Times New Roman" w:hAnsi="Times New Roman" w:cs="Times New Roman"/>
                <w:sz w:val="20"/>
                <w:szCs w:val="20"/>
              </w:rPr>
              <w:t>Market: based on Willingness to Pay</w:t>
            </w:r>
            <w:r w:rsidR="008C7463">
              <w:rPr>
                <w:rFonts w:ascii="Times New Roman" w:hAnsi="Times New Roman" w:cs="Times New Roman"/>
                <w:sz w:val="20"/>
                <w:szCs w:val="20"/>
              </w:rPr>
              <w:t xml:space="preserve"> (WTP)</w:t>
            </w:r>
          </w:p>
        </w:tc>
        <w:tc>
          <w:tcPr>
            <w:tcW w:w="2211" w:type="pct"/>
          </w:tcPr>
          <w:p w:rsidR="00607E9B" w:rsidRPr="00A30139" w:rsidRDefault="00607E9B" w:rsidP="00C76042">
            <w:pPr>
              <w:rPr>
                <w:rFonts w:ascii="Times New Roman" w:hAnsi="Times New Roman" w:cs="Times New Roman"/>
                <w:sz w:val="20"/>
                <w:szCs w:val="20"/>
              </w:rPr>
            </w:pPr>
            <w:r w:rsidRPr="00A30139">
              <w:rPr>
                <w:rFonts w:ascii="Times New Roman" w:hAnsi="Times New Roman" w:cs="Times New Roman"/>
                <w:sz w:val="20"/>
                <w:szCs w:val="20"/>
              </w:rPr>
              <w:t>Requires market data</w:t>
            </w:r>
            <w:r w:rsidR="00A30139">
              <w:rPr>
                <w:rFonts w:ascii="Times New Roman" w:hAnsi="Times New Roman" w:cs="Times New Roman"/>
                <w:sz w:val="20"/>
                <w:szCs w:val="20"/>
              </w:rPr>
              <w:t xml:space="preserve"> (questionable reliability), and p</w:t>
            </w:r>
            <w:r w:rsidRPr="00A30139">
              <w:rPr>
                <w:rFonts w:ascii="Times New Roman" w:hAnsi="Times New Roman" w:cs="Times New Roman"/>
                <w:sz w:val="20"/>
                <w:szCs w:val="20"/>
              </w:rPr>
              <w:t>olicies may distort market prices</w:t>
            </w:r>
            <w:r w:rsidR="00A30139">
              <w:rPr>
                <w:rFonts w:ascii="Times New Roman" w:hAnsi="Times New Roman" w:cs="Times New Roman"/>
                <w:sz w:val="20"/>
                <w:szCs w:val="20"/>
              </w:rPr>
              <w:t>. However, m</w:t>
            </w:r>
            <w:r w:rsidRPr="00A30139">
              <w:rPr>
                <w:rFonts w:ascii="Times New Roman" w:hAnsi="Times New Roman" w:cs="Times New Roman"/>
                <w:sz w:val="20"/>
                <w:szCs w:val="20"/>
              </w:rPr>
              <w:t>arket prices reflect personal WTP</w:t>
            </w:r>
            <w:r w:rsidR="00A30139">
              <w:rPr>
                <w:rFonts w:ascii="Times New Roman" w:hAnsi="Times New Roman" w:cs="Times New Roman"/>
                <w:sz w:val="20"/>
                <w:szCs w:val="20"/>
              </w:rPr>
              <w:t xml:space="preserve"> and m</w:t>
            </w:r>
            <w:r w:rsidRPr="00A30139">
              <w:rPr>
                <w:rFonts w:ascii="Times New Roman" w:hAnsi="Times New Roman" w:cs="Times New Roman"/>
                <w:sz w:val="20"/>
                <w:szCs w:val="20"/>
              </w:rPr>
              <w:t>arket price data is relatively easy to obtain</w:t>
            </w:r>
          </w:p>
          <w:p w:rsidR="008D11E0" w:rsidRPr="000964FC" w:rsidRDefault="008D11E0" w:rsidP="00C76042">
            <w:pPr>
              <w:pStyle w:val="ListParagraph"/>
              <w:ind w:left="170"/>
              <w:rPr>
                <w:rFonts w:ascii="Times New Roman" w:hAnsi="Times New Roman" w:cs="Times New Roman"/>
                <w:sz w:val="20"/>
                <w:szCs w:val="20"/>
              </w:rPr>
            </w:pPr>
          </w:p>
        </w:tc>
      </w:tr>
      <w:tr w:rsidR="008C7463" w:rsidRPr="00DA07B6" w:rsidTr="00C76042">
        <w:trPr>
          <w:trHeight w:val="1119"/>
        </w:trPr>
        <w:tc>
          <w:tcPr>
            <w:tcW w:w="702" w:type="pct"/>
            <w:hideMark/>
          </w:tcPr>
          <w:p w:rsidR="00607E9B" w:rsidRPr="00DA07B6" w:rsidRDefault="007E65B6"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t>Revealed Prefere</w:t>
            </w:r>
            <w:r w:rsidR="004F2999">
              <w:rPr>
                <w:rFonts w:ascii="Times New Roman" w:hAnsi="Times New Roman" w:cs="Times New Roman"/>
                <w:sz w:val="20"/>
                <w:szCs w:val="20"/>
              </w:rPr>
              <w:t>n</w:t>
            </w:r>
            <w:r>
              <w:rPr>
                <w:rFonts w:ascii="Times New Roman" w:hAnsi="Times New Roman" w:cs="Times New Roman"/>
                <w:sz w:val="20"/>
                <w:szCs w:val="20"/>
              </w:rPr>
              <w:t>c</w:t>
            </w:r>
            <w:r w:rsidR="004F2999">
              <w:rPr>
                <w:rFonts w:ascii="Times New Roman" w:hAnsi="Times New Roman" w:cs="Times New Roman"/>
                <w:sz w:val="20"/>
                <w:szCs w:val="20"/>
              </w:rPr>
              <w:t>e</w:t>
            </w:r>
          </w:p>
        </w:tc>
        <w:tc>
          <w:tcPr>
            <w:tcW w:w="2087" w:type="pct"/>
            <w:hideMark/>
          </w:tcPr>
          <w:p w:rsidR="007E65B6" w:rsidRDefault="007E65B6" w:rsidP="00C76042">
            <w:pPr>
              <w:spacing w:after="200"/>
              <w:rPr>
                <w:rFonts w:ascii="Times New Roman" w:hAnsi="Times New Roman" w:cs="Times New Roman"/>
                <w:sz w:val="20"/>
                <w:szCs w:val="20"/>
              </w:rPr>
            </w:pPr>
            <w:r w:rsidRPr="00DA07B6">
              <w:rPr>
                <w:rFonts w:ascii="Times New Roman" w:hAnsi="Times New Roman" w:cs="Times New Roman"/>
                <w:sz w:val="20"/>
                <w:szCs w:val="20"/>
              </w:rPr>
              <w:t>Travel Cost</w:t>
            </w:r>
            <w:r>
              <w:rPr>
                <w:rFonts w:ascii="Times New Roman" w:hAnsi="Times New Roman" w:cs="Times New Roman"/>
                <w:sz w:val="20"/>
                <w:szCs w:val="20"/>
              </w:rPr>
              <w:t>: survey method valuing site-based facilities. WTP for environmental benefits at particular locat</w:t>
            </w:r>
            <w:r w:rsidR="008C7463">
              <w:rPr>
                <w:rFonts w:ascii="Times New Roman" w:hAnsi="Times New Roman" w:cs="Times New Roman"/>
                <w:sz w:val="20"/>
                <w:szCs w:val="20"/>
              </w:rPr>
              <w:t>ions</w:t>
            </w:r>
            <w:r w:rsidRPr="00DA07B6">
              <w:rPr>
                <w:rFonts w:ascii="Times New Roman" w:hAnsi="Times New Roman" w:cs="Times New Roman"/>
                <w:sz w:val="20"/>
                <w:szCs w:val="20"/>
              </w:rPr>
              <w:t xml:space="preserve"> </w:t>
            </w:r>
          </w:p>
          <w:p w:rsidR="008C7463" w:rsidRDefault="008C7463" w:rsidP="00C76042">
            <w:pPr>
              <w:spacing w:after="200"/>
              <w:rPr>
                <w:rFonts w:ascii="Times New Roman" w:hAnsi="Times New Roman" w:cs="Times New Roman"/>
                <w:sz w:val="20"/>
                <w:szCs w:val="20"/>
              </w:rPr>
            </w:pPr>
          </w:p>
          <w:p w:rsidR="00607E9B" w:rsidRPr="00DA07B6" w:rsidRDefault="007E65B6" w:rsidP="00C76042">
            <w:pPr>
              <w:spacing w:after="200"/>
              <w:rPr>
                <w:rFonts w:ascii="Times New Roman" w:hAnsi="Times New Roman" w:cs="Times New Roman"/>
                <w:sz w:val="20"/>
                <w:szCs w:val="20"/>
              </w:rPr>
            </w:pPr>
            <w:r w:rsidRPr="00DA07B6">
              <w:rPr>
                <w:rFonts w:ascii="Times New Roman" w:hAnsi="Times New Roman" w:cs="Times New Roman"/>
                <w:sz w:val="20"/>
                <w:szCs w:val="20"/>
              </w:rPr>
              <w:t>Hedonic Pricing</w:t>
            </w:r>
            <w:r>
              <w:rPr>
                <w:rFonts w:ascii="Times New Roman" w:hAnsi="Times New Roman" w:cs="Times New Roman"/>
                <w:sz w:val="20"/>
                <w:szCs w:val="20"/>
              </w:rPr>
              <w:t>: valuations based on implied WTP via purchases in related markets – mainly lab</w:t>
            </w:r>
            <w:r w:rsidR="008838B0">
              <w:rPr>
                <w:rFonts w:ascii="Times New Roman" w:hAnsi="Times New Roman" w:cs="Times New Roman"/>
                <w:sz w:val="20"/>
                <w:szCs w:val="20"/>
              </w:rPr>
              <w:t>our and p</w:t>
            </w:r>
            <w:r w:rsidR="008C7463">
              <w:rPr>
                <w:rFonts w:ascii="Times New Roman" w:hAnsi="Times New Roman" w:cs="Times New Roman"/>
                <w:sz w:val="20"/>
                <w:szCs w:val="20"/>
              </w:rPr>
              <w:t>roperty</w:t>
            </w:r>
          </w:p>
        </w:tc>
        <w:tc>
          <w:tcPr>
            <w:tcW w:w="2211" w:type="pct"/>
          </w:tcPr>
          <w:p w:rsidR="007E65B6" w:rsidRPr="00A30139" w:rsidRDefault="00A30139" w:rsidP="00C76042">
            <w:pPr>
              <w:rPr>
                <w:rFonts w:ascii="Times New Roman" w:hAnsi="Times New Roman" w:cs="Times New Roman"/>
                <w:sz w:val="20"/>
                <w:szCs w:val="20"/>
              </w:rPr>
            </w:pPr>
            <w:r>
              <w:rPr>
                <w:rFonts w:ascii="Times New Roman" w:hAnsi="Times New Roman" w:cs="Times New Roman"/>
                <w:sz w:val="20"/>
                <w:szCs w:val="20"/>
              </w:rPr>
              <w:t>The method is d</w:t>
            </w:r>
            <w:r w:rsidR="007E65B6" w:rsidRPr="00A30139">
              <w:rPr>
                <w:rFonts w:ascii="Times New Roman" w:hAnsi="Times New Roman" w:cs="Times New Roman"/>
                <w:sz w:val="20"/>
                <w:szCs w:val="20"/>
              </w:rPr>
              <w:t>ata intensive</w:t>
            </w:r>
            <w:r>
              <w:rPr>
                <w:rFonts w:ascii="Times New Roman" w:hAnsi="Times New Roman" w:cs="Times New Roman"/>
                <w:sz w:val="20"/>
                <w:szCs w:val="20"/>
              </w:rPr>
              <w:t>, it d</w:t>
            </w:r>
            <w:r w:rsidR="007E65B6" w:rsidRPr="00A30139">
              <w:rPr>
                <w:rFonts w:ascii="Times New Roman" w:hAnsi="Times New Roman" w:cs="Times New Roman"/>
                <w:sz w:val="20"/>
                <w:szCs w:val="20"/>
              </w:rPr>
              <w:t>oes not estimate non-use values</w:t>
            </w:r>
            <w:r>
              <w:rPr>
                <w:rFonts w:ascii="Times New Roman" w:hAnsi="Times New Roman" w:cs="Times New Roman"/>
                <w:sz w:val="20"/>
                <w:szCs w:val="20"/>
              </w:rPr>
              <w:t xml:space="preserve"> and c</w:t>
            </w:r>
            <w:r w:rsidR="007E65B6" w:rsidRPr="00A30139">
              <w:rPr>
                <w:rFonts w:ascii="Times New Roman" w:hAnsi="Times New Roman" w:cs="Times New Roman"/>
                <w:sz w:val="20"/>
                <w:szCs w:val="20"/>
              </w:rPr>
              <w:t>omplex journeys are problematical</w:t>
            </w:r>
            <w:r>
              <w:rPr>
                <w:rFonts w:ascii="Times New Roman" w:hAnsi="Times New Roman" w:cs="Times New Roman"/>
                <w:sz w:val="20"/>
                <w:szCs w:val="20"/>
              </w:rPr>
              <w:t>. However, it is w</w:t>
            </w:r>
            <w:r w:rsidR="007E65B6" w:rsidRPr="00A30139">
              <w:rPr>
                <w:rFonts w:ascii="Times New Roman" w:hAnsi="Times New Roman" w:cs="Times New Roman"/>
                <w:sz w:val="20"/>
                <w:szCs w:val="20"/>
              </w:rPr>
              <w:t>idely used</w:t>
            </w:r>
            <w:r>
              <w:rPr>
                <w:rFonts w:ascii="Times New Roman" w:hAnsi="Times New Roman" w:cs="Times New Roman"/>
                <w:sz w:val="20"/>
                <w:szCs w:val="20"/>
              </w:rPr>
              <w:t xml:space="preserve"> and u</w:t>
            </w:r>
            <w:r w:rsidR="007E65B6" w:rsidRPr="00A30139">
              <w:rPr>
                <w:rFonts w:ascii="Times New Roman" w:hAnsi="Times New Roman" w:cs="Times New Roman"/>
                <w:sz w:val="20"/>
                <w:szCs w:val="20"/>
              </w:rPr>
              <w:t xml:space="preserve">sed in developing countries for assessing ecotourism </w:t>
            </w:r>
          </w:p>
          <w:p w:rsidR="007E65B6" w:rsidRDefault="007E65B6" w:rsidP="00C76042">
            <w:pPr>
              <w:pStyle w:val="ListParagraph"/>
              <w:ind w:left="170"/>
              <w:rPr>
                <w:rFonts w:ascii="Times New Roman" w:hAnsi="Times New Roman" w:cs="Times New Roman"/>
                <w:sz w:val="20"/>
                <w:szCs w:val="20"/>
              </w:rPr>
            </w:pPr>
          </w:p>
          <w:p w:rsidR="007E65B6" w:rsidRPr="00A30139" w:rsidRDefault="00A30139" w:rsidP="00C76042">
            <w:pPr>
              <w:rPr>
                <w:rFonts w:ascii="Times New Roman" w:hAnsi="Times New Roman" w:cs="Times New Roman"/>
                <w:sz w:val="20"/>
                <w:szCs w:val="20"/>
              </w:rPr>
            </w:pPr>
            <w:r>
              <w:rPr>
                <w:rFonts w:ascii="Times New Roman" w:hAnsi="Times New Roman" w:cs="Times New Roman"/>
                <w:sz w:val="20"/>
                <w:szCs w:val="20"/>
              </w:rPr>
              <w:t>The method is d</w:t>
            </w:r>
            <w:r w:rsidR="007E65B6" w:rsidRPr="00A30139">
              <w:rPr>
                <w:rFonts w:ascii="Times New Roman" w:hAnsi="Times New Roman" w:cs="Times New Roman"/>
                <w:sz w:val="20"/>
                <w:szCs w:val="20"/>
              </w:rPr>
              <w:t>ata intensive</w:t>
            </w:r>
            <w:r>
              <w:rPr>
                <w:rFonts w:ascii="Times New Roman" w:hAnsi="Times New Roman" w:cs="Times New Roman"/>
                <w:sz w:val="20"/>
                <w:szCs w:val="20"/>
              </w:rPr>
              <w:t>, it d</w:t>
            </w:r>
            <w:r w:rsidR="007E65B6" w:rsidRPr="00A30139">
              <w:rPr>
                <w:rFonts w:ascii="Times New Roman" w:hAnsi="Times New Roman" w:cs="Times New Roman"/>
                <w:sz w:val="20"/>
                <w:szCs w:val="20"/>
              </w:rPr>
              <w:t>oes not estimate non-use values</w:t>
            </w:r>
            <w:r>
              <w:rPr>
                <w:rFonts w:ascii="Times New Roman" w:hAnsi="Times New Roman" w:cs="Times New Roman"/>
                <w:sz w:val="20"/>
                <w:szCs w:val="20"/>
              </w:rPr>
              <w:t xml:space="preserve">, </w:t>
            </w:r>
            <w:r w:rsidR="008C7463">
              <w:rPr>
                <w:rFonts w:ascii="Times New Roman" w:hAnsi="Times New Roman" w:cs="Times New Roman"/>
                <w:sz w:val="20"/>
                <w:szCs w:val="20"/>
              </w:rPr>
              <w:t>and income</w:t>
            </w:r>
            <w:r>
              <w:rPr>
                <w:rFonts w:ascii="Times New Roman" w:hAnsi="Times New Roman" w:cs="Times New Roman"/>
                <w:sz w:val="20"/>
                <w:szCs w:val="20"/>
              </w:rPr>
              <w:t>-level</w:t>
            </w:r>
            <w:r w:rsidR="007E65B6" w:rsidRPr="00A30139">
              <w:rPr>
                <w:rFonts w:ascii="Times New Roman" w:hAnsi="Times New Roman" w:cs="Times New Roman"/>
                <w:sz w:val="20"/>
                <w:szCs w:val="20"/>
              </w:rPr>
              <w:t xml:space="preserve"> restricts choices</w:t>
            </w:r>
            <w:r w:rsidR="00471586">
              <w:rPr>
                <w:rFonts w:ascii="Times New Roman" w:hAnsi="Times New Roman" w:cs="Times New Roman"/>
                <w:sz w:val="20"/>
                <w:szCs w:val="20"/>
              </w:rPr>
              <w:t xml:space="preserve"> whilst</w:t>
            </w:r>
            <w:r>
              <w:rPr>
                <w:rFonts w:ascii="Times New Roman" w:hAnsi="Times New Roman" w:cs="Times New Roman"/>
                <w:sz w:val="20"/>
                <w:szCs w:val="20"/>
              </w:rPr>
              <w:t xml:space="preserve"> s</w:t>
            </w:r>
            <w:r w:rsidR="007E65B6" w:rsidRPr="00A30139">
              <w:rPr>
                <w:rFonts w:ascii="Times New Roman" w:hAnsi="Times New Roman" w:cs="Times New Roman"/>
                <w:sz w:val="20"/>
                <w:szCs w:val="20"/>
              </w:rPr>
              <w:t>urrogate markets must be a good reflection of values</w:t>
            </w:r>
            <w:r>
              <w:rPr>
                <w:rFonts w:ascii="Times New Roman" w:hAnsi="Times New Roman" w:cs="Times New Roman"/>
                <w:sz w:val="20"/>
                <w:szCs w:val="20"/>
              </w:rPr>
              <w:t>. However it c</w:t>
            </w:r>
            <w:r w:rsidR="007E65B6" w:rsidRPr="00A30139">
              <w:rPr>
                <w:rFonts w:ascii="Times New Roman" w:hAnsi="Times New Roman" w:cs="Times New Roman"/>
                <w:sz w:val="20"/>
                <w:szCs w:val="20"/>
              </w:rPr>
              <w:t xml:space="preserve">an value the impact of some ES on land values </w:t>
            </w:r>
          </w:p>
          <w:p w:rsidR="007E65B6" w:rsidRDefault="007E65B6" w:rsidP="00C76042">
            <w:pPr>
              <w:pStyle w:val="ListParagraph"/>
              <w:ind w:left="170"/>
              <w:rPr>
                <w:rFonts w:ascii="Times New Roman" w:hAnsi="Times New Roman" w:cs="Times New Roman"/>
                <w:sz w:val="20"/>
                <w:szCs w:val="20"/>
              </w:rPr>
            </w:pPr>
          </w:p>
          <w:p w:rsidR="00F36A46" w:rsidRPr="00F36A46" w:rsidRDefault="00F36A46" w:rsidP="00C76042">
            <w:pPr>
              <w:pStyle w:val="ListParagraph"/>
              <w:ind w:left="170"/>
              <w:rPr>
                <w:rFonts w:ascii="Times New Roman" w:hAnsi="Times New Roman" w:cs="Times New Roman"/>
                <w:sz w:val="20"/>
                <w:szCs w:val="20"/>
              </w:rPr>
            </w:pPr>
          </w:p>
        </w:tc>
      </w:tr>
      <w:tr w:rsidR="008C7463" w:rsidRPr="00DA07B6" w:rsidTr="00C76042">
        <w:trPr>
          <w:trHeight w:val="3653"/>
        </w:trPr>
        <w:tc>
          <w:tcPr>
            <w:tcW w:w="702" w:type="pct"/>
            <w:hideMark/>
          </w:tcPr>
          <w:p w:rsidR="00607E9B" w:rsidRPr="00DA07B6" w:rsidRDefault="007E65B6"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t>Stated Preference</w:t>
            </w:r>
          </w:p>
        </w:tc>
        <w:tc>
          <w:tcPr>
            <w:tcW w:w="2087" w:type="pct"/>
            <w:hideMark/>
          </w:tcPr>
          <w:p w:rsidR="00C05528" w:rsidRDefault="007E65B6" w:rsidP="00C76042">
            <w:pPr>
              <w:spacing w:after="200"/>
              <w:rPr>
                <w:rFonts w:ascii="Times New Roman" w:hAnsi="Times New Roman" w:cs="Times New Roman"/>
                <w:sz w:val="20"/>
                <w:szCs w:val="20"/>
              </w:rPr>
            </w:pPr>
            <w:r w:rsidRPr="00DA07B6">
              <w:rPr>
                <w:rFonts w:ascii="Times New Roman" w:hAnsi="Times New Roman" w:cs="Times New Roman"/>
                <w:sz w:val="20"/>
                <w:szCs w:val="20"/>
              </w:rPr>
              <w:t>Contingent Valuation</w:t>
            </w:r>
            <w:r>
              <w:rPr>
                <w:rFonts w:ascii="Times New Roman" w:hAnsi="Times New Roman" w:cs="Times New Roman"/>
                <w:sz w:val="20"/>
                <w:szCs w:val="20"/>
              </w:rPr>
              <w:t>: WTP or WTA compensation for alterations in ES</w:t>
            </w:r>
            <w:r w:rsidR="008838B0">
              <w:rPr>
                <w:rFonts w:ascii="Times New Roman" w:hAnsi="Times New Roman" w:cs="Times New Roman"/>
                <w:sz w:val="20"/>
                <w:szCs w:val="20"/>
              </w:rPr>
              <w:t>. Respondents can name an amount they would pay (classical CV), or are asked to say whether they would</w:t>
            </w:r>
            <w:r w:rsidR="000D43A7">
              <w:rPr>
                <w:rFonts w:ascii="Times New Roman" w:hAnsi="Times New Roman" w:cs="Times New Roman"/>
                <w:sz w:val="20"/>
                <w:szCs w:val="20"/>
              </w:rPr>
              <w:t xml:space="preserve"> pay a specific amount (di/poly</w:t>
            </w:r>
            <w:r w:rsidR="008838B0">
              <w:rPr>
                <w:rFonts w:ascii="Times New Roman" w:hAnsi="Times New Roman" w:cs="Times New Roman"/>
                <w:sz w:val="20"/>
                <w:szCs w:val="20"/>
              </w:rPr>
              <w:t>chotomous choice)</w:t>
            </w:r>
            <w:r>
              <w:rPr>
                <w:rFonts w:ascii="Times New Roman" w:hAnsi="Times New Roman" w:cs="Times New Roman"/>
                <w:sz w:val="20"/>
                <w:szCs w:val="20"/>
              </w:rPr>
              <w:t xml:space="preserve"> </w:t>
            </w:r>
            <w:r w:rsidR="000D43A7">
              <w:rPr>
                <w:rFonts w:ascii="Times New Roman" w:hAnsi="Times New Roman" w:cs="Times New Roman"/>
                <w:sz w:val="20"/>
                <w:szCs w:val="20"/>
              </w:rPr>
              <w:t>or select an amount from sever</w:t>
            </w:r>
            <w:r w:rsidR="008C7463">
              <w:rPr>
                <w:rFonts w:ascii="Times New Roman" w:hAnsi="Times New Roman" w:cs="Times New Roman"/>
                <w:sz w:val="20"/>
                <w:szCs w:val="20"/>
              </w:rPr>
              <w:t>al options (Choice Modelling)</w:t>
            </w:r>
            <w:r w:rsidR="00C05528">
              <w:rPr>
                <w:rFonts w:ascii="Times New Roman" w:hAnsi="Times New Roman" w:cs="Times New Roman"/>
                <w:sz w:val="20"/>
                <w:szCs w:val="20"/>
              </w:rPr>
              <w:t xml:space="preserve">. </w:t>
            </w:r>
          </w:p>
          <w:p w:rsidR="00C05528" w:rsidRPr="00DA07B6" w:rsidRDefault="00C05528" w:rsidP="00C76042">
            <w:pPr>
              <w:spacing w:after="200"/>
              <w:rPr>
                <w:rFonts w:ascii="Times New Roman" w:hAnsi="Times New Roman" w:cs="Times New Roman"/>
                <w:sz w:val="20"/>
                <w:szCs w:val="20"/>
              </w:rPr>
            </w:pPr>
            <w:r>
              <w:rPr>
                <w:rFonts w:ascii="Times New Roman" w:hAnsi="Times New Roman" w:cs="Times New Roman"/>
                <w:sz w:val="20"/>
                <w:szCs w:val="20"/>
              </w:rPr>
              <w:t>Choice modelling</w:t>
            </w:r>
            <w:r w:rsidR="007D7994">
              <w:rPr>
                <w:rFonts w:ascii="Times New Roman" w:hAnsi="Times New Roman" w:cs="Times New Roman"/>
                <w:sz w:val="20"/>
                <w:szCs w:val="20"/>
              </w:rPr>
              <w:t>:</w:t>
            </w:r>
            <w:r>
              <w:rPr>
                <w:rFonts w:ascii="Times New Roman" w:hAnsi="Times New Roman" w:cs="Times New Roman"/>
                <w:sz w:val="20"/>
                <w:szCs w:val="20"/>
              </w:rPr>
              <w:t xml:space="preserve"> involves more elaborate sets of scenarios (or choices) from which participant select their preferred alternatives based on a set of choice attributes. Choices are constructed to reveal the marginal rate of substitution between a specific attribute and the trade-off item.</w:t>
            </w:r>
          </w:p>
        </w:tc>
        <w:tc>
          <w:tcPr>
            <w:tcW w:w="2211" w:type="pct"/>
          </w:tcPr>
          <w:p w:rsidR="007E65B6" w:rsidRPr="008C7463" w:rsidRDefault="008C7463" w:rsidP="00C76042">
            <w:pPr>
              <w:rPr>
                <w:rFonts w:ascii="Times New Roman" w:hAnsi="Times New Roman" w:cs="Times New Roman"/>
                <w:sz w:val="20"/>
                <w:szCs w:val="20"/>
              </w:rPr>
            </w:pPr>
            <w:r w:rsidRPr="008C7463">
              <w:rPr>
                <w:rFonts w:ascii="Times New Roman" w:hAnsi="Times New Roman" w:cs="Times New Roman"/>
                <w:i/>
                <w:sz w:val="20"/>
                <w:szCs w:val="20"/>
              </w:rPr>
              <w:t>Contingent Valuation</w:t>
            </w:r>
            <w:r>
              <w:rPr>
                <w:rFonts w:ascii="Times New Roman" w:hAnsi="Times New Roman" w:cs="Times New Roman"/>
                <w:sz w:val="20"/>
                <w:szCs w:val="20"/>
              </w:rPr>
              <w:t>: this method suffers from several sources of bias, i</w:t>
            </w:r>
            <w:r w:rsidR="007E65B6" w:rsidRPr="008C7463">
              <w:rPr>
                <w:rFonts w:ascii="Times New Roman" w:hAnsi="Times New Roman" w:cs="Times New Roman"/>
                <w:sz w:val="20"/>
                <w:szCs w:val="20"/>
              </w:rPr>
              <w:t>nconsistent preferences</w:t>
            </w:r>
            <w:r>
              <w:rPr>
                <w:rFonts w:ascii="Times New Roman" w:hAnsi="Times New Roman" w:cs="Times New Roman"/>
                <w:sz w:val="20"/>
                <w:szCs w:val="20"/>
              </w:rPr>
              <w:t>, it is costly and labour intensive to develop and implement and can miss non-trivial information. However, it is able to estimate option and existence values.</w:t>
            </w:r>
          </w:p>
          <w:p w:rsidR="007E65B6" w:rsidRPr="008C7463" w:rsidRDefault="007E65B6" w:rsidP="00C76042">
            <w:pPr>
              <w:rPr>
                <w:rFonts w:ascii="Times New Roman" w:hAnsi="Times New Roman" w:cs="Times New Roman"/>
                <w:sz w:val="20"/>
                <w:szCs w:val="20"/>
              </w:rPr>
            </w:pPr>
          </w:p>
          <w:p w:rsidR="008D11E0" w:rsidRPr="00C05528" w:rsidRDefault="008C7463" w:rsidP="00C76042">
            <w:pPr>
              <w:rPr>
                <w:rFonts w:ascii="Times New Roman" w:hAnsi="Times New Roman" w:cs="Times New Roman"/>
                <w:sz w:val="20"/>
                <w:szCs w:val="20"/>
              </w:rPr>
            </w:pPr>
            <w:r w:rsidRPr="008C7463">
              <w:rPr>
                <w:rFonts w:ascii="Times New Roman" w:hAnsi="Times New Roman" w:cs="Times New Roman"/>
                <w:i/>
                <w:sz w:val="20"/>
                <w:szCs w:val="20"/>
              </w:rPr>
              <w:t>Choice M</w:t>
            </w:r>
            <w:r w:rsidR="00A30139" w:rsidRPr="008C7463">
              <w:rPr>
                <w:rFonts w:ascii="Times New Roman" w:hAnsi="Times New Roman" w:cs="Times New Roman"/>
                <w:i/>
                <w:sz w:val="20"/>
                <w:szCs w:val="20"/>
              </w:rPr>
              <w:t>odelling</w:t>
            </w:r>
            <w:r w:rsidR="00A30139" w:rsidRPr="008C7463">
              <w:rPr>
                <w:rFonts w:ascii="Times New Roman" w:hAnsi="Times New Roman" w:cs="Times New Roman"/>
                <w:sz w:val="20"/>
                <w:szCs w:val="20"/>
              </w:rPr>
              <w:t>: hypothetical bias and the choices can be complex where attribute numbers are high. However, compared to standard CV the experimenter has much more control, the statistics are more robust, attribute range is greater and the method suffers less from respondent strategic behaviour</w:t>
            </w:r>
            <w:r>
              <w:rPr>
                <w:rFonts w:ascii="Times New Roman" w:hAnsi="Times New Roman" w:cs="Times New Roman"/>
                <w:sz w:val="20"/>
                <w:szCs w:val="20"/>
              </w:rPr>
              <w:t>.</w:t>
            </w:r>
          </w:p>
        </w:tc>
      </w:tr>
      <w:tr w:rsidR="008C7463" w:rsidRPr="00DA07B6" w:rsidTr="00C76042">
        <w:trPr>
          <w:trHeight w:val="648"/>
        </w:trPr>
        <w:tc>
          <w:tcPr>
            <w:tcW w:w="702" w:type="pct"/>
            <w:hideMark/>
          </w:tcPr>
          <w:p w:rsidR="00607E9B" w:rsidRPr="00DA07B6" w:rsidRDefault="008C7463"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t>Value Transfer</w:t>
            </w:r>
          </w:p>
        </w:tc>
        <w:tc>
          <w:tcPr>
            <w:tcW w:w="2087" w:type="pct"/>
            <w:hideMark/>
          </w:tcPr>
          <w:p w:rsidR="00607E9B" w:rsidRPr="00DA07B6" w:rsidRDefault="008C7463" w:rsidP="00C76042">
            <w:pPr>
              <w:spacing w:after="200"/>
              <w:rPr>
                <w:rFonts w:ascii="Times New Roman" w:hAnsi="Times New Roman" w:cs="Times New Roman"/>
                <w:sz w:val="20"/>
                <w:szCs w:val="20"/>
              </w:rPr>
            </w:pPr>
            <w:r w:rsidRPr="00DA07B6">
              <w:rPr>
                <w:rFonts w:ascii="Times New Roman" w:hAnsi="Times New Roman" w:cs="Times New Roman"/>
                <w:sz w:val="20"/>
                <w:szCs w:val="20"/>
              </w:rPr>
              <w:t>Benefit Transfer</w:t>
            </w:r>
            <w:r>
              <w:rPr>
                <w:rFonts w:ascii="Times New Roman" w:hAnsi="Times New Roman" w:cs="Times New Roman"/>
                <w:sz w:val="20"/>
                <w:szCs w:val="20"/>
              </w:rPr>
              <w:t>: transference of values at one location (study site) to another location (policy site) of which there are four types: unit BT, adjusted BT, value function transfer and meta-analytic transfer</w:t>
            </w:r>
          </w:p>
        </w:tc>
        <w:tc>
          <w:tcPr>
            <w:tcW w:w="2211" w:type="pct"/>
          </w:tcPr>
          <w:p w:rsidR="008D11E0" w:rsidRPr="008C7463" w:rsidRDefault="008C7463" w:rsidP="00C76042">
            <w:pPr>
              <w:rPr>
                <w:rFonts w:ascii="Times New Roman" w:hAnsi="Times New Roman" w:cs="Times New Roman"/>
                <w:sz w:val="20"/>
                <w:szCs w:val="20"/>
              </w:rPr>
            </w:pPr>
            <w:r w:rsidRPr="008C7463">
              <w:rPr>
                <w:rFonts w:ascii="Times New Roman" w:hAnsi="Times New Roman" w:cs="Times New Roman"/>
                <w:sz w:val="20"/>
                <w:szCs w:val="20"/>
              </w:rPr>
              <w:t>Large number of uncertainties not wholly accounted for between study and policy locations</w:t>
            </w:r>
            <w:r>
              <w:rPr>
                <w:rFonts w:ascii="Times New Roman" w:hAnsi="Times New Roman" w:cs="Times New Roman"/>
                <w:sz w:val="20"/>
                <w:szCs w:val="20"/>
              </w:rPr>
              <w:t xml:space="preserve">. </w:t>
            </w:r>
            <w:r w:rsidRPr="008C7463">
              <w:rPr>
                <w:rFonts w:ascii="Times New Roman" w:hAnsi="Times New Roman" w:cs="Times New Roman"/>
                <w:sz w:val="20"/>
                <w:szCs w:val="20"/>
              </w:rPr>
              <w:t>Transfer of values from one context to another is difficult</w:t>
            </w:r>
            <w:r>
              <w:rPr>
                <w:rFonts w:ascii="Times New Roman" w:hAnsi="Times New Roman" w:cs="Times New Roman"/>
                <w:sz w:val="20"/>
                <w:szCs w:val="20"/>
              </w:rPr>
              <w:t>. Nevertheless, it is a q</w:t>
            </w:r>
            <w:r w:rsidRPr="008C7463">
              <w:rPr>
                <w:rFonts w:ascii="Times New Roman" w:hAnsi="Times New Roman" w:cs="Times New Roman"/>
                <w:sz w:val="20"/>
                <w:szCs w:val="20"/>
              </w:rPr>
              <w:t>uick and cheap method</w:t>
            </w:r>
            <w:r>
              <w:rPr>
                <w:rFonts w:ascii="Times New Roman" w:hAnsi="Times New Roman" w:cs="Times New Roman"/>
                <w:sz w:val="20"/>
                <w:szCs w:val="20"/>
              </w:rPr>
              <w:t>.</w:t>
            </w:r>
          </w:p>
        </w:tc>
      </w:tr>
      <w:tr w:rsidR="008C7463" w:rsidRPr="00DA07B6" w:rsidTr="00C76042">
        <w:trPr>
          <w:trHeight w:val="1119"/>
        </w:trPr>
        <w:tc>
          <w:tcPr>
            <w:tcW w:w="702" w:type="pct"/>
            <w:hideMark/>
          </w:tcPr>
          <w:p w:rsidR="00607E9B" w:rsidRPr="00DA07B6" w:rsidRDefault="008C7463"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t>Participatory Valuation</w:t>
            </w:r>
          </w:p>
        </w:tc>
        <w:tc>
          <w:tcPr>
            <w:tcW w:w="2087" w:type="pct"/>
            <w:hideMark/>
          </w:tcPr>
          <w:p w:rsidR="00607E9B" w:rsidRPr="00DA07B6" w:rsidRDefault="008C7463" w:rsidP="00C76042">
            <w:pPr>
              <w:spacing w:after="200"/>
              <w:rPr>
                <w:rFonts w:ascii="Times New Roman" w:hAnsi="Times New Roman" w:cs="Times New Roman"/>
                <w:sz w:val="20"/>
                <w:szCs w:val="20"/>
              </w:rPr>
            </w:pPr>
            <w:r>
              <w:rPr>
                <w:rFonts w:ascii="Times New Roman" w:hAnsi="Times New Roman" w:cs="Times New Roman"/>
                <w:sz w:val="20"/>
                <w:szCs w:val="20"/>
              </w:rPr>
              <w:t>Deliberative valuation: combines states preference methods with deliberative processes from political science</w:t>
            </w:r>
            <w:r w:rsidR="00C05528">
              <w:rPr>
                <w:rFonts w:ascii="Times New Roman" w:hAnsi="Times New Roman" w:cs="Times New Roman"/>
                <w:sz w:val="20"/>
                <w:szCs w:val="20"/>
              </w:rPr>
              <w:t>, involving small groups of participants in reflective iterative dialogues.</w:t>
            </w:r>
          </w:p>
        </w:tc>
        <w:tc>
          <w:tcPr>
            <w:tcW w:w="2211" w:type="pct"/>
          </w:tcPr>
          <w:p w:rsidR="008D11E0" w:rsidRDefault="00471586" w:rsidP="00C76042">
            <w:pPr>
              <w:rPr>
                <w:rFonts w:ascii="Times New Roman" w:hAnsi="Times New Roman" w:cs="Times New Roman"/>
                <w:sz w:val="20"/>
                <w:szCs w:val="20"/>
              </w:rPr>
            </w:pPr>
            <w:r>
              <w:rPr>
                <w:rFonts w:ascii="Times New Roman" w:hAnsi="Times New Roman" w:cs="Times New Roman"/>
                <w:sz w:val="20"/>
                <w:szCs w:val="20"/>
              </w:rPr>
              <w:t>Less bias encountered compared to standard stated preference methods. Values are constructed in a social process. Inclusive of all stakeholder groups, but depending on the power-relations of stakeholders involved some value preferences may be articulated more forcefully</w:t>
            </w:r>
            <w:r w:rsidR="00C05528">
              <w:rPr>
                <w:rFonts w:ascii="Times New Roman" w:hAnsi="Times New Roman" w:cs="Times New Roman"/>
                <w:sz w:val="20"/>
                <w:szCs w:val="20"/>
              </w:rPr>
              <w:t xml:space="preserve"> than others.</w:t>
            </w:r>
          </w:p>
          <w:p w:rsidR="00B1050B" w:rsidRPr="00471586" w:rsidRDefault="00B1050B" w:rsidP="00C76042">
            <w:pPr>
              <w:rPr>
                <w:rFonts w:ascii="Times New Roman" w:hAnsi="Times New Roman" w:cs="Times New Roman"/>
                <w:sz w:val="20"/>
                <w:szCs w:val="20"/>
              </w:rPr>
            </w:pPr>
          </w:p>
        </w:tc>
      </w:tr>
      <w:tr w:rsidR="008C7463" w:rsidRPr="00DA07B6" w:rsidTr="00C76042">
        <w:trPr>
          <w:trHeight w:val="648"/>
        </w:trPr>
        <w:tc>
          <w:tcPr>
            <w:tcW w:w="702" w:type="pct"/>
            <w:hideMark/>
          </w:tcPr>
          <w:p w:rsidR="00607E9B" w:rsidRPr="00DA07B6" w:rsidRDefault="00C05528"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Non-monetary Deliberative and </w:t>
            </w:r>
            <w:r>
              <w:rPr>
                <w:rFonts w:ascii="Times New Roman" w:hAnsi="Times New Roman" w:cs="Times New Roman"/>
                <w:sz w:val="20"/>
                <w:szCs w:val="20"/>
              </w:rPr>
              <w:lastRenderedPageBreak/>
              <w:t xml:space="preserve">Participatory Approaches </w:t>
            </w:r>
          </w:p>
        </w:tc>
        <w:tc>
          <w:tcPr>
            <w:tcW w:w="2087" w:type="pct"/>
            <w:hideMark/>
          </w:tcPr>
          <w:p w:rsidR="00607E9B" w:rsidRPr="00DA07B6" w:rsidRDefault="00C05528" w:rsidP="00C76042">
            <w:pPr>
              <w:spacing w:after="200" w:line="276" w:lineRule="auto"/>
              <w:rPr>
                <w:rFonts w:ascii="Times New Roman" w:hAnsi="Times New Roman" w:cs="Times New Roman"/>
                <w:sz w:val="20"/>
                <w:szCs w:val="20"/>
              </w:rPr>
            </w:pPr>
            <w:r>
              <w:rPr>
                <w:rFonts w:ascii="Times New Roman" w:hAnsi="Times New Roman" w:cs="Times New Roman"/>
                <w:sz w:val="20"/>
                <w:szCs w:val="20"/>
              </w:rPr>
              <w:lastRenderedPageBreak/>
              <w:t>Focus groups, Participatory Action Research (PAR), Health-based, Q-methodology</w:t>
            </w:r>
            <w:r w:rsidR="000765DE">
              <w:rPr>
                <w:rFonts w:ascii="Times New Roman" w:hAnsi="Times New Roman" w:cs="Times New Roman"/>
                <w:sz w:val="20"/>
                <w:szCs w:val="20"/>
              </w:rPr>
              <w:t>:</w:t>
            </w:r>
            <w:r w:rsidR="00B1050B">
              <w:rPr>
                <w:rFonts w:ascii="Times New Roman" w:hAnsi="Times New Roman" w:cs="Times New Roman"/>
                <w:sz w:val="20"/>
                <w:szCs w:val="20"/>
              </w:rPr>
              <w:t xml:space="preserve"> These are a set of </w:t>
            </w:r>
            <w:r w:rsidR="000765DE">
              <w:rPr>
                <w:rFonts w:ascii="Times New Roman" w:hAnsi="Times New Roman" w:cs="Times New Roman"/>
                <w:sz w:val="20"/>
                <w:szCs w:val="20"/>
              </w:rPr>
              <w:t xml:space="preserve">group-based methods that are both </w:t>
            </w:r>
            <w:r w:rsidR="000765DE">
              <w:rPr>
                <w:rFonts w:ascii="Times New Roman" w:hAnsi="Times New Roman" w:cs="Times New Roman"/>
                <w:sz w:val="20"/>
                <w:szCs w:val="20"/>
              </w:rPr>
              <w:lastRenderedPageBreak/>
              <w:t>participatory and deliberative</w:t>
            </w:r>
            <w:r w:rsidR="00B1050B">
              <w:rPr>
                <w:rFonts w:ascii="Times New Roman" w:hAnsi="Times New Roman" w:cs="Times New Roman"/>
                <w:sz w:val="20"/>
                <w:szCs w:val="20"/>
              </w:rPr>
              <w:t>, and</w:t>
            </w:r>
            <w:r w:rsidR="000765DE">
              <w:rPr>
                <w:rFonts w:ascii="Times New Roman" w:hAnsi="Times New Roman" w:cs="Times New Roman"/>
                <w:sz w:val="20"/>
                <w:szCs w:val="20"/>
              </w:rPr>
              <w:t xml:space="preserve"> seek to obtain information regarding human-nature relationships. PARs were developed specifically for use in developing countries to elicit local knowledge and enable local people to participate in decision-making. Health-based measures relate valuations to factors that affect quality of life and human-wellbeing. Q-methodology is a means of assessing the subjectivity of people’s views and values.</w:t>
            </w:r>
          </w:p>
        </w:tc>
        <w:tc>
          <w:tcPr>
            <w:tcW w:w="2211" w:type="pct"/>
          </w:tcPr>
          <w:p w:rsidR="007E2FF4" w:rsidRPr="00C05528" w:rsidRDefault="000765DE" w:rsidP="00C76042">
            <w:pPr>
              <w:rPr>
                <w:rFonts w:ascii="Times New Roman" w:hAnsi="Times New Roman" w:cs="Times New Roman"/>
                <w:sz w:val="20"/>
                <w:szCs w:val="20"/>
              </w:rPr>
            </w:pPr>
            <w:r>
              <w:rPr>
                <w:rFonts w:ascii="Times New Roman" w:hAnsi="Times New Roman" w:cs="Times New Roman"/>
                <w:sz w:val="20"/>
                <w:szCs w:val="20"/>
              </w:rPr>
              <w:lastRenderedPageBreak/>
              <w:t>Overall, these methods are able to provide values regarding biodiversity, provisioning, regulating and cultural services</w:t>
            </w:r>
            <w:r w:rsidR="00545420">
              <w:rPr>
                <w:rFonts w:ascii="Times New Roman" w:hAnsi="Times New Roman" w:cs="Times New Roman"/>
                <w:sz w:val="20"/>
                <w:szCs w:val="20"/>
              </w:rPr>
              <w:t xml:space="preserve">, and they enrich the qualitative </w:t>
            </w:r>
            <w:r w:rsidR="00545420">
              <w:rPr>
                <w:rFonts w:ascii="Times New Roman" w:hAnsi="Times New Roman" w:cs="Times New Roman"/>
                <w:sz w:val="20"/>
                <w:szCs w:val="20"/>
              </w:rPr>
              <w:lastRenderedPageBreak/>
              <w:t>components of value.</w:t>
            </w:r>
            <w:r w:rsidR="004D3674">
              <w:rPr>
                <w:rFonts w:ascii="Times New Roman" w:hAnsi="Times New Roman" w:cs="Times New Roman"/>
                <w:sz w:val="20"/>
                <w:szCs w:val="20"/>
              </w:rPr>
              <w:t xml:space="preserve"> Although they require literate participants, new data collection, trained individuals and can be affected by local nuances. However, protocols can be adjusted to illiterate individuals; values can be aggregated to the scale required and in some cases they can be relatively straightforward to undertake. Furthermore, they engage a wide-range of stakeholders and are conveyable to policy makers.</w:t>
            </w:r>
          </w:p>
        </w:tc>
      </w:tr>
    </w:tbl>
    <w:p w:rsidR="00E71299" w:rsidRDefault="004F2999">
      <w:r>
        <w:rPr>
          <w:noProof/>
          <w:lang w:eastAsia="en-GB"/>
        </w:rPr>
        <w:lastRenderedPageBreak/>
        <mc:AlternateContent>
          <mc:Choice Requires="wps">
            <w:drawing>
              <wp:anchor distT="0" distB="0" distL="114300" distR="114300" simplePos="0" relativeHeight="251659264" behindDoc="0" locked="0" layoutInCell="1" allowOverlap="1" wp14:anchorId="0C5CE9D2" wp14:editId="6382C35A">
                <wp:simplePos x="0" y="0"/>
                <wp:positionH relativeFrom="column">
                  <wp:posOffset>3810</wp:posOffset>
                </wp:positionH>
                <wp:positionV relativeFrom="paragraph">
                  <wp:posOffset>1878965</wp:posOffset>
                </wp:positionV>
                <wp:extent cx="6172200"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172200"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4262" w:rsidRPr="00354262" w:rsidRDefault="00E766DE" w:rsidP="00354262">
                            <w:pPr>
                              <w:jc w:val="both"/>
                              <w:rPr>
                                <w:rFonts w:ascii="Times New Roman" w:hAnsi="Times New Roman" w:cs="Times New Roman"/>
                                <w:sz w:val="20"/>
                                <w:szCs w:val="20"/>
                              </w:rPr>
                            </w:pPr>
                            <w:r>
                              <w:rPr>
                                <w:rFonts w:ascii="Times New Roman" w:hAnsi="Times New Roman" w:cs="Times New Roman"/>
                                <w:sz w:val="20"/>
                                <w:szCs w:val="20"/>
                              </w:rPr>
                              <w:t>A</w:t>
                            </w:r>
                            <w:bookmarkStart w:id="0" w:name="_GoBack"/>
                            <w:r w:rsidR="00354262" w:rsidRPr="00354262">
                              <w:rPr>
                                <w:rFonts w:ascii="Times New Roman" w:hAnsi="Times New Roman" w:cs="Times New Roman"/>
                                <w:sz w:val="20"/>
                                <w:szCs w:val="20"/>
                              </w:rPr>
                              <w:t>dapte</w:t>
                            </w:r>
                            <w:r w:rsidR="008E3C43">
                              <w:rPr>
                                <w:rFonts w:ascii="Times New Roman" w:hAnsi="Times New Roman" w:cs="Times New Roman"/>
                                <w:sz w:val="20"/>
                                <w:szCs w:val="20"/>
                              </w:rPr>
                              <w:t xml:space="preserve">d from </w:t>
                            </w:r>
                            <w:r w:rsidR="00925097">
                              <w:rPr>
                                <w:rFonts w:ascii="Times New Roman" w:hAnsi="Times New Roman" w:cs="Times New Roman"/>
                                <w:sz w:val="20"/>
                                <w:szCs w:val="20"/>
                              </w:rPr>
                              <w:t>Mendelsohn and</w:t>
                            </w:r>
                            <w:r w:rsidR="00354262" w:rsidRPr="00354262">
                              <w:rPr>
                                <w:rFonts w:ascii="Times New Roman" w:hAnsi="Times New Roman" w:cs="Times New Roman"/>
                                <w:sz w:val="20"/>
                                <w:szCs w:val="20"/>
                              </w:rPr>
                              <w:t xml:space="preserve"> Olmstead (200</w:t>
                            </w:r>
                            <w:r w:rsidR="00925097">
                              <w:rPr>
                                <w:rFonts w:ascii="Times New Roman" w:hAnsi="Times New Roman" w:cs="Times New Roman"/>
                                <w:sz w:val="20"/>
                                <w:szCs w:val="20"/>
                              </w:rPr>
                              <w:t xml:space="preserve">9), </w:t>
                            </w:r>
                            <w:proofErr w:type="spellStart"/>
                            <w:r w:rsidR="00925097">
                              <w:rPr>
                                <w:rFonts w:ascii="Times New Roman" w:hAnsi="Times New Roman" w:cs="Times New Roman"/>
                                <w:sz w:val="20"/>
                                <w:szCs w:val="20"/>
                              </w:rPr>
                              <w:t>Lui</w:t>
                            </w:r>
                            <w:proofErr w:type="spellEnd"/>
                            <w:r w:rsidR="00925097">
                              <w:rPr>
                                <w:rFonts w:ascii="Times New Roman" w:hAnsi="Times New Roman" w:cs="Times New Roman"/>
                                <w:sz w:val="20"/>
                                <w:szCs w:val="20"/>
                              </w:rPr>
                              <w:t xml:space="preserve"> et al. (2010), </w:t>
                            </w:r>
                            <w:proofErr w:type="spellStart"/>
                            <w:r w:rsidR="00925097">
                              <w:rPr>
                                <w:rFonts w:ascii="Times New Roman" w:hAnsi="Times New Roman" w:cs="Times New Roman"/>
                                <w:sz w:val="20"/>
                                <w:szCs w:val="20"/>
                              </w:rPr>
                              <w:t>Pascual</w:t>
                            </w:r>
                            <w:proofErr w:type="spellEnd"/>
                            <w:r w:rsidR="00925097">
                              <w:rPr>
                                <w:rFonts w:ascii="Times New Roman" w:hAnsi="Times New Roman" w:cs="Times New Roman"/>
                                <w:sz w:val="20"/>
                                <w:szCs w:val="20"/>
                              </w:rPr>
                              <w:t xml:space="preserve"> and</w:t>
                            </w:r>
                            <w:r w:rsidR="00354262" w:rsidRPr="00354262">
                              <w:rPr>
                                <w:rFonts w:ascii="Times New Roman" w:hAnsi="Times New Roman" w:cs="Times New Roman"/>
                                <w:sz w:val="20"/>
                                <w:szCs w:val="20"/>
                              </w:rPr>
                              <w:t xml:space="preserve"> </w:t>
                            </w:r>
                            <w:proofErr w:type="spellStart"/>
                            <w:r w:rsidR="00354262" w:rsidRPr="00354262">
                              <w:rPr>
                                <w:rFonts w:ascii="Times New Roman" w:hAnsi="Times New Roman" w:cs="Times New Roman"/>
                                <w:sz w:val="20"/>
                                <w:szCs w:val="20"/>
                              </w:rPr>
                              <w:t>Muradian</w:t>
                            </w:r>
                            <w:proofErr w:type="spellEnd"/>
                            <w:r w:rsidR="00925097">
                              <w:rPr>
                                <w:rFonts w:ascii="Times New Roman" w:hAnsi="Times New Roman" w:cs="Times New Roman"/>
                                <w:sz w:val="20"/>
                                <w:szCs w:val="20"/>
                              </w:rPr>
                              <w:t xml:space="preserve"> et al.</w:t>
                            </w:r>
                            <w:r w:rsidR="00354262" w:rsidRPr="00354262">
                              <w:rPr>
                                <w:rFonts w:ascii="Times New Roman" w:hAnsi="Times New Roman" w:cs="Times New Roman"/>
                                <w:sz w:val="20"/>
                                <w:szCs w:val="20"/>
                              </w:rPr>
                              <w:t xml:space="preserve"> </w:t>
                            </w:r>
                            <w:r w:rsidR="00B1050B">
                              <w:rPr>
                                <w:rFonts w:ascii="Times New Roman" w:hAnsi="Times New Roman" w:cs="Times New Roman"/>
                                <w:sz w:val="20"/>
                                <w:szCs w:val="20"/>
                              </w:rPr>
                              <w:t>(2010), Turner et al. (2010), Christie et al. (2012) and</w:t>
                            </w:r>
                            <w:r w:rsidR="00354262" w:rsidRPr="00354262">
                              <w:rPr>
                                <w:rFonts w:ascii="Times New Roman" w:hAnsi="Times New Roman" w:cs="Times New Roman"/>
                                <w:sz w:val="20"/>
                                <w:szCs w:val="20"/>
                              </w:rPr>
                              <w:t xml:space="preserve"> </w:t>
                            </w:r>
                            <w:proofErr w:type="spellStart"/>
                            <w:r w:rsidR="00354262" w:rsidRPr="00354262">
                              <w:rPr>
                                <w:rFonts w:ascii="Times New Roman" w:hAnsi="Times New Roman" w:cs="Times New Roman"/>
                                <w:sz w:val="20"/>
                                <w:szCs w:val="20"/>
                              </w:rPr>
                              <w:t>Liekens</w:t>
                            </w:r>
                            <w:proofErr w:type="spellEnd"/>
                            <w:r w:rsidR="00354262" w:rsidRPr="00354262">
                              <w:rPr>
                                <w:rFonts w:ascii="Times New Roman" w:hAnsi="Times New Roman" w:cs="Times New Roman"/>
                                <w:sz w:val="20"/>
                                <w:szCs w:val="20"/>
                              </w:rPr>
                              <w:t xml:space="preserve"> et al. (2014)</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pt;margin-top:147.95pt;width:486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" fillcolor="white [3201]" stroked="f" strokeweight=".5pt">
                <v:textbox>
                  <w:txbxContent>
                    <w:p w:rsidR="00354262" w:rsidRPr="00354262" w:rsidRDefault="00E766DE" w:rsidP="00354262">
                      <w:pPr>
                        <w:jc w:val="both"/>
                        <w:rPr>
                          <w:rFonts w:ascii="Times New Roman" w:hAnsi="Times New Roman" w:cs="Times New Roman"/>
                          <w:sz w:val="20"/>
                          <w:szCs w:val="20"/>
                        </w:rPr>
                      </w:pPr>
                      <w:bookmarkStart w:id="1" w:name="_GoBack"/>
                      <w:r>
                        <w:rPr>
                          <w:rFonts w:ascii="Times New Roman" w:hAnsi="Times New Roman" w:cs="Times New Roman"/>
                          <w:sz w:val="20"/>
                          <w:szCs w:val="20"/>
                        </w:rPr>
                        <w:t>A</w:t>
                      </w:r>
                      <w:r w:rsidR="00354262" w:rsidRPr="00354262">
                        <w:rPr>
                          <w:rFonts w:ascii="Times New Roman" w:hAnsi="Times New Roman" w:cs="Times New Roman"/>
                          <w:sz w:val="20"/>
                          <w:szCs w:val="20"/>
                        </w:rPr>
                        <w:t>dapte</w:t>
                      </w:r>
                      <w:r w:rsidR="008E3C43">
                        <w:rPr>
                          <w:rFonts w:ascii="Times New Roman" w:hAnsi="Times New Roman" w:cs="Times New Roman"/>
                          <w:sz w:val="20"/>
                          <w:szCs w:val="20"/>
                        </w:rPr>
                        <w:t xml:space="preserve">d from </w:t>
                      </w:r>
                      <w:r w:rsidR="00925097">
                        <w:rPr>
                          <w:rFonts w:ascii="Times New Roman" w:hAnsi="Times New Roman" w:cs="Times New Roman"/>
                          <w:sz w:val="20"/>
                          <w:szCs w:val="20"/>
                        </w:rPr>
                        <w:t>Mendelsohn and</w:t>
                      </w:r>
                      <w:r w:rsidR="00354262" w:rsidRPr="00354262">
                        <w:rPr>
                          <w:rFonts w:ascii="Times New Roman" w:hAnsi="Times New Roman" w:cs="Times New Roman"/>
                          <w:sz w:val="20"/>
                          <w:szCs w:val="20"/>
                        </w:rPr>
                        <w:t xml:space="preserve"> Olmstead (200</w:t>
                      </w:r>
                      <w:r w:rsidR="00925097">
                        <w:rPr>
                          <w:rFonts w:ascii="Times New Roman" w:hAnsi="Times New Roman" w:cs="Times New Roman"/>
                          <w:sz w:val="20"/>
                          <w:szCs w:val="20"/>
                        </w:rPr>
                        <w:t xml:space="preserve">9), </w:t>
                      </w:r>
                      <w:proofErr w:type="spellStart"/>
                      <w:r w:rsidR="00925097">
                        <w:rPr>
                          <w:rFonts w:ascii="Times New Roman" w:hAnsi="Times New Roman" w:cs="Times New Roman"/>
                          <w:sz w:val="20"/>
                          <w:szCs w:val="20"/>
                        </w:rPr>
                        <w:t>Lui</w:t>
                      </w:r>
                      <w:proofErr w:type="spellEnd"/>
                      <w:r w:rsidR="00925097">
                        <w:rPr>
                          <w:rFonts w:ascii="Times New Roman" w:hAnsi="Times New Roman" w:cs="Times New Roman"/>
                          <w:sz w:val="20"/>
                          <w:szCs w:val="20"/>
                        </w:rPr>
                        <w:t xml:space="preserve"> et al. (2010), </w:t>
                      </w:r>
                      <w:proofErr w:type="spellStart"/>
                      <w:r w:rsidR="00925097">
                        <w:rPr>
                          <w:rFonts w:ascii="Times New Roman" w:hAnsi="Times New Roman" w:cs="Times New Roman"/>
                          <w:sz w:val="20"/>
                          <w:szCs w:val="20"/>
                        </w:rPr>
                        <w:t>Pascual</w:t>
                      </w:r>
                      <w:proofErr w:type="spellEnd"/>
                      <w:r w:rsidR="00925097">
                        <w:rPr>
                          <w:rFonts w:ascii="Times New Roman" w:hAnsi="Times New Roman" w:cs="Times New Roman"/>
                          <w:sz w:val="20"/>
                          <w:szCs w:val="20"/>
                        </w:rPr>
                        <w:t xml:space="preserve"> and</w:t>
                      </w:r>
                      <w:r w:rsidR="00354262" w:rsidRPr="00354262">
                        <w:rPr>
                          <w:rFonts w:ascii="Times New Roman" w:hAnsi="Times New Roman" w:cs="Times New Roman"/>
                          <w:sz w:val="20"/>
                          <w:szCs w:val="20"/>
                        </w:rPr>
                        <w:t xml:space="preserve"> </w:t>
                      </w:r>
                      <w:proofErr w:type="spellStart"/>
                      <w:r w:rsidR="00354262" w:rsidRPr="00354262">
                        <w:rPr>
                          <w:rFonts w:ascii="Times New Roman" w:hAnsi="Times New Roman" w:cs="Times New Roman"/>
                          <w:sz w:val="20"/>
                          <w:szCs w:val="20"/>
                        </w:rPr>
                        <w:t>Muradian</w:t>
                      </w:r>
                      <w:proofErr w:type="spellEnd"/>
                      <w:r w:rsidR="00925097">
                        <w:rPr>
                          <w:rFonts w:ascii="Times New Roman" w:hAnsi="Times New Roman" w:cs="Times New Roman"/>
                          <w:sz w:val="20"/>
                          <w:szCs w:val="20"/>
                        </w:rPr>
                        <w:t xml:space="preserve"> et al.</w:t>
                      </w:r>
                      <w:r w:rsidR="00354262" w:rsidRPr="00354262">
                        <w:rPr>
                          <w:rFonts w:ascii="Times New Roman" w:hAnsi="Times New Roman" w:cs="Times New Roman"/>
                          <w:sz w:val="20"/>
                          <w:szCs w:val="20"/>
                        </w:rPr>
                        <w:t xml:space="preserve"> </w:t>
                      </w:r>
                      <w:r w:rsidR="00B1050B">
                        <w:rPr>
                          <w:rFonts w:ascii="Times New Roman" w:hAnsi="Times New Roman" w:cs="Times New Roman"/>
                          <w:sz w:val="20"/>
                          <w:szCs w:val="20"/>
                        </w:rPr>
                        <w:t>(2010), Turner et al. (2010), Christie et al. (2012) and</w:t>
                      </w:r>
                      <w:r w:rsidR="00354262" w:rsidRPr="00354262">
                        <w:rPr>
                          <w:rFonts w:ascii="Times New Roman" w:hAnsi="Times New Roman" w:cs="Times New Roman"/>
                          <w:sz w:val="20"/>
                          <w:szCs w:val="20"/>
                        </w:rPr>
                        <w:t xml:space="preserve"> </w:t>
                      </w:r>
                      <w:proofErr w:type="spellStart"/>
                      <w:r w:rsidR="00354262" w:rsidRPr="00354262">
                        <w:rPr>
                          <w:rFonts w:ascii="Times New Roman" w:hAnsi="Times New Roman" w:cs="Times New Roman"/>
                          <w:sz w:val="20"/>
                          <w:szCs w:val="20"/>
                        </w:rPr>
                        <w:t>Liekens</w:t>
                      </w:r>
                      <w:proofErr w:type="spellEnd"/>
                      <w:r w:rsidR="00354262" w:rsidRPr="00354262">
                        <w:rPr>
                          <w:rFonts w:ascii="Times New Roman" w:hAnsi="Times New Roman" w:cs="Times New Roman"/>
                          <w:sz w:val="20"/>
                          <w:szCs w:val="20"/>
                        </w:rPr>
                        <w:t xml:space="preserve"> et al. (2014)</w:t>
                      </w:r>
                      <w:bookmarkEnd w:id="1"/>
                    </w:p>
                  </w:txbxContent>
                </v:textbox>
              </v:shape>
            </w:pict>
          </mc:Fallback>
        </mc:AlternateContent>
      </w:r>
    </w:p>
    <w:sectPr w:rsidR="00E71299" w:rsidSect="00607E9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7E80"/>
    <w:multiLevelType w:val="hybridMultilevel"/>
    <w:tmpl w:val="1C46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760D01"/>
    <w:multiLevelType w:val="hybridMultilevel"/>
    <w:tmpl w:val="3E2A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B14A03"/>
    <w:multiLevelType w:val="hybridMultilevel"/>
    <w:tmpl w:val="4FD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9F328C"/>
    <w:multiLevelType w:val="hybridMultilevel"/>
    <w:tmpl w:val="B1EC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CD63BC"/>
    <w:multiLevelType w:val="hybridMultilevel"/>
    <w:tmpl w:val="F274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B77536"/>
    <w:multiLevelType w:val="hybridMultilevel"/>
    <w:tmpl w:val="F060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B6"/>
    <w:rsid w:val="000765DE"/>
    <w:rsid w:val="0008020B"/>
    <w:rsid w:val="000964FC"/>
    <w:rsid w:val="000D43A7"/>
    <w:rsid w:val="0018060C"/>
    <w:rsid w:val="00281179"/>
    <w:rsid w:val="00354262"/>
    <w:rsid w:val="0035487D"/>
    <w:rsid w:val="003D4259"/>
    <w:rsid w:val="00471586"/>
    <w:rsid w:val="004D3674"/>
    <w:rsid w:val="004F2999"/>
    <w:rsid w:val="00545420"/>
    <w:rsid w:val="00607E9B"/>
    <w:rsid w:val="006B2601"/>
    <w:rsid w:val="007D7994"/>
    <w:rsid w:val="007E2FF4"/>
    <w:rsid w:val="007E65B6"/>
    <w:rsid w:val="008838B0"/>
    <w:rsid w:val="008C7463"/>
    <w:rsid w:val="008D11E0"/>
    <w:rsid w:val="008E3C43"/>
    <w:rsid w:val="00925097"/>
    <w:rsid w:val="00A30139"/>
    <w:rsid w:val="00B1050B"/>
    <w:rsid w:val="00C05528"/>
    <w:rsid w:val="00C76042"/>
    <w:rsid w:val="00D92422"/>
    <w:rsid w:val="00DA07B6"/>
    <w:rsid w:val="00E71299"/>
    <w:rsid w:val="00E766DE"/>
    <w:rsid w:val="00F173B4"/>
    <w:rsid w:val="00F36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A07B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0964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A07B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096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81CDEE1AF9646A6B520313A756D9A" ma:contentTypeVersion="7" ma:contentTypeDescription="Create a new document." ma:contentTypeScope="" ma:versionID="993d9b43629f3adbcc2279f2af4a6407">
  <xsd:schema xmlns:xsd="http://www.w3.org/2001/XMLSchema" xmlns:p="http://schemas.microsoft.com/office/2006/metadata/properties" xmlns:ns2="018c3ce0-25d7-4964-8f5f-0766fc370baa" targetNamespace="http://schemas.microsoft.com/office/2006/metadata/properties" ma:root="true" ma:fieldsID="5b048e0c7ee6cc25658af98c0a1f5fda" ns2:_="">
    <xsd:import namespace="018c3ce0-25d7-4964-8f5f-0766fc370baa"/>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018c3ce0-25d7-4964-8f5f-0766fc370baa"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sDeleted xmlns="018c3ce0-25d7-4964-8f5f-0766fc370baa">false</IsDeleted>
    <TitleName xmlns="018c3ce0-25d7-4964-8f5f-0766fc370baa">Table 1.DOCX</TitleName>
    <DocumentType xmlns="018c3ce0-25d7-4964-8f5f-0766fc370baa">Table</DocumentType>
    <DocumentId xmlns="018c3ce0-25d7-4964-8f5f-0766fc370baa">Table 1.DOCX</DocumentId>
    <FileFormat xmlns="018c3ce0-25d7-4964-8f5f-0766fc370baa">DOCX</FileFormat>
    <StageName xmlns="018c3ce0-25d7-4964-8f5f-0766fc370baa" xsi:nil="true"/>
    <Checked_x0020_Out_x0020_To xmlns="018c3ce0-25d7-4964-8f5f-0766fc370baa">
      <UserInfo>
        <DisplayName/>
        <AccountId xsi:nil="true"/>
        <AccountType/>
      </UserInfo>
    </Checked_x0020_Out_x0020_To>
  </documentManagement>
</p:properties>
</file>

<file path=customXml/itemProps1.xml><?xml version="1.0" encoding="utf-8"?>
<ds:datastoreItem xmlns:ds="http://schemas.openxmlformats.org/officeDocument/2006/customXml" ds:itemID="{4FF4D6C4-F671-4070-A747-D949E5C6483D}"/>
</file>

<file path=customXml/itemProps2.xml><?xml version="1.0" encoding="utf-8"?>
<ds:datastoreItem xmlns:ds="http://schemas.openxmlformats.org/officeDocument/2006/customXml" ds:itemID="{18DB51EE-A434-48A3-BCC3-A670B637A7F9}"/>
</file>

<file path=customXml/itemProps3.xml><?xml version="1.0" encoding="utf-8"?>
<ds:datastoreItem xmlns:ds="http://schemas.openxmlformats.org/officeDocument/2006/customXml" ds:itemID="{4FDE6B95-AF3F-4024-8B9D-78F76F42C7E9}"/>
</file>

<file path=docProps/app.xml><?xml version="1.0" encoding="utf-8"?>
<Properties xmlns="http://schemas.openxmlformats.org/officeDocument/2006/extended-properties" xmlns:vt="http://schemas.openxmlformats.org/officeDocument/2006/docPropsVTypes">
  <Template>Normal</Template>
  <TotalTime>366</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aph504</dc:creator>
  <cp:lastModifiedBy>aph504</cp:lastModifiedBy>
  <cp:revision>19</cp:revision>
  <dcterms:created xsi:type="dcterms:W3CDTF">2014-05-20T13:24:00Z</dcterms:created>
  <dcterms:modified xsi:type="dcterms:W3CDTF">2014-06-10T08:25:00Z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0x01010039F81CDEE1AF9646A6B520313A756D9A</vt:lpwstr>
  </property>
</Properties>
</file>