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</w:pPr>
    </w:p>
    <w:p>
      <w:pPr>
        <w:pStyle w:val="52"/>
      </w:pPr>
      <w:r>
        <w:t>Supplementary Material</w:t>
      </w:r>
    </w:p>
    <w:p>
      <w:pPr>
        <w:pStyle w:val="34"/>
        <w:jc w:val="center"/>
        <w:rPr>
          <w:sz w:val="32"/>
          <w:szCs w:val="32"/>
        </w:rPr>
      </w:pPr>
      <w:r>
        <w:rPr>
          <w:sz w:val="32"/>
          <w:szCs w:val="32"/>
        </w:rPr>
        <w:t>Application of Plasma Metagenomic Next-generation Sequencing Improves Prognosis in Hematology Patients with Neutropenia or Hematopoietic Stem Cell Transplantation for Infection</w:t>
      </w:r>
    </w:p>
    <w:p>
      <w:pPr>
        <w:pStyle w:val="34"/>
      </w:pPr>
      <w:r>
        <w:rPr>
          <w:sz w:val="32"/>
          <w:szCs w:val="32"/>
        </w:rPr>
        <w:t xml:space="preserve"> </w:t>
      </w:r>
      <w:r>
        <w:t xml:space="preserve">Yuhui Chen </w:t>
      </w:r>
      <w:r>
        <w:rPr>
          <w:vertAlign w:val="superscript"/>
        </w:rPr>
        <w:t>1†</w:t>
      </w:r>
      <w:r>
        <w:t xml:space="preserve">, Jinjin Wang </w:t>
      </w:r>
      <w:r>
        <w:rPr>
          <w:vertAlign w:val="superscript"/>
        </w:rPr>
        <w:t>1†</w:t>
      </w:r>
      <w:r>
        <w:t xml:space="preserve">, Xinai Gan </w:t>
      </w:r>
      <w:r>
        <w:rPr>
          <w:vertAlign w:val="superscript"/>
        </w:rPr>
        <w:t>1</w:t>
      </w:r>
      <w:r>
        <w:t xml:space="preserve">, Meng Li </w:t>
      </w:r>
      <w:r>
        <w:rPr>
          <w:vertAlign w:val="superscript"/>
        </w:rPr>
        <w:t>1</w:t>
      </w:r>
      <w:r>
        <w:t xml:space="preserve">, Yi Liao </w:t>
      </w:r>
      <w:r>
        <w:rPr>
          <w:vertAlign w:val="superscript"/>
        </w:rPr>
        <w:t>1</w:t>
      </w:r>
      <w:r>
        <w:t>, Yongzhao Zhou</w:t>
      </w:r>
      <w:r>
        <w:rPr>
          <w:vertAlign w:val="superscript"/>
        </w:rPr>
        <w:t xml:space="preserve"> 2*</w:t>
      </w:r>
      <w:r>
        <w:t xml:space="preserve"> and Ting Niu</w:t>
      </w:r>
      <w:r>
        <w:rPr>
          <w:vertAlign w:val="superscript"/>
        </w:rPr>
        <w:t>1*</w:t>
      </w:r>
    </w:p>
    <w:p>
      <w:pPr>
        <w:spacing w:before="240" w:after="0"/>
        <w:rPr>
          <w:b/>
        </w:rPr>
      </w:pPr>
      <w:r>
        <w:rPr>
          <w:vertAlign w:val="superscript"/>
        </w:rPr>
        <w:t>†</w:t>
      </w:r>
      <w:r>
        <w:t>These authors contributed equally to this work and share first authorship</w:t>
      </w:r>
    </w:p>
    <w:p>
      <w:pPr>
        <w:spacing w:before="240" w:after="0"/>
        <w:rPr>
          <w:rFonts w:cs="Times New Roman"/>
          <w:b/>
          <w:szCs w:val="24"/>
        </w:rPr>
      </w:pPr>
      <w:r>
        <w:rPr>
          <w:rFonts w:cs="Times New Roman"/>
          <w:szCs w:val="24"/>
          <w:vertAlign w:val="superscript"/>
        </w:rPr>
        <w:t>1</w:t>
      </w:r>
      <w:r>
        <w:t xml:space="preserve"> </w:t>
      </w:r>
      <w:r>
        <w:rPr>
          <w:rFonts w:cs="Times New Roman"/>
          <w:szCs w:val="24"/>
        </w:rPr>
        <w:t>Department of Hematology, West China Hospital, Sichuan University, Chengdu, China</w:t>
      </w:r>
    </w:p>
    <w:p>
      <w:p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  <w:vertAlign w:val="superscript"/>
        </w:rPr>
        <w:t>2</w:t>
      </w:r>
      <w:r>
        <w:t xml:space="preserve"> Integrated Care Management Center, West China Hospital, Sichuan University, Chengdu, China</w:t>
      </w:r>
    </w:p>
    <w:p>
      <w:pPr>
        <w:spacing w:before="240" w:after="0" w:line="240" w:lineRule="atLeast"/>
        <w:rPr>
          <w:rFonts w:cs="Times New Roman"/>
          <w:b/>
          <w:bCs/>
          <w:szCs w:val="24"/>
          <w:lang w:eastAsia="zh-CN"/>
        </w:rPr>
      </w:pPr>
      <w:r>
        <w:rPr>
          <w:rFonts w:cs="Times New Roman"/>
          <w:b/>
          <w:szCs w:val="24"/>
        </w:rPr>
        <w:t xml:space="preserve">* Correspondence: </w:t>
      </w:r>
      <w:r>
        <w:rPr>
          <w:rFonts w:cs="Times New Roman"/>
          <w:b/>
          <w:szCs w:val="24"/>
        </w:rPr>
        <w:br w:type="textWrapping"/>
      </w:r>
      <w:r>
        <w:rPr>
          <w:rFonts w:cs="Times New Roman"/>
          <w:b/>
          <w:bCs/>
          <w:szCs w:val="24"/>
        </w:rPr>
        <w:t>Ting N</w:t>
      </w:r>
      <w:r>
        <w:rPr>
          <w:rFonts w:hint="eastAsia" w:cs="Times New Roman"/>
          <w:b/>
          <w:bCs/>
          <w:szCs w:val="24"/>
          <w:lang w:eastAsia="zh-CN"/>
        </w:rPr>
        <w:t>iu</w:t>
      </w:r>
    </w:p>
    <w:p>
      <w:pPr>
        <w:spacing w:before="240" w:after="0"/>
      </w:pPr>
      <w:r>
        <w:t>Department of Hematology, West China Hospital, Sichuan University, Chengdu, China</w:t>
      </w:r>
    </w:p>
    <w:p>
      <w:pPr>
        <w:spacing w:before="240" w:after="0"/>
      </w:pPr>
      <w:r>
        <w:t>Email: niuting@wchscu.cn</w:t>
      </w:r>
    </w:p>
    <w:p>
      <w:pPr>
        <w:spacing w:before="240" w:after="0" w:line="240" w:lineRule="atLeast"/>
        <w:rPr>
          <w:rFonts w:hint="eastAsia" w:cs="Times New Roman"/>
          <w:szCs w:val="24"/>
        </w:rPr>
      </w:pPr>
      <w:r>
        <w:rPr>
          <w:rFonts w:hint="eastAsia" w:cs="Times New Roman"/>
          <w:szCs w:val="24"/>
        </w:rPr>
        <w:t>Postal address: No. 37 GuoXueXiang Street，, Chengdu, Sichuan Province 610041, China.</w:t>
      </w:r>
    </w:p>
    <w:p>
      <w:pPr>
        <w:spacing w:before="240" w:after="0" w:line="240" w:lineRule="atLeas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Yongzhao Zhou</w:t>
      </w:r>
    </w:p>
    <w:p>
      <w:pPr>
        <w:spacing w:line="240" w:lineRule="atLeast"/>
        <w:rPr>
          <w:rFonts w:cs="Times New Roman"/>
          <w:szCs w:val="24"/>
        </w:rPr>
      </w:pPr>
      <w:r>
        <w:rPr>
          <w:rFonts w:cs="Times New Roman"/>
          <w:szCs w:val="24"/>
        </w:rPr>
        <w:t>Integrated Care Management Center, West China Hospital, Sichuan University, Chengdu, Chinar</w:t>
      </w:r>
    </w:p>
    <w:p>
      <w:pPr>
        <w:spacing w:line="240" w:lineRule="atLeast"/>
      </w:pPr>
      <w:r>
        <w:t xml:space="preserve">Email: </w:t>
      </w:r>
      <w:r>
        <w:fldChar w:fldCharType="begin"/>
      </w:r>
      <w:r>
        <w:instrText xml:space="preserve"> HYPERLINK "mailto:yongzhaozhou001@wchscu.cn" </w:instrText>
      </w:r>
      <w:r>
        <w:fldChar w:fldCharType="separate"/>
      </w:r>
      <w:r>
        <w:rPr>
          <w:rStyle w:val="27"/>
        </w:rPr>
        <w:t>yongzhaozhou001@wchscu.cn</w:t>
      </w:r>
      <w:r>
        <w:rPr>
          <w:rStyle w:val="27"/>
        </w:rPr>
        <w:fldChar w:fldCharType="end"/>
      </w:r>
    </w:p>
    <w:p>
      <w:pPr>
        <w:spacing w:line="240" w:lineRule="atLeast"/>
        <w:rPr>
          <w:rFonts w:hint="eastAsia"/>
        </w:rPr>
      </w:pPr>
      <w:r>
        <w:t>Postal address: No. 37 GuoXueXiang Street,</w:t>
      </w:r>
      <w:ins w:id="0" w:author="Curie" w:date="2023-11-13T01:10:00Z">
        <w:r>
          <w:rPr/>
          <w:t xml:space="preserve"> </w:t>
        </w:r>
      </w:ins>
      <w:r>
        <w:t>Chengdu, Sichuan Province 610041, China.</w:t>
      </w:r>
    </w:p>
    <w:p/>
    <w:p>
      <w:pPr>
        <w:pStyle w:val="8"/>
        <w:keepNext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ascii="Times New Roman" w:hAnsi="Times New Roman"/>
        </w:rPr>
        <w:t>1 Detection positive rates of pathogen in HSCT and non-HSCT groups</w:t>
      </w:r>
    </w:p>
    <w:tbl>
      <w:tblPr>
        <w:tblStyle w:val="19"/>
        <w:tblW w:w="56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982"/>
        <w:gridCol w:w="1327"/>
        <w:gridCol w:w="1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bidi="ar"/>
              </w:rPr>
              <w:t>Pathogen</w:t>
            </w:r>
          </w:p>
        </w:tc>
        <w:tc>
          <w:tcPr>
            <w:tcW w:w="198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bidi="ar"/>
              </w:rPr>
              <w:t>Group</w:t>
            </w:r>
          </w:p>
        </w:tc>
        <w:tc>
          <w:tcPr>
            <w:tcW w:w="132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Positive Rate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 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Total</w:t>
            </w:r>
          </w:p>
        </w:tc>
        <w:tc>
          <w:tcPr>
            <w:tcW w:w="19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HSCT</w:t>
            </w:r>
          </w:p>
        </w:tc>
        <w:tc>
          <w:tcPr>
            <w:tcW w:w="132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84.44%</w:t>
            </w:r>
          </w:p>
        </w:tc>
        <w:tc>
          <w:tcPr>
            <w:tcW w:w="102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Non-HSCT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90.74%</w:t>
            </w: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restart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bidi="ar"/>
              </w:rPr>
              <w:t>Bacteria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HSCT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33.3%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Non-HSCT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37.0%</w:t>
            </w: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restart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bidi="ar"/>
              </w:rPr>
              <w:t>Virus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HSCT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20.0%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continue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Non-HSCT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20.4%</w:t>
            </w:r>
          </w:p>
        </w:tc>
        <w:tc>
          <w:tcPr>
            <w:tcW w:w="102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restart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Fungi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HSCT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62.2%</w:t>
            </w:r>
          </w:p>
        </w:tc>
        <w:tc>
          <w:tcPr>
            <w:tcW w:w="102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0.179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37" w:type="dxa"/>
            <w:vMerge w:val="continue"/>
            <w:tcBorders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8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Non-HSCT</w:t>
            </w:r>
          </w:p>
        </w:tc>
        <w:tc>
          <w:tcPr>
            <w:tcW w:w="132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73.1%</w:t>
            </w:r>
          </w:p>
        </w:tc>
        <w:tc>
          <w:tcPr>
            <w:tcW w:w="1024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  <w:highlight w:val="lightGray"/>
                <w:lang w:bidi="ar"/>
              </w:rPr>
            </w:pPr>
          </w:p>
        </w:tc>
      </w:tr>
    </w:tbl>
    <w:p>
      <w:pPr>
        <w:rPr>
          <w:rFonts w:hint="eastAsia" w:ascii="Times New Roman" w:hAnsi="Times New Roman"/>
          <w:sz w:val="24"/>
          <w:highlight w:val="lightGray"/>
          <w:lang w:bidi="ar"/>
        </w:rPr>
      </w:pPr>
    </w:p>
    <w:p>
      <w:pPr>
        <w:pStyle w:val="8"/>
        <w:keepNext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Table 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ascii="Times New Roman" w:hAnsi="Times New Roman"/>
        </w:rPr>
        <w:t xml:space="preserve">2 </w:t>
      </w:r>
      <w:bookmarkStart w:id="0" w:name="_Hlk148724845"/>
      <w:r>
        <w:rPr>
          <w:rFonts w:ascii="Times New Roman" w:hAnsi="Times New Roman"/>
        </w:rPr>
        <w:t xml:space="preserve">Comparison of </w:t>
      </w:r>
      <w:r>
        <w:rPr>
          <w:rFonts w:ascii="Times New Roman" w:hAnsi="Times New Roman" w:eastAsia="等线"/>
          <w:color w:val="000000"/>
          <w:kern w:val="0"/>
          <w:sz w:val="18"/>
          <w:szCs w:val="18"/>
        </w:rPr>
        <w:t>Adjustment</w:t>
      </w:r>
      <w:r>
        <w:rPr>
          <w:rFonts w:ascii="Times New Roman" w:hAnsi="Times New Roman"/>
        </w:rPr>
        <w:t xml:space="preserve"> and non-</w:t>
      </w:r>
      <w:r>
        <w:rPr>
          <w:rFonts w:ascii="Times New Roman" w:hAnsi="Times New Roman" w:eastAsia="等线"/>
          <w:color w:val="000000"/>
          <w:kern w:val="0"/>
          <w:sz w:val="18"/>
          <w:szCs w:val="18"/>
        </w:rPr>
        <w:t xml:space="preserve"> Adjustment</w:t>
      </w:r>
      <w:r>
        <w:rPr>
          <w:rFonts w:ascii="Times New Roman" w:hAnsi="Times New Roman"/>
        </w:rPr>
        <w:t xml:space="preserve"> groups</w:t>
      </w:r>
      <w:bookmarkEnd w:id="0"/>
    </w:p>
    <w:tbl>
      <w:tblPr>
        <w:tblStyle w:val="19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4"/>
        <w:gridCol w:w="1554"/>
        <w:gridCol w:w="1553"/>
        <w:gridCol w:w="1554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Hospitalization Day</w:t>
            </w:r>
            <w:r>
              <w:rPr>
                <w:rFonts w:ascii="Times New Roman" w:hAnsi="Times New Roman"/>
                <w:sz w:val="18"/>
                <w:szCs w:val="18"/>
              </w:rPr>
              <w:t>, Median (quartile)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Time of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Neutropenia,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Median (quartile)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CRP</w:t>
            </w:r>
            <w:r>
              <w:rPr>
                <w:rFonts w:ascii="Times New Roman" w:hAnsi="Times New Roman"/>
                <w:sz w:val="18"/>
                <w:szCs w:val="18"/>
              </w:rPr>
              <w:t>, Median (quartile)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PCT</w:t>
            </w:r>
            <w:r>
              <w:rPr>
                <w:rFonts w:ascii="Times New Roman" w:hAnsi="Times New Roman"/>
                <w:sz w:val="18"/>
                <w:szCs w:val="18"/>
              </w:rPr>
              <w:t>, Median (quartile)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 xml:space="preserve">IL-6, </w:t>
            </w:r>
            <w:r>
              <w:rPr>
                <w:rFonts w:ascii="Times New Roman" w:hAnsi="Times New Roman"/>
                <w:sz w:val="18"/>
                <w:szCs w:val="18"/>
              </w:rPr>
              <w:t>Median (quartile)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Adjustment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50(35-73.5)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7 (0-20)</w:t>
            </w:r>
          </w:p>
        </w:tc>
        <w:tc>
          <w:tcPr>
            <w:tcW w:w="1553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95(44.9-154)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0.47(0.27-1.46)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112.2(39.8-258.5)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Non-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adjustment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43(28-72)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0(0-7)</w:t>
            </w:r>
          </w:p>
        </w:tc>
        <w:tc>
          <w:tcPr>
            <w:tcW w:w="155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69.39(18-118)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0.505(0.17-1.55)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71.85(17.9-226.3)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 Value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ind w:right="220"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0.275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155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b/>
                <w:bCs/>
                <w:color w:val="000000"/>
                <w:kern w:val="0"/>
                <w:sz w:val="18"/>
                <w:szCs w:val="18"/>
              </w:rPr>
              <w:t>0.048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0.684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0.161</w:t>
            </w:r>
          </w:p>
        </w:tc>
      </w:tr>
    </w:tbl>
    <w:p>
      <w:pPr>
        <w:rPr>
          <w:rFonts w:hint="eastAsia" w:ascii="Times New Roman" w:hAnsi="Times New Roman"/>
          <w:sz w:val="24"/>
          <w:highlight w:val="lightGray"/>
          <w:lang w:bidi="ar"/>
        </w:rPr>
      </w:pPr>
    </w:p>
    <w:p>
      <w:pPr>
        <w:pStyle w:val="8"/>
        <w:keepNext/>
      </w:pPr>
      <w:r>
        <w:rPr>
          <w:rFonts w:ascii="Times New Roman" w:hAnsi="Times New Roman"/>
        </w:rPr>
        <w:t xml:space="preserve">Table </w:t>
      </w:r>
      <w:r>
        <w:rPr>
          <w:rFonts w:hint="eastAsia" w:ascii="Times New Roman" w:hAnsi="Times New Roman"/>
          <w:lang w:val="en-US" w:eastAsia="zh-CN"/>
        </w:rPr>
        <w:t>S</w:t>
      </w:r>
      <w:r>
        <w:rPr>
          <w:rFonts w:ascii="Times New Roman" w:hAnsi="Times New Roman"/>
        </w:rPr>
        <w:t xml:space="preserve">3 Comparison of </w:t>
      </w:r>
      <w:r>
        <w:rPr>
          <w:rFonts w:ascii="Times New Roman" w:hAnsi="Times New Roman" w:eastAsia="等线"/>
          <w:color w:val="000000"/>
          <w:kern w:val="0"/>
          <w:sz w:val="18"/>
          <w:szCs w:val="18"/>
        </w:rPr>
        <w:t>HSCT</w:t>
      </w:r>
      <w:r>
        <w:rPr>
          <w:rFonts w:ascii="Times New Roman" w:hAnsi="Times New Roman"/>
        </w:rPr>
        <w:t xml:space="preserve"> and non-</w:t>
      </w:r>
      <w:r>
        <w:rPr>
          <w:rFonts w:ascii="Times New Roman" w:hAnsi="Times New Roman" w:eastAsia="等线"/>
          <w:color w:val="000000"/>
          <w:kern w:val="0"/>
          <w:sz w:val="18"/>
          <w:szCs w:val="18"/>
        </w:rPr>
        <w:t xml:space="preserve"> HSCT </w:t>
      </w:r>
      <w:r>
        <w:rPr>
          <w:rFonts w:ascii="Times New Roman" w:hAnsi="Times New Roman"/>
        </w:rPr>
        <w:t>groups</w:t>
      </w:r>
    </w:p>
    <w:tbl>
      <w:tblPr>
        <w:tblStyle w:val="19"/>
        <w:tblW w:w="77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554"/>
        <w:gridCol w:w="1553"/>
        <w:gridCol w:w="1554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Time of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Neutropenia,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Median (quartile)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CRP</w:t>
            </w:r>
            <w:r>
              <w:rPr>
                <w:rFonts w:ascii="Times New Roman" w:hAnsi="Times New Roman"/>
                <w:sz w:val="18"/>
                <w:szCs w:val="18"/>
              </w:rPr>
              <w:t>, Median (quartile)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PCT</w:t>
            </w:r>
            <w:r>
              <w:rPr>
                <w:rFonts w:ascii="Times New Roman" w:hAnsi="Times New Roman"/>
                <w:sz w:val="18"/>
                <w:szCs w:val="18"/>
              </w:rPr>
              <w:t>, Median (quartile)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 xml:space="preserve">IL-6, </w:t>
            </w:r>
            <w:r>
              <w:rPr>
                <w:rFonts w:ascii="Times New Roman" w:hAnsi="Times New Roman"/>
                <w:sz w:val="18"/>
                <w:szCs w:val="18"/>
              </w:rPr>
              <w:t>Median (quartile)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HSCT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2(0-7)</w:t>
            </w:r>
          </w:p>
        </w:tc>
        <w:tc>
          <w:tcPr>
            <w:tcW w:w="1553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73.9(17.9-145)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0.61(0.34-2.52)</w:t>
            </w:r>
          </w:p>
        </w:tc>
        <w:tc>
          <w:tcPr>
            <w:tcW w:w="1554" w:type="dxa"/>
            <w:tcBorders>
              <w:top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65.9(16.4-296)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Non-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  <w:t>HSCT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0(0-13.5)</w:t>
            </w:r>
          </w:p>
        </w:tc>
        <w:tc>
          <w:tcPr>
            <w:tcW w:w="1553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76.25(23.45-137)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0.43(0.18-1.16)</w:t>
            </w:r>
          </w:p>
        </w:tc>
        <w:tc>
          <w:tcPr>
            <w:tcW w:w="1554" w:type="dxa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106.1(31.7-208)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53" w:type="dxa"/>
            <w:tcBorders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  <w:lang w:bidi="ar"/>
              </w:rPr>
              <w:t>P Value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0.842</w:t>
            </w:r>
          </w:p>
        </w:tc>
        <w:tc>
          <w:tcPr>
            <w:tcW w:w="1553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0.992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0.124</w:t>
            </w:r>
          </w:p>
        </w:tc>
        <w:tc>
          <w:tcPr>
            <w:tcW w:w="1554" w:type="dxa"/>
            <w:tcBorders>
              <w:bottom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等线"/>
                <w:color w:val="000000"/>
                <w:kern w:val="0"/>
                <w:sz w:val="18"/>
                <w:szCs w:val="18"/>
              </w:rPr>
              <w:t>0.596</w:t>
            </w:r>
          </w:p>
        </w:tc>
      </w:tr>
    </w:tbl>
    <w:p>
      <w:pPr>
        <w:spacing w:before="240"/>
      </w:pPr>
      <w:bookmarkStart w:id="1" w:name="_GoBack"/>
      <w:bookmarkEnd w:id="1"/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rie">
    <w15:presenceInfo w15:providerId="None" w15:userId="Cur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09864104"/>
    <w:rsid w:val="2E4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1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annotation text"/>
    <w:basedOn w:val="1"/>
    <w:link w:val="37"/>
    <w:semiHidden/>
    <w:unhideWhenUsed/>
    <w:uiPriority w:val="99"/>
    <w:rPr>
      <w:sz w:val="20"/>
      <w:szCs w:val="20"/>
    </w:rPr>
  </w:style>
  <w:style w:type="paragraph" w:styleId="10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1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3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4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5">
    <w:name w:val="footnote text"/>
    <w:basedOn w:val="1"/>
    <w:link w:val="41"/>
    <w:semiHidden/>
    <w:unhideWhenUsed/>
    <w:uiPriority w:val="99"/>
    <w:pPr>
      <w:spacing w:after="0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7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8">
    <w:name w:val="annotation subject"/>
    <w:basedOn w:val="9"/>
    <w:next w:val="9"/>
    <w:link w:val="38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rFonts w:ascii="Times New Roman" w:hAnsi="Times New Roman"/>
      <w:b/>
      <w:bCs/>
    </w:rPr>
  </w:style>
  <w:style w:type="character" w:styleId="23">
    <w:name w:val="endnote reference"/>
    <w:basedOn w:val="21"/>
    <w:semiHidden/>
    <w:unhideWhenUsed/>
    <w:qFormat/>
    <w:uiPriority w:val="99"/>
    <w:rPr>
      <w:vertAlign w:val="superscript"/>
    </w:rPr>
  </w:style>
  <w:style w:type="character" w:styleId="24">
    <w:name w:val="FollowedHyperlink"/>
    <w:basedOn w:val="2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1"/>
    <w:qFormat/>
    <w:uiPriority w:val="20"/>
    <w:rPr>
      <w:rFonts w:ascii="Times New Roman" w:hAnsi="Times New Roman"/>
      <w:i/>
      <w:iCs/>
    </w:rPr>
  </w:style>
  <w:style w:type="character" w:styleId="26">
    <w:name w:val="line number"/>
    <w:basedOn w:val="21"/>
    <w:semiHidden/>
    <w:unhideWhenUsed/>
    <w:qFormat/>
    <w:uiPriority w:val="99"/>
  </w:style>
  <w:style w:type="character" w:styleId="27">
    <w:name w:val="Hyperlink"/>
    <w:basedOn w:val="21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styleId="29">
    <w:name w:val="footnote reference"/>
    <w:basedOn w:val="21"/>
    <w:semiHidden/>
    <w:unhideWhenUsed/>
    <w:qFormat/>
    <w:uiPriority w:val="99"/>
    <w:rPr>
      <w:vertAlign w:val="superscript"/>
    </w:rPr>
  </w:style>
  <w:style w:type="paragraph" w:styleId="30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31">
    <w:name w:val="Heading 1 Char"/>
    <w:basedOn w:val="21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1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1"/>
    <w:link w:val="14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4"/>
    <w:next w:val="1"/>
    <w:qFormat/>
    <w:uiPriority w:val="1"/>
  </w:style>
  <w:style w:type="character" w:customStyle="1" w:styleId="35">
    <w:name w:val="Balloon Text Char"/>
    <w:basedOn w:val="21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1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1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8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1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1"/>
    <w:link w:val="12"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1"/>
    <w:link w:val="15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1"/>
    <w:link w:val="13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1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1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1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1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1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1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1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1"/>
    <w:link w:val="17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7"/>
    <w:next w:val="17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/>
</ds:datastoreItem>
</file>

<file path=customXml/itemProps3.xml><?xml version="1.0" encoding="utf-8"?>
<ds:datastoreItem xmlns:ds="http://schemas.openxmlformats.org/officeDocument/2006/customXml" ds:itemID="{114314AF-3C36-4C2C-B599-40A76C6FFFC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A3D4929F-83D0-432F-8F82-6D4423C25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142</Words>
  <Characters>810</Characters>
  <Lines>6</Lines>
  <Paragraphs>1</Paragraphs>
  <TotalTime>0</TotalTime>
  <ScaleCrop>false</ScaleCrop>
  <LinksUpToDate>false</LinksUpToDate>
  <CharactersWithSpaces>951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我可以咬一口吗</cp:lastModifiedBy>
  <cp:lastPrinted>2013-10-03T12:51:00Z</cp:lastPrinted>
  <dcterms:modified xsi:type="dcterms:W3CDTF">2023-11-14T10:20:32Z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2052-12.1.0.15933</vt:lpwstr>
  </property>
  <property fmtid="{D5CDD505-2E9C-101B-9397-08002B2CF9AE}" pid="11" name="ICV">
    <vt:lpwstr>507EA6C455884E48B9A2781ED1C90FD1_13</vt:lpwstr>
  </property>
</Properties>
</file>