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A08E" w14:textId="0855A641" w:rsidR="00D21DB2" w:rsidRDefault="00654E8F" w:rsidP="006D42BA">
      <w:pPr>
        <w:pStyle w:val="SupplementaryMaterial"/>
        <w:rPr>
          <w:szCs w:val="24"/>
        </w:rPr>
      </w:pPr>
      <w:r w:rsidRPr="001549D3">
        <w:t>Supplementary Material</w:t>
      </w:r>
      <w:r w:rsidR="00983196">
        <w:t>s</w:t>
      </w:r>
    </w:p>
    <w:p w14:paraId="0460B386" w14:textId="77777777" w:rsidR="00B412C8" w:rsidRDefault="00B412C8" w:rsidP="00D21DB2">
      <w:pPr>
        <w:rPr>
          <w:rFonts w:cs="Times New Roman"/>
          <w:b/>
          <w:color w:val="000000"/>
          <w:szCs w:val="24"/>
        </w:rPr>
      </w:pPr>
    </w:p>
    <w:p w14:paraId="3DCC3776" w14:textId="647690EE" w:rsidR="00D21DB2" w:rsidRDefault="00D21DB2" w:rsidP="00D21DB2">
      <w:pPr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Supplementa</w:t>
      </w:r>
      <w:r w:rsidR="006D42BA">
        <w:rPr>
          <w:rFonts w:cs="Times New Roman"/>
          <w:b/>
          <w:color w:val="000000"/>
          <w:szCs w:val="24"/>
        </w:rPr>
        <w:t>ry</w:t>
      </w:r>
      <w:r>
        <w:rPr>
          <w:rFonts w:cs="Times New Roman"/>
          <w:b/>
          <w:color w:val="000000"/>
          <w:szCs w:val="24"/>
        </w:rPr>
        <w:t xml:space="preserve"> Table 4. </w:t>
      </w:r>
      <w:r w:rsidR="00074C63" w:rsidRPr="00074C63">
        <w:rPr>
          <w:rFonts w:cs="Times New Roman"/>
          <w:bCs/>
          <w:color w:val="000000"/>
          <w:szCs w:val="24"/>
        </w:rPr>
        <w:t xml:space="preserve">Of Black </w:t>
      </w:r>
      <w:r w:rsidR="00074C63">
        <w:rPr>
          <w:rFonts w:cs="Times New Roman"/>
          <w:bCs/>
          <w:color w:val="000000"/>
          <w:szCs w:val="24"/>
        </w:rPr>
        <w:t>or</w:t>
      </w:r>
      <w:r w:rsidR="00074C63" w:rsidRPr="00074C63">
        <w:rPr>
          <w:rFonts w:cs="Times New Roman"/>
          <w:bCs/>
          <w:color w:val="000000"/>
          <w:szCs w:val="24"/>
        </w:rPr>
        <w:t xml:space="preserve"> White patients, u</w:t>
      </w:r>
      <w:r w:rsidRPr="00074C63">
        <w:rPr>
          <w:rFonts w:cs="Times New Roman"/>
          <w:bCs/>
          <w:color w:val="000000"/>
          <w:szCs w:val="24"/>
        </w:rPr>
        <w:t>nweighted</w:t>
      </w:r>
      <w:r>
        <w:rPr>
          <w:rFonts w:cs="Times New Roman"/>
          <w:bCs/>
          <w:color w:val="000000"/>
          <w:szCs w:val="24"/>
        </w:rPr>
        <w:t xml:space="preserve"> and weighted admission to the hospital from ED (ICU, OR, </w:t>
      </w:r>
      <w:r w:rsidR="00983196">
        <w:rPr>
          <w:rFonts w:cs="Times New Roman"/>
          <w:bCs/>
          <w:color w:val="000000"/>
          <w:szCs w:val="24"/>
        </w:rPr>
        <w:t>f</w:t>
      </w:r>
      <w:r>
        <w:rPr>
          <w:rFonts w:cs="Times New Roman"/>
          <w:bCs/>
          <w:color w:val="000000"/>
          <w:szCs w:val="24"/>
        </w:rPr>
        <w:t xml:space="preserve">loor, or direct admit) versus discharge home from the ED, using Firth Logistic Regression N=639. </w:t>
      </w:r>
    </w:p>
    <w:p w14:paraId="5E787578" w14:textId="77777777" w:rsidR="00D21DB2" w:rsidRDefault="00D21DB2" w:rsidP="00D21DB2">
      <w:pPr>
        <w:rPr>
          <w:rFonts w:cs="Times New Roman"/>
          <w:bCs/>
          <w:color w:val="000000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31"/>
        <w:gridCol w:w="1486"/>
        <w:gridCol w:w="1616"/>
        <w:gridCol w:w="1514"/>
        <w:gridCol w:w="820"/>
        <w:gridCol w:w="1490"/>
        <w:gridCol w:w="820"/>
      </w:tblGrid>
      <w:tr w:rsidR="00D21DB2" w:rsidRPr="009D6A8A" w14:paraId="0846F805" w14:textId="77777777" w:rsidTr="00711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3F60FF" w14:textId="77777777" w:rsidR="00D21DB2" w:rsidRPr="009D6A8A" w:rsidRDefault="00D21DB2">
            <w:pPr>
              <w:spacing w:before="0" w:after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Characteristic</w:t>
            </w:r>
          </w:p>
        </w:tc>
        <w:tc>
          <w:tcPr>
            <w:tcW w:w="0" w:type="auto"/>
            <w:hideMark/>
          </w:tcPr>
          <w:p w14:paraId="7078FFC2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Home, N=152</w:t>
            </w:r>
          </w:p>
          <w:p w14:paraId="6CF8AF9B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Raw N (row %)</w:t>
            </w:r>
          </w:p>
        </w:tc>
        <w:tc>
          <w:tcPr>
            <w:tcW w:w="0" w:type="auto"/>
            <w:hideMark/>
          </w:tcPr>
          <w:p w14:paraId="1B75D083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Admitted, N=487</w:t>
            </w:r>
          </w:p>
          <w:p w14:paraId="11CCE72B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Raw N (row %)</w:t>
            </w:r>
          </w:p>
        </w:tc>
        <w:tc>
          <w:tcPr>
            <w:tcW w:w="0" w:type="auto"/>
            <w:hideMark/>
          </w:tcPr>
          <w:p w14:paraId="7CCD0B39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Unweighted</w:t>
            </w:r>
          </w:p>
          <w:p w14:paraId="61348929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OR (95% CI)</w:t>
            </w:r>
          </w:p>
        </w:tc>
        <w:tc>
          <w:tcPr>
            <w:tcW w:w="0" w:type="auto"/>
            <w:hideMark/>
          </w:tcPr>
          <w:p w14:paraId="377EC2AF" w14:textId="1F6485FE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11E77">
              <w:rPr>
                <w:rFonts w:eastAsia="Calibri" w:cs="Times New Roman"/>
                <w:i/>
                <w:iCs/>
                <w:sz w:val="20"/>
                <w:szCs w:val="20"/>
              </w:rPr>
              <w:t>p</w:t>
            </w:r>
            <w:r w:rsidRPr="009D6A8A">
              <w:rPr>
                <w:rFonts w:eastAsia="Calibri" w:cs="Times New Roman"/>
                <w:sz w:val="20"/>
                <w:szCs w:val="20"/>
              </w:rPr>
              <w:t>-</w:t>
            </w:r>
            <w:r w:rsidR="00983196">
              <w:rPr>
                <w:rFonts w:eastAsia="Calibri" w:cs="Times New Roman"/>
                <w:sz w:val="20"/>
                <w:szCs w:val="20"/>
              </w:rPr>
              <w:t>v</w:t>
            </w:r>
            <w:r w:rsidRPr="009D6A8A">
              <w:rPr>
                <w:rFonts w:eastAsia="Calibri" w:cs="Times New Roman"/>
                <w:sz w:val="20"/>
                <w:szCs w:val="20"/>
              </w:rPr>
              <w:t>alue</w:t>
            </w:r>
          </w:p>
        </w:tc>
        <w:tc>
          <w:tcPr>
            <w:tcW w:w="0" w:type="auto"/>
            <w:hideMark/>
          </w:tcPr>
          <w:p w14:paraId="14FF96C8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 xml:space="preserve">IPTW </w:t>
            </w:r>
          </w:p>
          <w:p w14:paraId="2C483D04" w14:textId="205B3EAA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OR (95% CI)</w:t>
            </w:r>
            <w:r w:rsidR="006A33ED" w:rsidRPr="006A33ED">
              <w:rPr>
                <w:rFonts w:eastAsia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6A598B6E" w14:textId="1FFCB525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11E77">
              <w:rPr>
                <w:rFonts w:eastAsia="Calibri" w:cs="Times New Roman"/>
                <w:i/>
                <w:iCs/>
                <w:sz w:val="20"/>
                <w:szCs w:val="20"/>
              </w:rPr>
              <w:t>p</w:t>
            </w:r>
            <w:r w:rsidRPr="009D6A8A">
              <w:rPr>
                <w:rFonts w:eastAsia="Calibri" w:cs="Times New Roman"/>
                <w:sz w:val="20"/>
                <w:szCs w:val="20"/>
              </w:rPr>
              <w:t>-</w:t>
            </w:r>
            <w:r w:rsidR="00983196">
              <w:rPr>
                <w:rFonts w:eastAsia="Calibri" w:cs="Times New Roman"/>
                <w:sz w:val="20"/>
                <w:szCs w:val="20"/>
              </w:rPr>
              <w:t>v</w:t>
            </w:r>
            <w:r w:rsidRPr="009D6A8A">
              <w:rPr>
                <w:rFonts w:eastAsia="Calibri" w:cs="Times New Roman"/>
                <w:sz w:val="20"/>
                <w:szCs w:val="20"/>
              </w:rPr>
              <w:t>alue</w:t>
            </w:r>
          </w:p>
        </w:tc>
      </w:tr>
      <w:tr w:rsidR="00D21DB2" w:rsidRPr="009D6A8A" w14:paraId="6EF67654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A5915D" w14:textId="677FD03B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Race</w:t>
            </w:r>
            <w:r w:rsidR="006A33ED" w:rsidRPr="006A33ED">
              <w:rPr>
                <w:rFonts w:eastAsia="Calibri" w:cs="Times New Roman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BC66371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4E1CAE7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531EC7D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74A58D2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A3E28DC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DB25F14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49697CBD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65C4C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Black</w:t>
            </w:r>
          </w:p>
        </w:tc>
        <w:tc>
          <w:tcPr>
            <w:tcW w:w="0" w:type="auto"/>
            <w:hideMark/>
          </w:tcPr>
          <w:p w14:paraId="5AAF72C0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119 (23.2%)</w:t>
            </w:r>
          </w:p>
        </w:tc>
        <w:tc>
          <w:tcPr>
            <w:tcW w:w="0" w:type="auto"/>
            <w:hideMark/>
          </w:tcPr>
          <w:p w14:paraId="17D210DC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395 (76.8%)</w:t>
            </w:r>
          </w:p>
        </w:tc>
        <w:tc>
          <w:tcPr>
            <w:tcW w:w="0" w:type="auto"/>
            <w:hideMark/>
          </w:tcPr>
          <w:p w14:paraId="70DD995E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00519600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0.427</w:t>
            </w:r>
          </w:p>
        </w:tc>
        <w:tc>
          <w:tcPr>
            <w:tcW w:w="0" w:type="auto"/>
            <w:hideMark/>
          </w:tcPr>
          <w:p w14:paraId="54F43260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373D6571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0.994</w:t>
            </w:r>
          </w:p>
        </w:tc>
      </w:tr>
      <w:tr w:rsidR="00D21DB2" w:rsidRPr="009D6A8A" w14:paraId="7AAD2C09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E32C95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White</w:t>
            </w:r>
          </w:p>
        </w:tc>
        <w:tc>
          <w:tcPr>
            <w:tcW w:w="0" w:type="auto"/>
            <w:hideMark/>
          </w:tcPr>
          <w:p w14:paraId="1C324CBD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33 (26.4%)</w:t>
            </w:r>
          </w:p>
        </w:tc>
        <w:tc>
          <w:tcPr>
            <w:tcW w:w="0" w:type="auto"/>
            <w:hideMark/>
          </w:tcPr>
          <w:p w14:paraId="50B6A4D5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92 (73.6%)</w:t>
            </w:r>
          </w:p>
        </w:tc>
        <w:tc>
          <w:tcPr>
            <w:tcW w:w="0" w:type="auto"/>
            <w:hideMark/>
          </w:tcPr>
          <w:p w14:paraId="09DE65BC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0.83 (0.53, 1.30)</w:t>
            </w:r>
          </w:p>
        </w:tc>
        <w:tc>
          <w:tcPr>
            <w:tcW w:w="0" w:type="auto"/>
          </w:tcPr>
          <w:p w14:paraId="33F1956B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FE0595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1.00 (0.59, 1.71)</w:t>
            </w:r>
          </w:p>
        </w:tc>
        <w:tc>
          <w:tcPr>
            <w:tcW w:w="0" w:type="auto"/>
          </w:tcPr>
          <w:p w14:paraId="0D290B8F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079162CB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7B5C82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Pre-COVID-19, N=272</w:t>
            </w:r>
          </w:p>
        </w:tc>
        <w:tc>
          <w:tcPr>
            <w:tcW w:w="0" w:type="auto"/>
          </w:tcPr>
          <w:p w14:paraId="0398D84C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9AE92C2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940EA53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A6A67CB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F1C90F7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5F232BE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47D7A4AD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87A8F6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14:paraId="4269CD71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FB4D6D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D64596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538500D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C63E447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F3964AA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27240146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D54F4C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Black</w:t>
            </w:r>
          </w:p>
        </w:tc>
        <w:tc>
          <w:tcPr>
            <w:tcW w:w="0" w:type="auto"/>
            <w:hideMark/>
          </w:tcPr>
          <w:p w14:paraId="304FF745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39 (19.5%)</w:t>
            </w:r>
          </w:p>
        </w:tc>
        <w:tc>
          <w:tcPr>
            <w:tcW w:w="0" w:type="auto"/>
            <w:hideMark/>
          </w:tcPr>
          <w:p w14:paraId="06CDD1AF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161 (80.5%)</w:t>
            </w:r>
          </w:p>
        </w:tc>
        <w:tc>
          <w:tcPr>
            <w:tcW w:w="0" w:type="auto"/>
            <w:hideMark/>
          </w:tcPr>
          <w:p w14:paraId="20F1E238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7A80484B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0.774</w:t>
            </w:r>
          </w:p>
        </w:tc>
        <w:tc>
          <w:tcPr>
            <w:tcW w:w="0" w:type="auto"/>
            <w:hideMark/>
          </w:tcPr>
          <w:p w14:paraId="2662702A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2975CC1B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0.802</w:t>
            </w:r>
          </w:p>
        </w:tc>
      </w:tr>
      <w:tr w:rsidR="00D21DB2" w:rsidRPr="009D6A8A" w14:paraId="269A3834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51AFA0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White</w:t>
            </w:r>
          </w:p>
        </w:tc>
        <w:tc>
          <w:tcPr>
            <w:tcW w:w="0" w:type="auto"/>
            <w:hideMark/>
          </w:tcPr>
          <w:p w14:paraId="77CB54C1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15 (20.8%)</w:t>
            </w:r>
          </w:p>
        </w:tc>
        <w:tc>
          <w:tcPr>
            <w:tcW w:w="0" w:type="auto"/>
            <w:hideMark/>
          </w:tcPr>
          <w:p w14:paraId="4E7F62D4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57 (79.2%)</w:t>
            </w:r>
          </w:p>
        </w:tc>
        <w:tc>
          <w:tcPr>
            <w:tcW w:w="0" w:type="auto"/>
            <w:hideMark/>
          </w:tcPr>
          <w:p w14:paraId="07FF3C74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0.91 (0.47, 1.76)</w:t>
            </w:r>
          </w:p>
        </w:tc>
        <w:tc>
          <w:tcPr>
            <w:tcW w:w="0" w:type="auto"/>
          </w:tcPr>
          <w:p w14:paraId="65BEF505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CABA93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1.12 (0.47, 2.67)</w:t>
            </w:r>
          </w:p>
        </w:tc>
        <w:tc>
          <w:tcPr>
            <w:tcW w:w="0" w:type="auto"/>
          </w:tcPr>
          <w:p w14:paraId="2164799D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29390271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16F6CA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COVID-19, N=367</w:t>
            </w:r>
          </w:p>
        </w:tc>
        <w:tc>
          <w:tcPr>
            <w:tcW w:w="0" w:type="auto"/>
          </w:tcPr>
          <w:p w14:paraId="2B067548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1CE1317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9BF1B38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3840038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A094C1F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1BA0AB2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70AB1441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1F703C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14:paraId="502176B4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ED3A71E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8BEE791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EC66BF6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D287E61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5852A0D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11588FC5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34F227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Black</w:t>
            </w:r>
          </w:p>
        </w:tc>
        <w:tc>
          <w:tcPr>
            <w:tcW w:w="0" w:type="auto"/>
            <w:hideMark/>
          </w:tcPr>
          <w:p w14:paraId="003ABBC8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80 (25.5%)</w:t>
            </w:r>
          </w:p>
        </w:tc>
        <w:tc>
          <w:tcPr>
            <w:tcW w:w="0" w:type="auto"/>
            <w:hideMark/>
          </w:tcPr>
          <w:p w14:paraId="684293A3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234 (74.5%)</w:t>
            </w:r>
          </w:p>
        </w:tc>
        <w:tc>
          <w:tcPr>
            <w:tcW w:w="0" w:type="auto"/>
            <w:hideMark/>
          </w:tcPr>
          <w:p w14:paraId="5D26C5F5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338525E4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0.188</w:t>
            </w:r>
          </w:p>
        </w:tc>
        <w:tc>
          <w:tcPr>
            <w:tcW w:w="0" w:type="auto"/>
            <w:hideMark/>
          </w:tcPr>
          <w:p w14:paraId="160B6629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4E5AED90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0.740</w:t>
            </w:r>
          </w:p>
        </w:tc>
      </w:tr>
      <w:tr w:rsidR="00D21DB2" w:rsidRPr="009D6A8A" w14:paraId="3A1E365E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9045F9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White</w:t>
            </w:r>
          </w:p>
        </w:tc>
        <w:tc>
          <w:tcPr>
            <w:tcW w:w="0" w:type="auto"/>
            <w:hideMark/>
          </w:tcPr>
          <w:p w14:paraId="72D906EB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18 (34%)</w:t>
            </w:r>
          </w:p>
        </w:tc>
        <w:tc>
          <w:tcPr>
            <w:tcW w:w="0" w:type="auto"/>
            <w:hideMark/>
          </w:tcPr>
          <w:p w14:paraId="0AEB5EAF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35 (66%)</w:t>
            </w:r>
          </w:p>
        </w:tc>
        <w:tc>
          <w:tcPr>
            <w:tcW w:w="0" w:type="auto"/>
            <w:hideMark/>
          </w:tcPr>
          <w:p w14:paraId="029C160D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0.66 (0.35, 1.23)</w:t>
            </w:r>
          </w:p>
        </w:tc>
        <w:tc>
          <w:tcPr>
            <w:tcW w:w="0" w:type="auto"/>
          </w:tcPr>
          <w:p w14:paraId="3906A639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23A6B6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0.89 (0.45, 1.76)</w:t>
            </w:r>
          </w:p>
        </w:tc>
        <w:tc>
          <w:tcPr>
            <w:tcW w:w="0" w:type="auto"/>
          </w:tcPr>
          <w:p w14:paraId="25BF61F8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6AED912A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E75257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Pre-SB 319, N=508</w:t>
            </w:r>
          </w:p>
        </w:tc>
        <w:tc>
          <w:tcPr>
            <w:tcW w:w="0" w:type="auto"/>
          </w:tcPr>
          <w:p w14:paraId="3A4EC400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AC1F928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E806678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EE7FC03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BBC0A7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1DA9E08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7510F58A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E6E6A1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14:paraId="532A7765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F332D6B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9621F8A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460B76B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6945E2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AAAC9EB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333F6CFE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A89FAD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Black</w:t>
            </w:r>
          </w:p>
        </w:tc>
        <w:tc>
          <w:tcPr>
            <w:tcW w:w="0" w:type="auto"/>
            <w:hideMark/>
          </w:tcPr>
          <w:p w14:paraId="2E028318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85 (21.1%)</w:t>
            </w:r>
          </w:p>
        </w:tc>
        <w:tc>
          <w:tcPr>
            <w:tcW w:w="0" w:type="auto"/>
            <w:hideMark/>
          </w:tcPr>
          <w:p w14:paraId="316C01FE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317 (78.9%)</w:t>
            </w:r>
          </w:p>
        </w:tc>
        <w:tc>
          <w:tcPr>
            <w:tcW w:w="0" w:type="auto"/>
            <w:hideMark/>
          </w:tcPr>
          <w:p w14:paraId="179531B0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519FDA32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0.562</w:t>
            </w:r>
          </w:p>
        </w:tc>
        <w:tc>
          <w:tcPr>
            <w:tcW w:w="0" w:type="auto"/>
            <w:hideMark/>
          </w:tcPr>
          <w:p w14:paraId="7C827EE9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354BAD2D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0.857</w:t>
            </w:r>
          </w:p>
        </w:tc>
      </w:tr>
      <w:tr w:rsidR="00D21DB2" w:rsidRPr="009D6A8A" w14:paraId="05CF2EF0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45175B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White</w:t>
            </w:r>
          </w:p>
        </w:tc>
        <w:tc>
          <w:tcPr>
            <w:tcW w:w="0" w:type="auto"/>
            <w:hideMark/>
          </w:tcPr>
          <w:p w14:paraId="2C9DB1B0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25 (23.6%)</w:t>
            </w:r>
          </w:p>
        </w:tc>
        <w:tc>
          <w:tcPr>
            <w:tcW w:w="0" w:type="auto"/>
            <w:hideMark/>
          </w:tcPr>
          <w:p w14:paraId="38B6662F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81 (76.4%)</w:t>
            </w:r>
          </w:p>
        </w:tc>
        <w:tc>
          <w:tcPr>
            <w:tcW w:w="0" w:type="auto"/>
            <w:hideMark/>
          </w:tcPr>
          <w:p w14:paraId="487AEA39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0.86 (0.52, 1.43)</w:t>
            </w:r>
          </w:p>
        </w:tc>
        <w:tc>
          <w:tcPr>
            <w:tcW w:w="0" w:type="auto"/>
          </w:tcPr>
          <w:p w14:paraId="2E785BAF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620D48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0.95 (0.52, 1.72)</w:t>
            </w:r>
          </w:p>
        </w:tc>
        <w:tc>
          <w:tcPr>
            <w:tcW w:w="0" w:type="auto"/>
          </w:tcPr>
          <w:p w14:paraId="7EA472A5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1A09F612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0C3A2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SB 319, N=131</w:t>
            </w:r>
          </w:p>
        </w:tc>
        <w:tc>
          <w:tcPr>
            <w:tcW w:w="0" w:type="auto"/>
          </w:tcPr>
          <w:p w14:paraId="058DFE4A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3610798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C6D1A3A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093EBE6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5CDC5AC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2253FB5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5FAD5FF1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31D900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14:paraId="125E7AEB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D9E3966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A0CE874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C3E8148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4F28A83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7B89808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5F250128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46961E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Black</w:t>
            </w:r>
          </w:p>
        </w:tc>
        <w:tc>
          <w:tcPr>
            <w:tcW w:w="0" w:type="auto"/>
            <w:hideMark/>
          </w:tcPr>
          <w:p w14:paraId="43F9B026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34 (30.4%)</w:t>
            </w:r>
          </w:p>
        </w:tc>
        <w:tc>
          <w:tcPr>
            <w:tcW w:w="0" w:type="auto"/>
            <w:hideMark/>
          </w:tcPr>
          <w:p w14:paraId="5CE784EF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78 (69.6%)</w:t>
            </w:r>
          </w:p>
        </w:tc>
        <w:tc>
          <w:tcPr>
            <w:tcW w:w="0" w:type="auto"/>
            <w:hideMark/>
          </w:tcPr>
          <w:p w14:paraId="38E3AA94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 xml:space="preserve">Reference </w:t>
            </w:r>
          </w:p>
        </w:tc>
        <w:tc>
          <w:tcPr>
            <w:tcW w:w="0" w:type="auto"/>
            <w:hideMark/>
          </w:tcPr>
          <w:p w14:paraId="1113BCDF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0.305</w:t>
            </w:r>
          </w:p>
        </w:tc>
        <w:tc>
          <w:tcPr>
            <w:tcW w:w="0" w:type="auto"/>
            <w:hideMark/>
          </w:tcPr>
          <w:p w14:paraId="3D4166F7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1117F52A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0.885</w:t>
            </w:r>
          </w:p>
        </w:tc>
      </w:tr>
      <w:tr w:rsidR="00D21DB2" w:rsidRPr="009D6A8A" w14:paraId="6F27C644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AA3E83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White</w:t>
            </w:r>
          </w:p>
        </w:tc>
        <w:tc>
          <w:tcPr>
            <w:tcW w:w="0" w:type="auto"/>
            <w:hideMark/>
          </w:tcPr>
          <w:p w14:paraId="032CFF69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8 (42.1%)</w:t>
            </w:r>
          </w:p>
        </w:tc>
        <w:tc>
          <w:tcPr>
            <w:tcW w:w="0" w:type="auto"/>
            <w:hideMark/>
          </w:tcPr>
          <w:p w14:paraId="704F0E1F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11 (57.9%)</w:t>
            </w:r>
          </w:p>
        </w:tc>
        <w:tc>
          <w:tcPr>
            <w:tcW w:w="0" w:type="auto"/>
            <w:hideMark/>
          </w:tcPr>
          <w:p w14:paraId="23DDB733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0.59 (0.22, 1.61)</w:t>
            </w:r>
          </w:p>
        </w:tc>
        <w:tc>
          <w:tcPr>
            <w:tcW w:w="0" w:type="auto"/>
          </w:tcPr>
          <w:p w14:paraId="0BC9D45B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E45CB5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1.09 (0.34, 3.51)</w:t>
            </w:r>
          </w:p>
        </w:tc>
        <w:tc>
          <w:tcPr>
            <w:tcW w:w="0" w:type="auto"/>
          </w:tcPr>
          <w:p w14:paraId="4BC567B1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CB9917B" w14:textId="77777777" w:rsidR="006D42BA" w:rsidRDefault="006D42BA" w:rsidP="00D21DB2">
      <w:pPr>
        <w:rPr>
          <w:rFonts w:cs="Times New Roman"/>
          <w:bCs/>
          <w:color w:val="000000"/>
          <w:szCs w:val="24"/>
          <w:vertAlign w:val="superscript"/>
        </w:rPr>
      </w:pPr>
    </w:p>
    <w:p w14:paraId="43966681" w14:textId="33A2EF0D" w:rsidR="00D21DB2" w:rsidRDefault="00D21DB2" w:rsidP="00D21DB2">
      <w:pPr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  <w:vertAlign w:val="superscript"/>
        </w:rPr>
        <w:t>1</w:t>
      </w:r>
      <w:r>
        <w:rPr>
          <w:rFonts w:cs="Times New Roman"/>
          <w:bCs/>
          <w:color w:val="000000"/>
          <w:szCs w:val="24"/>
        </w:rPr>
        <w:t>IPTW weights are calculated using GBM with N=10,000 trees, stabilized and trimmed at 1% and 99%; Weights adjust for sex, ethnicity, age, insurance, mechanism of injury, ISS, and year as confounding covariates.</w:t>
      </w:r>
    </w:p>
    <w:p w14:paraId="658F47AE" w14:textId="460EC14C" w:rsidR="00D21DB2" w:rsidRDefault="00D21DB2" w:rsidP="00D21DB2">
      <w:pPr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  <w:vertAlign w:val="superscript"/>
        </w:rPr>
        <w:t>2</w:t>
      </w:r>
      <w:r>
        <w:rPr>
          <w:rFonts w:cs="Times New Roman"/>
          <w:bCs/>
          <w:color w:val="000000"/>
          <w:szCs w:val="24"/>
        </w:rPr>
        <w:t>17 patients that identified as Black or White race were excluded</w:t>
      </w:r>
      <w:r w:rsidR="00EC248C">
        <w:rPr>
          <w:rFonts w:cs="Times New Roman"/>
          <w:bCs/>
          <w:color w:val="000000"/>
          <w:szCs w:val="24"/>
        </w:rPr>
        <w:t>:</w:t>
      </w:r>
      <w:r>
        <w:rPr>
          <w:rFonts w:cs="Times New Roman"/>
          <w:bCs/>
          <w:color w:val="000000"/>
          <w:szCs w:val="24"/>
        </w:rPr>
        <w:t xml:space="preserve"> n=9 that died </w:t>
      </w:r>
      <w:r w:rsidR="005930DB">
        <w:rPr>
          <w:rFonts w:cs="Times New Roman"/>
          <w:bCs/>
          <w:color w:val="000000"/>
          <w:szCs w:val="24"/>
        </w:rPr>
        <w:t xml:space="preserve">in the ED </w:t>
      </w:r>
      <w:r>
        <w:rPr>
          <w:rFonts w:cs="Times New Roman"/>
          <w:bCs/>
          <w:color w:val="000000"/>
          <w:szCs w:val="24"/>
        </w:rPr>
        <w:t>and n=8 that were transferred to another hospital</w:t>
      </w:r>
      <w:r w:rsidR="005930DB">
        <w:rPr>
          <w:rFonts w:cs="Times New Roman"/>
          <w:bCs/>
          <w:color w:val="000000"/>
          <w:szCs w:val="24"/>
        </w:rPr>
        <w:t xml:space="preserve"> from the ED</w:t>
      </w:r>
      <w:r>
        <w:rPr>
          <w:rFonts w:cs="Times New Roman"/>
          <w:bCs/>
          <w:color w:val="000000"/>
          <w:szCs w:val="24"/>
        </w:rPr>
        <w:t>.</w:t>
      </w:r>
    </w:p>
    <w:sectPr w:rsidR="00D21DB2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D8FC" w14:textId="77777777" w:rsidR="003D2D47" w:rsidRDefault="003D2D47" w:rsidP="00117666">
      <w:pPr>
        <w:spacing w:after="0"/>
      </w:pPr>
      <w:r>
        <w:separator/>
      </w:r>
    </w:p>
  </w:endnote>
  <w:endnote w:type="continuationSeparator" w:id="0">
    <w:p w14:paraId="68A94BCB" w14:textId="77777777" w:rsidR="003D2D47" w:rsidRDefault="003D2D4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EC248C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EC248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EC248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EC248C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EC248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EC248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35AC" w14:textId="77777777" w:rsidR="003D2D47" w:rsidRDefault="003D2D47" w:rsidP="00117666">
      <w:pPr>
        <w:spacing w:after="0"/>
      </w:pPr>
      <w:r>
        <w:separator/>
      </w:r>
    </w:p>
  </w:footnote>
  <w:footnote w:type="continuationSeparator" w:id="0">
    <w:p w14:paraId="6A0AA9D1" w14:textId="77777777" w:rsidR="003D2D47" w:rsidRDefault="003D2D4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EC248C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EC248C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4C63"/>
    <w:rsid w:val="00077D53"/>
    <w:rsid w:val="00090743"/>
    <w:rsid w:val="00105FD9"/>
    <w:rsid w:val="00117666"/>
    <w:rsid w:val="001309DE"/>
    <w:rsid w:val="00141DCE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56544"/>
    <w:rsid w:val="003D2D47"/>
    <w:rsid w:val="003D2F2D"/>
    <w:rsid w:val="00401590"/>
    <w:rsid w:val="00447801"/>
    <w:rsid w:val="00452E9C"/>
    <w:rsid w:val="004735C8"/>
    <w:rsid w:val="004961FF"/>
    <w:rsid w:val="004C0B99"/>
    <w:rsid w:val="00517A89"/>
    <w:rsid w:val="005250F2"/>
    <w:rsid w:val="005930DB"/>
    <w:rsid w:val="00593EEA"/>
    <w:rsid w:val="005A5EEE"/>
    <w:rsid w:val="006375C7"/>
    <w:rsid w:val="00654E8F"/>
    <w:rsid w:val="00660D05"/>
    <w:rsid w:val="006820B1"/>
    <w:rsid w:val="00685511"/>
    <w:rsid w:val="006A33ED"/>
    <w:rsid w:val="006B0990"/>
    <w:rsid w:val="006B7D14"/>
    <w:rsid w:val="006D42BA"/>
    <w:rsid w:val="00701727"/>
    <w:rsid w:val="0070566C"/>
    <w:rsid w:val="00711E77"/>
    <w:rsid w:val="00714C50"/>
    <w:rsid w:val="00725A7D"/>
    <w:rsid w:val="00746CC6"/>
    <w:rsid w:val="007501BE"/>
    <w:rsid w:val="007722D4"/>
    <w:rsid w:val="007862AF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83196"/>
    <w:rsid w:val="00994A3D"/>
    <w:rsid w:val="009C2B12"/>
    <w:rsid w:val="009C70F3"/>
    <w:rsid w:val="009D6A8A"/>
    <w:rsid w:val="00A174D9"/>
    <w:rsid w:val="00A569CD"/>
    <w:rsid w:val="00A86AD7"/>
    <w:rsid w:val="00AB5EE2"/>
    <w:rsid w:val="00AB6715"/>
    <w:rsid w:val="00AC5C3A"/>
    <w:rsid w:val="00B1671E"/>
    <w:rsid w:val="00B25EB8"/>
    <w:rsid w:val="00B354E1"/>
    <w:rsid w:val="00B37F4D"/>
    <w:rsid w:val="00B412C8"/>
    <w:rsid w:val="00C52A7B"/>
    <w:rsid w:val="00C56BAF"/>
    <w:rsid w:val="00C679AA"/>
    <w:rsid w:val="00C75972"/>
    <w:rsid w:val="00CC0A3A"/>
    <w:rsid w:val="00CD066B"/>
    <w:rsid w:val="00CE4FEE"/>
    <w:rsid w:val="00D21DB2"/>
    <w:rsid w:val="00D936C4"/>
    <w:rsid w:val="00DB59C3"/>
    <w:rsid w:val="00DC259A"/>
    <w:rsid w:val="00DE23E8"/>
    <w:rsid w:val="00E52377"/>
    <w:rsid w:val="00E64E17"/>
    <w:rsid w:val="00E6746A"/>
    <w:rsid w:val="00E866C9"/>
    <w:rsid w:val="00EA3D3C"/>
    <w:rsid w:val="00EB6573"/>
    <w:rsid w:val="00EC248C"/>
    <w:rsid w:val="00F46900"/>
    <w:rsid w:val="00F61D89"/>
    <w:rsid w:val="00FB236F"/>
    <w:rsid w:val="00FB3F8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styleId="PlainTable2">
    <w:name w:val="Plain Table 2"/>
    <w:basedOn w:val="TableNormal"/>
    <w:uiPriority w:val="42"/>
    <w:rsid w:val="006B0990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Mulugeta, Makda</cp:lastModifiedBy>
  <cp:revision>2</cp:revision>
  <cp:lastPrinted>2013-10-03T12:51:00Z</cp:lastPrinted>
  <dcterms:created xsi:type="dcterms:W3CDTF">2024-03-05T21:58:00Z</dcterms:created>
  <dcterms:modified xsi:type="dcterms:W3CDTF">2024-03-05T21:58:00Z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