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i/>
          <w:iCs/>
          <w:color w:val="000000" w:themeColor="text1"/>
          <w:sz w:val="32"/>
          <w:szCs w:val="32"/>
          <w14:textFill>
            <w14:solidFill>
              <w14:schemeClr w14:val="tx1"/>
            </w14:solidFill>
          </w14:textFill>
        </w:rPr>
      </w:pPr>
      <w:r>
        <w:rPr>
          <w:rFonts w:ascii="Times New Roman" w:hAnsi="Times New Roman" w:cs="Times New Roman"/>
          <w:b/>
          <w:bCs/>
          <w:i/>
          <w:iCs/>
          <w:color w:val="000000" w:themeColor="text1"/>
          <w:sz w:val="32"/>
          <w:szCs w:val="32"/>
          <w14:textFill>
            <w14:solidFill>
              <w14:schemeClr w14:val="tx1"/>
            </w14:solidFill>
          </w14:textFill>
        </w:rPr>
        <w:t xml:space="preserve">Supplementary Table 1. </w:t>
      </w:r>
      <w:r>
        <w:rPr>
          <w:rFonts w:ascii="Times New Roman" w:hAnsi="Times New Roman" w:eastAsia="等线" w:cs="Times New Roman"/>
          <w:b/>
          <w:bCs/>
          <w:i/>
          <w:iCs/>
          <w:color w:val="000000" w:themeColor="text1"/>
          <w:kern w:val="0"/>
          <w:sz w:val="32"/>
          <w:szCs w:val="32"/>
          <w14:textFill>
            <w14:solidFill>
              <w14:schemeClr w14:val="tx1"/>
            </w14:solidFill>
          </w14:textFill>
        </w:rPr>
        <w:t>Search strategy in PubMed</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29"/>
        <w:gridCol w:w="720"/>
        <w:gridCol w:w="1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3"/>
            <w:tcBorders>
              <w:top w:val="single" w:color="auto" w:sz="12" w:space="0"/>
              <w:bottom w:val="single" w:color="auto" w:sz="12" w:space="0"/>
            </w:tcBorders>
          </w:tcPr>
          <w:p>
            <w:pPr>
              <w:spacing w:line="360" w:lineRule="auto"/>
              <w:jc w:val="center"/>
              <w:rPr>
                <w:rFonts w:ascii="Times New Roman" w:hAnsi="Times New Roman" w:eastAsia="宋体" w:cs="Times New Roman"/>
                <w:b/>
                <w:bCs/>
                <w:color w:val="000000" w:themeColor="text1"/>
                <w:kern w:val="0"/>
                <w:sz w:val="20"/>
                <w:szCs w:val="21"/>
                <w14:textFill>
                  <w14:solidFill>
                    <w14:schemeClr w14:val="tx1"/>
                  </w14:solidFill>
                </w14:textFill>
              </w:rPr>
            </w:pPr>
            <w:r>
              <w:rPr>
                <w:rFonts w:ascii="Times New Roman" w:hAnsi="Times New Roman" w:eastAsia="宋体" w:cs="Times New Roman"/>
                <w:b/>
                <w:bCs/>
                <w:color w:val="000000" w:themeColor="text1"/>
                <w:kern w:val="0"/>
                <w:sz w:val="20"/>
                <w:szCs w:val="21"/>
                <w14:textFill>
                  <w14:solidFill>
                    <w14:schemeClr w14:val="tx1"/>
                  </w14:solidFill>
                </w14:textFill>
              </w:rPr>
              <w:t>Search strategy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4" w:type="pct"/>
            <w:vMerge w:val="restart"/>
            <w:tcBorders>
              <w:top w:val="single" w:color="auto" w:sz="12" w:space="0"/>
            </w:tcBorders>
            <w:vAlign w:val="center"/>
          </w:tcPr>
          <w:p>
            <w:pPr>
              <w:spacing w:line="360" w:lineRule="auto"/>
              <w:jc w:val="center"/>
              <w:rPr>
                <w:rFonts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N</w:t>
            </w:r>
            <w:r>
              <w:rPr>
                <w:rFonts w:ascii="Times New Roman" w:hAnsi="Times New Roman" w:eastAsia="宋体" w:cs="Times New Roman"/>
                <w:color w:val="000000" w:themeColor="text1"/>
                <w:kern w:val="0"/>
                <w:sz w:val="20"/>
                <w:szCs w:val="21"/>
                <w14:textFill>
                  <w14:solidFill>
                    <w14:schemeClr w14:val="tx1"/>
                  </w14:solidFill>
                </w14:textFill>
              </w:rPr>
              <w:t>AFLD</w:t>
            </w:r>
          </w:p>
        </w:tc>
        <w:tc>
          <w:tcPr>
            <w:tcW w:w="254" w:type="pct"/>
            <w:tcBorders>
              <w:top w:val="single" w:color="auto" w:sz="12" w:space="0"/>
            </w:tcBorders>
            <w:vAlign w:val="center"/>
          </w:tcPr>
          <w:p>
            <w:pPr>
              <w:spacing w:line="360" w:lineRule="auto"/>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#1</w:t>
            </w:r>
          </w:p>
        </w:tc>
        <w:tc>
          <w:tcPr>
            <w:tcW w:w="4242" w:type="pct"/>
            <w:tcBorders>
              <w:top w:val="single" w:color="auto" w:sz="12" w:space="0"/>
            </w:tcBorders>
            <w:vAlign w:val="center"/>
          </w:tcPr>
          <w:p>
            <w:pPr>
              <w:spacing w:line="360" w:lineRule="auto"/>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(Curcumin[Title/Abstract]) AND (</w:t>
            </w:r>
            <w:r>
              <w:rPr>
                <w:rFonts w:hint="eastAsia" w:ascii="Times New Roman" w:hAnsi="Times New Roman" w:eastAsia="宋体" w:cs="Times New Roman"/>
                <w:color w:val="000000" w:themeColor="text1"/>
                <w:kern w:val="0"/>
                <w:sz w:val="20"/>
                <w:szCs w:val="21"/>
                <w14:textFill>
                  <w14:solidFill>
                    <w14:schemeClr w14:val="tx1"/>
                  </w14:solidFill>
                </w14:textFill>
              </w:rPr>
              <w:t>c</w:t>
            </w:r>
            <w:r>
              <w:rPr>
                <w:rFonts w:ascii="Times New Roman" w:hAnsi="Times New Roman" w:eastAsia="宋体" w:cs="Times New Roman"/>
                <w:color w:val="000000" w:themeColor="text1"/>
                <w:kern w:val="0"/>
                <w:sz w:val="20"/>
                <w:szCs w:val="21"/>
                <w14:textFill>
                  <w14:solidFill>
                    <w14:schemeClr w14:val="tx1"/>
                  </w14:solidFill>
                </w14:textFill>
              </w:rPr>
              <w:t>urcumin[MeSH Terms])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4" w:type="pct"/>
            <w:vMerge w:val="continue"/>
            <w:vAlign w:val="center"/>
          </w:tcPr>
          <w:p>
            <w:pPr>
              <w:spacing w:line="360" w:lineRule="auto"/>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254" w:type="pct"/>
            <w:vAlign w:val="center"/>
          </w:tcPr>
          <w:p>
            <w:pPr>
              <w:spacing w:line="360" w:lineRule="auto"/>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#2</w:t>
            </w:r>
          </w:p>
        </w:tc>
        <w:tc>
          <w:tcPr>
            <w:tcW w:w="4242" w:type="pct"/>
            <w:vAlign w:val="center"/>
          </w:tcPr>
          <w:p>
            <w:pPr>
              <w:spacing w:line="360" w:lineRule="auto"/>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(fatty liver[Title/Abstract])) AND (fatty liver[MeSH Terms])) AND (NAFLD[MeSH Terms])) AND (NASH[MeSH Terms])) AND (non-alcoholic fatty liver disease[MeSH Terms])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4" w:type="pct"/>
            <w:vMerge w:val="continue"/>
            <w:vAlign w:val="center"/>
          </w:tcPr>
          <w:p>
            <w:pPr>
              <w:spacing w:line="360" w:lineRule="auto"/>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254" w:type="pct"/>
            <w:vAlign w:val="center"/>
          </w:tcPr>
          <w:p>
            <w:pPr>
              <w:spacing w:line="360" w:lineRule="auto"/>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#3</w:t>
            </w:r>
          </w:p>
        </w:tc>
        <w:tc>
          <w:tcPr>
            <w:tcW w:w="4242" w:type="pct"/>
            <w:vAlign w:val="center"/>
          </w:tcPr>
          <w:p>
            <w:pPr>
              <w:spacing w:line="360" w:lineRule="auto"/>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#1 and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4" w:type="pct"/>
            <w:vMerge w:val="restart"/>
            <w:vAlign w:val="center"/>
          </w:tcPr>
          <w:p>
            <w:pPr>
              <w:spacing w:line="360" w:lineRule="auto"/>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Liver fibrosis</w:t>
            </w:r>
          </w:p>
        </w:tc>
        <w:tc>
          <w:tcPr>
            <w:tcW w:w="254" w:type="pct"/>
            <w:vAlign w:val="center"/>
          </w:tcPr>
          <w:p>
            <w:pPr>
              <w:spacing w:line="360" w:lineRule="auto"/>
              <w:jc w:val="center"/>
              <w:rPr>
                <w:rFonts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w:t>
            </w:r>
            <w:r>
              <w:rPr>
                <w:rFonts w:ascii="Times New Roman" w:hAnsi="Times New Roman" w:eastAsia="宋体" w:cs="Times New Roman"/>
                <w:color w:val="000000" w:themeColor="text1"/>
                <w:kern w:val="0"/>
                <w:sz w:val="20"/>
                <w:szCs w:val="21"/>
                <w14:textFill>
                  <w14:solidFill>
                    <w14:schemeClr w14:val="tx1"/>
                  </w14:solidFill>
                </w14:textFill>
              </w:rPr>
              <w:t>4</w:t>
            </w:r>
          </w:p>
        </w:tc>
        <w:tc>
          <w:tcPr>
            <w:tcW w:w="4242" w:type="pct"/>
            <w:vAlign w:val="center"/>
          </w:tcPr>
          <w:p>
            <w:pPr>
              <w:spacing w:line="360" w:lineRule="auto"/>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(Curcumin[Title/Abstract]) AND (</w:t>
            </w:r>
            <w:r>
              <w:rPr>
                <w:rFonts w:hint="eastAsia" w:ascii="Times New Roman" w:hAnsi="Times New Roman" w:eastAsia="宋体" w:cs="Times New Roman"/>
                <w:color w:val="000000" w:themeColor="text1"/>
                <w:kern w:val="0"/>
                <w:sz w:val="20"/>
                <w:szCs w:val="21"/>
                <w14:textFill>
                  <w14:solidFill>
                    <w14:schemeClr w14:val="tx1"/>
                  </w14:solidFill>
                </w14:textFill>
              </w:rPr>
              <w:t>c</w:t>
            </w:r>
            <w:r>
              <w:rPr>
                <w:rFonts w:ascii="Times New Roman" w:hAnsi="Times New Roman" w:eastAsia="宋体" w:cs="Times New Roman"/>
                <w:color w:val="000000" w:themeColor="text1"/>
                <w:kern w:val="0"/>
                <w:sz w:val="20"/>
                <w:szCs w:val="21"/>
                <w14:textFill>
                  <w14:solidFill>
                    <w14:schemeClr w14:val="tx1"/>
                  </w14:solidFill>
                </w14:textFill>
              </w:rPr>
              <w:t>urcumin[MeSH Terms])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4" w:type="pct"/>
            <w:vMerge w:val="continue"/>
            <w:vAlign w:val="center"/>
          </w:tcPr>
          <w:p>
            <w:pPr>
              <w:spacing w:line="360" w:lineRule="auto"/>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254" w:type="pct"/>
            <w:vAlign w:val="center"/>
          </w:tcPr>
          <w:p>
            <w:pPr>
              <w:spacing w:line="360" w:lineRule="auto"/>
              <w:jc w:val="center"/>
              <w:rPr>
                <w:rFonts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w:t>
            </w:r>
            <w:r>
              <w:rPr>
                <w:rFonts w:ascii="Times New Roman" w:hAnsi="Times New Roman" w:eastAsia="宋体" w:cs="Times New Roman"/>
                <w:color w:val="000000" w:themeColor="text1"/>
                <w:kern w:val="0"/>
                <w:sz w:val="20"/>
                <w:szCs w:val="21"/>
                <w14:textFill>
                  <w14:solidFill>
                    <w14:schemeClr w14:val="tx1"/>
                  </w14:solidFill>
                </w14:textFill>
              </w:rPr>
              <w:t>5</w:t>
            </w:r>
          </w:p>
        </w:tc>
        <w:tc>
          <w:tcPr>
            <w:tcW w:w="4242" w:type="pct"/>
            <w:vAlign w:val="center"/>
          </w:tcPr>
          <w:p>
            <w:pPr>
              <w:spacing w:line="360" w:lineRule="auto"/>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(liver fibrosis[Title/Abstract])) AND (liver fibrosis[MeSH Terms])) AND (</w:t>
            </w:r>
            <w:r>
              <w:rPr>
                <w:rFonts w:ascii="Times New Roman" w:hAnsi="Times New Roman" w:eastAsia="宋体" w:cs="Times New Roman"/>
                <w:kern w:val="0"/>
                <w:sz w:val="20"/>
                <w:szCs w:val="21"/>
              </w:rPr>
              <w:t>hepatic fibrosis</w:t>
            </w:r>
            <w:r>
              <w:rPr>
                <w:rFonts w:ascii="Times New Roman" w:hAnsi="Times New Roman" w:eastAsia="宋体" w:cs="Times New Roman"/>
                <w:color w:val="000000" w:themeColor="text1"/>
                <w:kern w:val="0"/>
                <w:sz w:val="20"/>
                <w:szCs w:val="21"/>
                <w14:textFill>
                  <w14:solidFill>
                    <w14:schemeClr w14:val="tx1"/>
                  </w14:solidFill>
                </w14:textFill>
              </w:rPr>
              <w:t xml:space="preserve">[MeSH Terms]))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4" w:type="pct"/>
            <w:vMerge w:val="continue"/>
            <w:vAlign w:val="center"/>
          </w:tcPr>
          <w:p>
            <w:pPr>
              <w:spacing w:line="360" w:lineRule="auto"/>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254" w:type="pct"/>
            <w:vAlign w:val="center"/>
          </w:tcPr>
          <w:p>
            <w:pPr>
              <w:spacing w:line="360" w:lineRule="auto"/>
              <w:jc w:val="center"/>
              <w:rPr>
                <w:rFonts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w:t>
            </w:r>
            <w:r>
              <w:rPr>
                <w:rFonts w:ascii="Times New Roman" w:hAnsi="Times New Roman" w:eastAsia="宋体" w:cs="Times New Roman"/>
                <w:color w:val="000000" w:themeColor="text1"/>
                <w:kern w:val="0"/>
                <w:sz w:val="20"/>
                <w:szCs w:val="21"/>
                <w14:textFill>
                  <w14:solidFill>
                    <w14:schemeClr w14:val="tx1"/>
                  </w14:solidFill>
                </w14:textFill>
              </w:rPr>
              <w:t>6</w:t>
            </w:r>
          </w:p>
        </w:tc>
        <w:tc>
          <w:tcPr>
            <w:tcW w:w="4242" w:type="pct"/>
            <w:vAlign w:val="center"/>
          </w:tcPr>
          <w:p>
            <w:pPr>
              <w:spacing w:line="360" w:lineRule="auto"/>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#4 and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4" w:type="pct"/>
            <w:vMerge w:val="restart"/>
            <w:vAlign w:val="center"/>
          </w:tcPr>
          <w:p>
            <w:pPr>
              <w:spacing w:line="360" w:lineRule="auto"/>
              <w:jc w:val="center"/>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Liver cancer</w:t>
            </w:r>
          </w:p>
        </w:tc>
        <w:tc>
          <w:tcPr>
            <w:tcW w:w="254" w:type="pct"/>
            <w:vAlign w:val="center"/>
          </w:tcPr>
          <w:p>
            <w:pPr>
              <w:spacing w:line="360" w:lineRule="auto"/>
              <w:jc w:val="center"/>
              <w:rPr>
                <w:rFonts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w:t>
            </w:r>
            <w:r>
              <w:rPr>
                <w:rFonts w:ascii="Times New Roman" w:hAnsi="Times New Roman" w:eastAsia="宋体" w:cs="Times New Roman"/>
                <w:color w:val="000000" w:themeColor="text1"/>
                <w:kern w:val="0"/>
                <w:sz w:val="20"/>
                <w:szCs w:val="21"/>
                <w14:textFill>
                  <w14:solidFill>
                    <w14:schemeClr w14:val="tx1"/>
                  </w14:solidFill>
                </w14:textFill>
              </w:rPr>
              <w:t>7</w:t>
            </w:r>
          </w:p>
        </w:tc>
        <w:tc>
          <w:tcPr>
            <w:tcW w:w="4242" w:type="pct"/>
            <w:vAlign w:val="center"/>
          </w:tcPr>
          <w:p>
            <w:pPr>
              <w:spacing w:line="360" w:lineRule="auto"/>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(Curcumin[Title/Abstract]) AND (</w:t>
            </w:r>
            <w:r>
              <w:rPr>
                <w:rFonts w:hint="eastAsia" w:ascii="Times New Roman" w:hAnsi="Times New Roman" w:eastAsia="宋体" w:cs="Times New Roman"/>
                <w:color w:val="000000" w:themeColor="text1"/>
                <w:kern w:val="0"/>
                <w:sz w:val="20"/>
                <w:szCs w:val="21"/>
                <w14:textFill>
                  <w14:solidFill>
                    <w14:schemeClr w14:val="tx1"/>
                  </w14:solidFill>
                </w14:textFill>
              </w:rPr>
              <w:t>c</w:t>
            </w:r>
            <w:r>
              <w:rPr>
                <w:rFonts w:ascii="Times New Roman" w:hAnsi="Times New Roman" w:eastAsia="宋体" w:cs="Times New Roman"/>
                <w:color w:val="000000" w:themeColor="text1"/>
                <w:kern w:val="0"/>
                <w:sz w:val="20"/>
                <w:szCs w:val="21"/>
                <w14:textFill>
                  <w14:solidFill>
                    <w14:schemeClr w14:val="tx1"/>
                  </w14:solidFill>
                </w14:textFill>
              </w:rPr>
              <w:t>urcumin[MeSH Terms])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4" w:type="pct"/>
            <w:vMerge w:val="continue"/>
            <w:vAlign w:val="center"/>
          </w:tcPr>
          <w:p>
            <w:pPr>
              <w:spacing w:line="360" w:lineRule="auto"/>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254" w:type="pct"/>
            <w:vAlign w:val="center"/>
          </w:tcPr>
          <w:p>
            <w:pPr>
              <w:spacing w:line="360" w:lineRule="auto"/>
              <w:jc w:val="center"/>
              <w:rPr>
                <w:rFonts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w:t>
            </w:r>
            <w:r>
              <w:rPr>
                <w:rFonts w:ascii="Times New Roman" w:hAnsi="Times New Roman" w:eastAsia="宋体" w:cs="Times New Roman"/>
                <w:color w:val="000000" w:themeColor="text1"/>
                <w:kern w:val="0"/>
                <w:sz w:val="20"/>
                <w:szCs w:val="21"/>
                <w14:textFill>
                  <w14:solidFill>
                    <w14:schemeClr w14:val="tx1"/>
                  </w14:solidFill>
                </w14:textFill>
              </w:rPr>
              <w:t>8</w:t>
            </w:r>
          </w:p>
        </w:tc>
        <w:tc>
          <w:tcPr>
            <w:tcW w:w="4242" w:type="pct"/>
            <w:vAlign w:val="center"/>
          </w:tcPr>
          <w:p>
            <w:pPr>
              <w:spacing w:line="360" w:lineRule="auto"/>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(liver cancer[Title/Abstract])) AND (liver cancer [MeSH Terms])) AND (</w:t>
            </w:r>
            <w:r>
              <w:rPr>
                <w:rFonts w:ascii="Times New Roman" w:hAnsi="Times New Roman" w:eastAsia="宋体" w:cs="Times New Roman"/>
                <w:kern w:val="0"/>
                <w:sz w:val="20"/>
                <w:szCs w:val="21"/>
              </w:rPr>
              <w:t>hepatocellular carcinoma</w:t>
            </w:r>
            <w:r>
              <w:rPr>
                <w:rFonts w:ascii="Times New Roman" w:hAnsi="Times New Roman" w:eastAsia="宋体" w:cs="Times New Roman"/>
                <w:color w:val="000000" w:themeColor="text1"/>
                <w:kern w:val="0"/>
                <w:sz w:val="20"/>
                <w:szCs w:val="21"/>
                <w14:textFill>
                  <w14:solidFill>
                    <w14:schemeClr w14:val="tx1"/>
                  </w14:solidFill>
                </w14:textFill>
              </w:rPr>
              <w:t>[MeSH Terms])) AND (</w:t>
            </w:r>
            <w:r>
              <w:rPr>
                <w:rFonts w:hint="eastAsia" w:ascii="Times New Roman" w:hAnsi="Times New Roman" w:eastAsia="宋体" w:cs="Times New Roman"/>
                <w:kern w:val="0"/>
                <w:sz w:val="20"/>
                <w:szCs w:val="21"/>
              </w:rPr>
              <w:t>HCC</w:t>
            </w:r>
            <w:r>
              <w:rPr>
                <w:rFonts w:ascii="Times New Roman" w:hAnsi="Times New Roman" w:eastAsia="宋体" w:cs="Times New Roman"/>
                <w:color w:val="000000" w:themeColor="text1"/>
                <w:kern w:val="0"/>
                <w:sz w:val="20"/>
                <w:szCs w:val="21"/>
                <w14:textFill>
                  <w14:solidFill>
                    <w14:schemeClr w14:val="tx1"/>
                  </w14:solidFill>
                </w14:textFill>
              </w:rPr>
              <w:t>[MeSH Terms]))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4" w:type="pct"/>
            <w:vMerge w:val="continue"/>
            <w:tcBorders>
              <w:bottom w:val="single" w:color="auto" w:sz="12" w:space="0"/>
            </w:tcBorders>
            <w:vAlign w:val="center"/>
          </w:tcPr>
          <w:p>
            <w:pPr>
              <w:spacing w:line="360" w:lineRule="auto"/>
              <w:jc w:val="center"/>
              <w:rPr>
                <w:rFonts w:ascii="Times New Roman" w:hAnsi="Times New Roman" w:eastAsia="宋体" w:cs="Times New Roman"/>
                <w:color w:val="000000" w:themeColor="text1"/>
                <w:kern w:val="0"/>
                <w:sz w:val="20"/>
                <w:szCs w:val="21"/>
                <w14:textFill>
                  <w14:solidFill>
                    <w14:schemeClr w14:val="tx1"/>
                  </w14:solidFill>
                </w14:textFill>
              </w:rPr>
            </w:pPr>
          </w:p>
        </w:tc>
        <w:tc>
          <w:tcPr>
            <w:tcW w:w="254" w:type="pct"/>
            <w:tcBorders>
              <w:bottom w:val="single" w:color="auto" w:sz="12" w:space="0"/>
            </w:tcBorders>
            <w:vAlign w:val="center"/>
          </w:tcPr>
          <w:p>
            <w:pPr>
              <w:spacing w:line="360" w:lineRule="auto"/>
              <w:jc w:val="center"/>
              <w:rPr>
                <w:rFonts w:ascii="Times New Roman" w:hAnsi="Times New Roman" w:eastAsia="宋体" w:cs="Times New Roman"/>
                <w:color w:val="000000" w:themeColor="text1"/>
                <w:kern w:val="0"/>
                <w:sz w:val="20"/>
                <w:szCs w:val="21"/>
                <w14:textFill>
                  <w14:solidFill>
                    <w14:schemeClr w14:val="tx1"/>
                  </w14:solidFill>
                </w14:textFill>
              </w:rPr>
            </w:pPr>
            <w:r>
              <w:rPr>
                <w:rFonts w:hint="eastAsia" w:ascii="Times New Roman" w:hAnsi="Times New Roman" w:eastAsia="宋体" w:cs="Times New Roman"/>
                <w:color w:val="000000" w:themeColor="text1"/>
                <w:kern w:val="0"/>
                <w:sz w:val="20"/>
                <w:szCs w:val="21"/>
                <w14:textFill>
                  <w14:solidFill>
                    <w14:schemeClr w14:val="tx1"/>
                  </w14:solidFill>
                </w14:textFill>
              </w:rPr>
              <w:t>#</w:t>
            </w:r>
            <w:r>
              <w:rPr>
                <w:rFonts w:ascii="Times New Roman" w:hAnsi="Times New Roman" w:eastAsia="宋体" w:cs="Times New Roman"/>
                <w:color w:val="000000" w:themeColor="text1"/>
                <w:kern w:val="0"/>
                <w:sz w:val="20"/>
                <w:szCs w:val="21"/>
                <w14:textFill>
                  <w14:solidFill>
                    <w14:schemeClr w14:val="tx1"/>
                  </w14:solidFill>
                </w14:textFill>
              </w:rPr>
              <w:t>9</w:t>
            </w:r>
          </w:p>
        </w:tc>
        <w:tc>
          <w:tcPr>
            <w:tcW w:w="4242" w:type="pct"/>
            <w:tcBorders>
              <w:bottom w:val="single" w:color="auto" w:sz="12" w:space="0"/>
            </w:tcBorders>
            <w:vAlign w:val="center"/>
          </w:tcPr>
          <w:p>
            <w:pPr>
              <w:spacing w:line="360" w:lineRule="auto"/>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0"/>
                <w:szCs w:val="21"/>
                <w14:textFill>
                  <w14:solidFill>
                    <w14:schemeClr w14:val="tx1"/>
                  </w14:solidFill>
                </w14:textFill>
              </w:rPr>
              <w:t>#7 and #8</w:t>
            </w:r>
          </w:p>
        </w:tc>
      </w:tr>
    </w:tbl>
    <w:p/>
    <w:p>
      <w:pPr>
        <w:widowControl/>
        <w:jc w:val="left"/>
      </w:pPr>
      <w:r>
        <w:br w:type="page"/>
      </w:r>
    </w:p>
    <w:tbl>
      <w:tblPr>
        <w:tblStyle w:val="4"/>
        <w:tblW w:w="13892" w:type="dxa"/>
        <w:jc w:val="center"/>
        <w:tblBorders>
          <w:top w:val="single" w:color="auto"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5"/>
        <w:gridCol w:w="1261"/>
        <w:gridCol w:w="6960"/>
        <w:gridCol w:w="3686"/>
      </w:tblGrid>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3892" w:type="dxa"/>
            <w:gridSpan w:val="4"/>
            <w:tcBorders>
              <w:top w:val="nil"/>
              <w:bottom w:val="single" w:color="auto" w:sz="12" w:space="0"/>
            </w:tcBorders>
            <w:shd w:val="clear" w:color="auto" w:fill="FFFFFF"/>
            <w:vAlign w:val="center"/>
          </w:tcPr>
          <w:p>
            <w:pPr>
              <w:widowControl/>
              <w:snapToGrid w:val="0"/>
              <w:spacing w:before="100" w:beforeAutospacing="1" w:after="100" w:afterAutospacing="1"/>
              <w:ind w:left="321" w:hanging="321" w:hangingChars="100"/>
              <w:jc w:val="center"/>
              <w:rPr>
                <w:rFonts w:ascii="Times New Roman" w:hAnsi="Times New Roman" w:eastAsia="宋体" w:cs="Times New Roman"/>
                <w:b/>
                <w:bCs/>
                <w:i/>
                <w:iCs/>
                <w:color w:val="0000FF"/>
                <w:sz w:val="32"/>
                <w:szCs w:val="32"/>
                <w:shd w:val="clear" w:color="auto" w:fill="FFFFFF"/>
              </w:rPr>
            </w:pPr>
            <w:r>
              <w:rPr>
                <w:rFonts w:ascii="Times New Roman" w:hAnsi="Times New Roman" w:eastAsia="宋体" w:cs="Times New Roman"/>
                <w:b/>
                <w:bCs/>
                <w:i/>
                <w:iCs/>
                <w:sz w:val="32"/>
                <w:szCs w:val="32"/>
                <w:shd w:val="clear" w:color="auto" w:fill="FFFFFF"/>
              </w:rPr>
              <w:t>Supplementary</w:t>
            </w:r>
            <w:r>
              <w:rPr>
                <w:rFonts w:ascii="Times New Roman" w:hAnsi="Times New Roman" w:cs="Times New Roman"/>
                <w:b/>
                <w:bCs/>
                <w:i/>
                <w:iCs/>
                <w:sz w:val="32"/>
                <w:szCs w:val="32"/>
              </w:rPr>
              <w:t xml:space="preserve"> Table </w:t>
            </w:r>
            <w:r>
              <w:rPr>
                <w:rFonts w:hint="eastAsia" w:ascii="Times New Roman" w:hAnsi="Times New Roman" w:cs="Times New Roman"/>
                <w:b/>
                <w:bCs/>
                <w:i/>
                <w:iCs/>
                <w:sz w:val="32"/>
                <w:szCs w:val="32"/>
                <w:lang w:val="en-US" w:eastAsia="zh-CN"/>
              </w:rPr>
              <w:t>2</w:t>
            </w:r>
            <w:r>
              <w:rPr>
                <w:rFonts w:ascii="Times New Roman" w:hAnsi="Times New Roman" w:cs="Times New Roman"/>
                <w:b/>
                <w:bCs/>
                <w:i/>
                <w:iCs/>
                <w:sz w:val="32"/>
                <w:szCs w:val="32"/>
              </w:rPr>
              <w:t>. Possibl</w:t>
            </w:r>
            <w:bookmarkStart w:id="2" w:name="_GoBack"/>
            <w:bookmarkEnd w:id="2"/>
            <w:r>
              <w:rPr>
                <w:rFonts w:ascii="Times New Roman" w:hAnsi="Times New Roman" w:cs="Times New Roman"/>
                <w:b/>
                <w:bCs/>
                <w:i/>
                <w:iCs/>
                <w:sz w:val="32"/>
                <w:szCs w:val="32"/>
              </w:rPr>
              <w:t xml:space="preserve">e mechanisms of </w:t>
            </w:r>
            <w:r>
              <w:rPr>
                <w:rFonts w:ascii="Times New Roman" w:hAnsi="Times New Roman" w:eastAsia="宋体" w:cs="Times New Roman"/>
                <w:b/>
                <w:bCs/>
                <w:i/>
                <w:iCs/>
                <w:sz w:val="32"/>
                <w:szCs w:val="32"/>
              </w:rPr>
              <w:t>Curcumin</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tcBorders>
              <w:top w:val="single" w:color="auto" w:sz="12" w:space="0"/>
              <w:bottom w:val="single" w:color="auto" w:sz="12" w:space="0"/>
            </w:tcBorders>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b/>
                <w:bCs/>
                <w:i/>
                <w:iCs/>
                <w:color w:val="000000"/>
                <w:kern w:val="0"/>
                <w:sz w:val="18"/>
                <w:szCs w:val="18"/>
              </w:rPr>
            </w:pPr>
            <w:r>
              <w:rPr>
                <w:rFonts w:ascii="Times New Roman" w:hAnsi="Times New Roman" w:cs="Times New Roman"/>
                <w:b/>
                <w:bCs/>
                <w:i/>
                <w:iCs/>
                <w:color w:val="000000"/>
                <w:kern w:val="0"/>
                <w:sz w:val="18"/>
                <w:szCs w:val="18"/>
              </w:rPr>
              <w:t>Studies</w:t>
            </w:r>
          </w:p>
        </w:tc>
        <w:tc>
          <w:tcPr>
            <w:tcW w:w="1261" w:type="dxa"/>
            <w:tcBorders>
              <w:top w:val="single" w:color="auto" w:sz="12" w:space="0"/>
              <w:bottom w:val="single" w:color="auto" w:sz="12" w:space="0"/>
            </w:tcBorders>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b/>
                <w:bCs/>
                <w:i/>
                <w:iCs/>
                <w:color w:val="000000"/>
                <w:kern w:val="0"/>
                <w:sz w:val="18"/>
                <w:szCs w:val="18"/>
              </w:rPr>
            </w:pPr>
            <w:r>
              <w:rPr>
                <w:rFonts w:ascii="Times New Roman" w:hAnsi="Times New Roman" w:cs="Times New Roman"/>
                <w:b/>
                <w:bCs/>
                <w:i/>
                <w:iCs/>
                <w:color w:val="000000"/>
                <w:kern w:val="0"/>
                <w:sz w:val="18"/>
                <w:szCs w:val="18"/>
              </w:rPr>
              <w:t>Category</w:t>
            </w:r>
          </w:p>
        </w:tc>
        <w:tc>
          <w:tcPr>
            <w:tcW w:w="6960" w:type="dxa"/>
            <w:tcBorders>
              <w:top w:val="single" w:color="auto" w:sz="12" w:space="0"/>
              <w:bottom w:val="single" w:color="auto" w:sz="12" w:space="0"/>
            </w:tcBorders>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b/>
                <w:bCs/>
                <w:i/>
                <w:iCs/>
                <w:color w:val="000000"/>
                <w:kern w:val="0"/>
                <w:sz w:val="18"/>
                <w:szCs w:val="18"/>
              </w:rPr>
            </w:pPr>
            <w:r>
              <w:rPr>
                <w:rFonts w:ascii="Times New Roman" w:hAnsi="Times New Roman" w:cs="Times New Roman"/>
                <w:b/>
                <w:bCs/>
                <w:i/>
                <w:iCs/>
                <w:color w:val="000000"/>
                <w:kern w:val="0"/>
                <w:sz w:val="18"/>
                <w:szCs w:val="18"/>
              </w:rPr>
              <w:t>Proposed mechanisms</w:t>
            </w:r>
          </w:p>
        </w:tc>
        <w:tc>
          <w:tcPr>
            <w:tcW w:w="3686" w:type="dxa"/>
            <w:tcBorders>
              <w:top w:val="single" w:color="auto" w:sz="12" w:space="0"/>
              <w:bottom w:val="single" w:color="auto" w:sz="12" w:space="0"/>
            </w:tcBorders>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b/>
                <w:bCs/>
                <w:i/>
                <w:iCs/>
                <w:color w:val="000000"/>
                <w:kern w:val="0"/>
                <w:sz w:val="18"/>
                <w:szCs w:val="18"/>
              </w:rPr>
            </w:pPr>
            <w:r>
              <w:rPr>
                <w:rFonts w:ascii="Times New Roman" w:hAnsi="Times New Roman" w:cs="Times New Roman"/>
                <w:b/>
                <w:bCs/>
                <w:i/>
                <w:iCs/>
                <w:color w:val="000000"/>
                <w:kern w:val="0"/>
                <w:sz w:val="18"/>
                <w:szCs w:val="18"/>
              </w:rPr>
              <w:t>Targets/pathways</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tcBorders>
              <w:top w:val="single" w:color="auto" w:sz="12" w:space="0"/>
            </w:tcBorders>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Lee.et al 2022</w:t>
            </w:r>
          </w:p>
        </w:tc>
        <w:tc>
          <w:tcPr>
            <w:tcW w:w="1261" w:type="dxa"/>
            <w:tcBorders>
              <w:top w:val="single" w:color="auto" w:sz="12" w:space="0"/>
            </w:tcBorders>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NAFLD</w:t>
            </w:r>
          </w:p>
        </w:tc>
        <w:tc>
          <w:tcPr>
            <w:tcW w:w="6960" w:type="dxa"/>
            <w:tcBorders>
              <w:top w:val="single" w:color="auto" w:sz="12" w:space="0"/>
            </w:tcBorders>
            <w:shd w:val="clear" w:color="auto" w:fill="FFFFFF"/>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color w:val="000000"/>
                <w:kern w:val="0"/>
                <w:sz w:val="18"/>
                <w:szCs w:val="18"/>
              </w:rPr>
              <w:t>Curcumin phosphorylated AMPK inhibits the downstream target proteins C/EBP, PPARγ, and SREBP-1c through inhibiting preadipocyte differentiation, reducing liver TG levels, and thus ameliorating steatosis.</w:t>
            </w:r>
            <w:r>
              <w:rPr>
                <w:rFonts w:ascii="Times New Roman" w:hAnsi="Times New Roman" w:cs="Times New Roman"/>
                <w:color w:val="000000"/>
                <w:sz w:val="18"/>
                <w:szCs w:val="18"/>
              </w:rPr>
              <w:t xml:space="preserve"> </w:t>
            </w:r>
            <w:r>
              <w:rPr>
                <w:rFonts w:ascii="Times New Roman" w:hAnsi="Times New Roman" w:eastAsia="宋体" w:cs="Times New Roman"/>
                <w:color w:val="000000"/>
                <w:kern w:val="0"/>
                <w:sz w:val="18"/>
                <w:szCs w:val="18"/>
              </w:rPr>
              <w:t>Curcuminoids suppressing the TLR-2 and TLR-4 to inhibit NF-κB and MAPK signal pathways, and reduce inflammatory cytokines.</w:t>
            </w:r>
          </w:p>
        </w:tc>
        <w:tc>
          <w:tcPr>
            <w:tcW w:w="3686" w:type="dxa"/>
            <w:tcBorders>
              <w:top w:val="single" w:color="auto" w:sz="12" w:space="0"/>
            </w:tcBorders>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AMPK, </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 SREBP-1c, FAS, PPARγ, C/EBP, TLR-2, TLR-4</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Chen.et al 2022</w:t>
            </w:r>
          </w:p>
        </w:tc>
        <w:tc>
          <w:tcPr>
            <w:tcW w:w="1261"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NAFLD</w:t>
            </w:r>
          </w:p>
        </w:tc>
        <w:tc>
          <w:tcPr>
            <w:tcW w:w="6960" w:type="dxa"/>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Curcumin alleviates hepatic steatosis, by inhibiting 11β-HSD1, which activates the AMPK/SIRT1 signaling pathway to regulates ACC- CPT-1and SREBP1- FASN.</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Upregulation: SIRT1,</w:t>
            </w:r>
            <w:r>
              <w:rPr>
                <w:color w:val="000000"/>
                <w:sz w:val="18"/>
                <w:szCs w:val="18"/>
              </w:rPr>
              <w:t xml:space="preserve"> AMPK,</w:t>
            </w:r>
            <w:r>
              <w:rPr>
                <w:sz w:val="18"/>
                <w:szCs w:val="18"/>
              </w:rPr>
              <w:t xml:space="preserve"> </w:t>
            </w:r>
            <w:r>
              <w:rPr>
                <w:color w:val="000000"/>
                <w:sz w:val="18"/>
                <w:szCs w:val="18"/>
              </w:rPr>
              <w:t>CPT-1</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color w:val="000000"/>
                <w:sz w:val="18"/>
                <w:szCs w:val="18"/>
              </w:rPr>
              <w:t xml:space="preserve"> 11β-HSD1,</w:t>
            </w:r>
            <w:r>
              <w:rPr>
                <w:color w:val="000000"/>
                <w:kern w:val="0"/>
                <w:sz w:val="18"/>
                <w:szCs w:val="18"/>
              </w:rPr>
              <w:t xml:space="preserve"> SREBP1</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Elrazek.et al 2022</w:t>
            </w:r>
          </w:p>
        </w:tc>
        <w:tc>
          <w:tcPr>
            <w:tcW w:w="1261"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NAFLD</w:t>
            </w:r>
          </w:p>
        </w:tc>
        <w:tc>
          <w:tcPr>
            <w:tcW w:w="6960" w:type="dxa"/>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Curcumin enhances lipolysis and β-oxidation by up-regulating the expression of lipases such as adipose triglyceride lipase, hormone-sensitive lipase, adiponectin, and AMP-activated protein kinase.</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Upregulation: AMPK, CPT1</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 MDA, ROS</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El-Hameed.et al 2021</w:t>
            </w:r>
          </w:p>
        </w:tc>
        <w:tc>
          <w:tcPr>
            <w:tcW w:w="1261"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lang w:eastAsia="zh-Hans"/>
              </w:rPr>
              <w:t>NAFLD</w:t>
            </w:r>
          </w:p>
        </w:tc>
        <w:tc>
          <w:tcPr>
            <w:tcW w:w="6960" w:type="dxa"/>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Nrf2 influences the changes in gene expression to reduce lipogenesis, ER stress, inflammation, oxidative stress, and fibrosis.</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Upregulation: Nrf2</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Tong.et al 2021</w:t>
            </w:r>
          </w:p>
        </w:tc>
        <w:tc>
          <w:tcPr>
            <w:tcW w:w="1261"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NAFLD</w:t>
            </w:r>
          </w:p>
        </w:tc>
        <w:tc>
          <w:tcPr>
            <w:tcW w:w="6960" w:type="dxa"/>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Curcumin inhibited the activation of macrophages to M1 macrophages and then reduce the expression of IL-1 β and TNF-α to alleviate hepatic dysfunction and inflammation during NASH</w:t>
            </w:r>
          </w:p>
        </w:tc>
        <w:tc>
          <w:tcPr>
            <w:tcW w:w="3686" w:type="dxa"/>
            <w:shd w:val="clear" w:color="auto" w:fill="FFFFFF"/>
            <w:vAlign w:val="center"/>
          </w:tcPr>
          <w:p>
            <w:pPr>
              <w:pStyle w:val="10"/>
              <w:spacing w:line="276"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w:t>
            </w:r>
          </w:p>
          <w:p>
            <w:pPr>
              <w:pStyle w:val="10"/>
              <w:spacing w:line="276" w:lineRule="auto"/>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 the number of M1 macrophages</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bookmarkStart w:id="0" w:name="_Hlk119597773"/>
            <w:r>
              <w:rPr>
                <w:rFonts w:ascii="Times New Roman" w:hAnsi="Times New Roman" w:cs="Times New Roman"/>
                <w:sz w:val="18"/>
                <w:szCs w:val="18"/>
              </w:rPr>
              <w:t>Sun.et al 2021</w:t>
            </w:r>
          </w:p>
        </w:tc>
        <w:tc>
          <w:tcPr>
            <w:tcW w:w="1261"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NALFD</w:t>
            </w:r>
          </w:p>
        </w:tc>
        <w:tc>
          <w:tcPr>
            <w:tcW w:w="6960" w:type="dxa"/>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Curcumin rectified the dysregulated expression of SLC13A5/ACLY possibly via the AMPK−mTOR signaling pathway. inhibited both citrate transport and metabolism mediated by SLC13A5 and ACLY, respectively. These findings confirm that curcumin improves the lipid accumulation in the liver by blocking citrate disposition.</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Upregulation: AMPK</w:t>
            </w:r>
          </w:p>
          <w:p>
            <w:pPr>
              <w:pStyle w:val="10"/>
              <w:spacing w:line="276" w:lineRule="auto"/>
              <w:rPr>
                <w:color w:val="000000"/>
                <w:sz w:val="18"/>
                <w:szCs w:val="18"/>
              </w:rPr>
            </w:pPr>
            <w:r>
              <w:rPr>
                <w:color w:val="000000" w:themeColor="text1"/>
                <w:sz w:val="18"/>
                <w:szCs w:val="18"/>
                <w14:textFill>
                  <w14:solidFill>
                    <w14:schemeClr w14:val="tx1"/>
                  </w14:solidFill>
                </w14:textFill>
              </w:rPr>
              <w:t>Downregulation:</w:t>
            </w:r>
            <w:r>
              <w:rPr>
                <w:color w:val="000000"/>
                <w:sz w:val="18"/>
                <w:szCs w:val="18"/>
              </w:rPr>
              <w:t xml:space="preserve"> SLC13A5, ACLY, acetyl-CoA,</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mTOR</w:t>
            </w:r>
          </w:p>
        </w:tc>
      </w:tr>
      <w:bookmarkEnd w:id="0"/>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tcBorders>
              <w:bottom w:val="nil"/>
            </w:tcBorders>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Li.et al 2021</w:t>
            </w:r>
          </w:p>
        </w:tc>
        <w:tc>
          <w:tcPr>
            <w:tcW w:w="1261" w:type="dxa"/>
            <w:tcBorders>
              <w:bottom w:val="nil"/>
            </w:tcBorders>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NAFLD</w:t>
            </w:r>
          </w:p>
        </w:tc>
        <w:tc>
          <w:tcPr>
            <w:tcW w:w="6960" w:type="dxa"/>
            <w:tcBorders>
              <w:bottom w:val="nil"/>
            </w:tcBorders>
            <w:shd w:val="clear" w:color="auto" w:fill="FFFFFF"/>
            <w:vAlign w:val="center"/>
          </w:tcPr>
          <w:p>
            <w:pPr>
              <w:widowControl/>
              <w:jc w:val="left"/>
              <w:rPr>
                <w:rFonts w:ascii="Times New Roman" w:hAnsi="Times New Roman" w:cs="Times New Roman"/>
                <w:color w:val="000000"/>
                <w:kern w:val="0"/>
                <w:sz w:val="18"/>
                <w:szCs w:val="18"/>
              </w:rPr>
            </w:pPr>
            <w:bookmarkStart w:id="1" w:name="_Hlk119597804"/>
            <w:r>
              <w:rPr>
                <w:rFonts w:ascii="Times New Roman" w:hAnsi="Times New Roman" w:eastAsia="宋体" w:cs="Times New Roman"/>
                <w:color w:val="231F20"/>
                <w:kern w:val="0"/>
                <w:sz w:val="18"/>
                <w:szCs w:val="18"/>
              </w:rPr>
              <w:t>CUR is effective in modulating liver inflammation, improving intestinal integrity, controlling weight gain and serum lipid metabolism, and supporting a healthy structure of gut microbiota.</w:t>
            </w:r>
            <w:bookmarkEnd w:id="1"/>
          </w:p>
        </w:tc>
        <w:tc>
          <w:tcPr>
            <w:tcW w:w="3686" w:type="dxa"/>
            <w:tcBorders>
              <w:bottom w:val="nil"/>
            </w:tcBorders>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tcBorders>
              <w:top w:val="nil"/>
            </w:tcBorders>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Lee.et al 2020</w:t>
            </w:r>
          </w:p>
        </w:tc>
        <w:tc>
          <w:tcPr>
            <w:tcW w:w="1261" w:type="dxa"/>
            <w:tcBorders>
              <w:top w:val="nil"/>
            </w:tcBorders>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NAFLD</w:t>
            </w:r>
          </w:p>
        </w:tc>
        <w:tc>
          <w:tcPr>
            <w:tcW w:w="6960" w:type="dxa"/>
            <w:tcBorders>
              <w:top w:val="nil"/>
            </w:tcBorders>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Cur ameliorates NAFLD and insulin resistance by blocking hepatic lipogenesis and TG accumulation via the regulation of lipogenic and autophagy-related genes and inhibiting cellular apoptosis</w:t>
            </w:r>
          </w:p>
        </w:tc>
        <w:tc>
          <w:tcPr>
            <w:tcW w:w="3686" w:type="dxa"/>
            <w:tcBorders>
              <w:top w:val="nil"/>
            </w:tcBorders>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w:t>
            </w:r>
            <w:r>
              <w:rPr>
                <w:color w:val="231F20"/>
                <w:sz w:val="18"/>
                <w:szCs w:val="18"/>
              </w:rPr>
              <w:t>AMPK</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sz w:val="18"/>
                <w:szCs w:val="18"/>
              </w:rPr>
              <w:t xml:space="preserve"> </w:t>
            </w:r>
            <w:r>
              <w:rPr>
                <w:color w:val="000000" w:themeColor="text1"/>
                <w:sz w:val="18"/>
                <w:szCs w:val="18"/>
                <w14:textFill>
                  <w14:solidFill>
                    <w14:schemeClr w14:val="tx1"/>
                  </w14:solidFill>
                </w14:textFill>
              </w:rPr>
              <w:t>SREBP1,</w:t>
            </w:r>
            <w:r>
              <w:rPr>
                <w:sz w:val="18"/>
                <w:szCs w:val="18"/>
              </w:rPr>
              <w:t xml:space="preserve"> </w:t>
            </w:r>
            <w:r>
              <w:rPr>
                <w:color w:val="000000" w:themeColor="text1"/>
                <w:sz w:val="18"/>
                <w:szCs w:val="18"/>
                <w14:textFill>
                  <w14:solidFill>
                    <w14:schemeClr w14:val="tx1"/>
                  </w14:solidFill>
                </w14:textFill>
              </w:rPr>
              <w:t>PPAR-γ, FAS</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Feng.et al 2019</w:t>
            </w:r>
          </w:p>
        </w:tc>
        <w:tc>
          <w:tcPr>
            <w:tcW w:w="1261"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NAFLD</w:t>
            </w:r>
          </w:p>
        </w:tc>
        <w:tc>
          <w:tcPr>
            <w:tcW w:w="6960" w:type="dxa"/>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Curcumin protects against HFD-induced hepatic steatosis by improving intestinal barrier function and reducing endotoxin and liver TLR4/NF-κB inflammation</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color w:val="131413"/>
                <w:sz w:val="18"/>
                <w:szCs w:val="18"/>
              </w:rPr>
              <w:t xml:space="preserve"> TLR4, NF-κB p65 nuclear translocation</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Gheibi.et al 2019</w:t>
            </w:r>
          </w:p>
        </w:tc>
        <w:tc>
          <w:tcPr>
            <w:tcW w:w="1261"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NAFLD</w:t>
            </w:r>
          </w:p>
        </w:tc>
        <w:tc>
          <w:tcPr>
            <w:tcW w:w="6960" w:type="dxa"/>
            <w:shd w:val="clear" w:color="auto" w:fill="FFFFFF"/>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color w:val="000000"/>
                <w:kern w:val="0"/>
                <w:sz w:val="18"/>
                <w:szCs w:val="18"/>
              </w:rPr>
              <w:t>Cur ameliorates NAFLD-induced apoptosis, fatty degeneration and liver injury via up-regulating anti-oxidative responses by the action of GSH</w:t>
            </w:r>
            <w:r>
              <w:rPr>
                <w:rFonts w:ascii="Times New Roman" w:hAnsi="Times New Roman" w:eastAsia="宋体" w:cs="Times New Roman"/>
                <w:kern w:val="0"/>
                <w:sz w:val="18"/>
                <w:szCs w:val="18"/>
              </w:rPr>
              <w:t>-</w:t>
            </w:r>
            <w:r>
              <w:rPr>
                <w:rFonts w:ascii="Times New Roman" w:hAnsi="Times New Roman" w:eastAsia="宋体" w:cs="Times New Roman"/>
                <w:color w:val="000000"/>
                <w:kern w:val="0"/>
                <w:sz w:val="18"/>
                <w:szCs w:val="18"/>
              </w:rPr>
              <w:t>Px and SOD and elevating TAC level, stabilizing mitochondrial membrane integrity by up-regulating bcl-2 and controlling p53 and caspase III expression/synthesis along with anti-inflammatory response by suppressing the production of iNOS, NO, SGPT, SGOT.</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Upregulation: bcl-2</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color w:val="000000"/>
                <w:sz w:val="18"/>
                <w:szCs w:val="18"/>
              </w:rPr>
              <w:t xml:space="preserve"> p53 and caspase III</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Yan.et al 2018</w:t>
            </w:r>
          </w:p>
        </w:tc>
        <w:tc>
          <w:tcPr>
            <w:tcW w:w="1261"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NAFLD</w:t>
            </w:r>
          </w:p>
        </w:tc>
        <w:tc>
          <w:tcPr>
            <w:tcW w:w="6960" w:type="dxa"/>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Nrf2/FXR/LXRα pathway might synergistically regulate both endogenous and exogenous metabolism in NAFLD mice and LXRα may be a novel therapeutic target of curcumin.</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w:t>
            </w:r>
            <w:r>
              <w:rPr>
                <w:color w:val="000000"/>
                <w:sz w:val="18"/>
                <w:szCs w:val="18"/>
              </w:rPr>
              <w:t>CYP3A, CYP7A, HNF-4α,</w:t>
            </w:r>
            <w:r>
              <w:rPr>
                <w:sz w:val="18"/>
                <w:szCs w:val="18"/>
              </w:rPr>
              <w:t xml:space="preserve"> </w:t>
            </w:r>
            <w:r>
              <w:rPr>
                <w:color w:val="000000"/>
                <w:sz w:val="18"/>
                <w:szCs w:val="18"/>
              </w:rPr>
              <w:t>Nrf2,</w:t>
            </w:r>
            <w:r>
              <w:rPr>
                <w:sz w:val="18"/>
                <w:szCs w:val="18"/>
              </w:rPr>
              <w:t xml:space="preserve"> </w:t>
            </w:r>
            <w:r>
              <w:rPr>
                <w:color w:val="000000"/>
                <w:sz w:val="18"/>
                <w:szCs w:val="18"/>
              </w:rPr>
              <w:t>FXR</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sz w:val="18"/>
                <w:szCs w:val="18"/>
              </w:rPr>
              <w:t xml:space="preserve"> </w:t>
            </w:r>
            <w:r>
              <w:rPr>
                <w:color w:val="000000" w:themeColor="text1"/>
                <w:sz w:val="18"/>
                <w:szCs w:val="18"/>
                <w14:textFill>
                  <w14:solidFill>
                    <w14:schemeClr w14:val="tx1"/>
                  </w14:solidFill>
                </w14:textFill>
              </w:rPr>
              <w:t>CD36,</w:t>
            </w:r>
            <w:r>
              <w:rPr>
                <w:sz w:val="18"/>
                <w:szCs w:val="18"/>
              </w:rPr>
              <w:t xml:space="preserve"> </w:t>
            </w:r>
            <w:r>
              <w:rPr>
                <w:color w:val="000000" w:themeColor="text1"/>
                <w:sz w:val="18"/>
                <w:szCs w:val="18"/>
                <w14:textFill>
                  <w14:solidFill>
                    <w14:schemeClr w14:val="tx1"/>
                  </w14:solidFill>
                </w14:textFill>
              </w:rPr>
              <w:t>SREBP-1c,</w:t>
            </w:r>
            <w:r>
              <w:rPr>
                <w:sz w:val="18"/>
                <w:szCs w:val="18"/>
              </w:rPr>
              <w:t xml:space="preserve"> </w:t>
            </w:r>
            <w:r>
              <w:rPr>
                <w:color w:val="000000" w:themeColor="text1"/>
                <w:sz w:val="18"/>
                <w:szCs w:val="18"/>
                <w14:textFill>
                  <w14:solidFill>
                    <w14:schemeClr w14:val="tx1"/>
                  </w14:solidFill>
                </w14:textFill>
              </w:rPr>
              <w:t>FAS,</w:t>
            </w:r>
            <w:r>
              <w:rPr>
                <w:sz w:val="18"/>
                <w:szCs w:val="18"/>
              </w:rPr>
              <w:t xml:space="preserve"> </w:t>
            </w:r>
            <w:r>
              <w:rPr>
                <w:color w:val="000000" w:themeColor="text1"/>
                <w:sz w:val="18"/>
                <w:szCs w:val="18"/>
                <w14:textFill>
                  <w14:solidFill>
                    <w14:schemeClr w14:val="tx1"/>
                  </w14:solidFill>
                </w14:textFill>
              </w:rPr>
              <w:t>LXRα</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Cunningham.et al 2018</w:t>
            </w:r>
          </w:p>
        </w:tc>
        <w:tc>
          <w:tcPr>
            <w:tcW w:w="1261"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NAFLD</w:t>
            </w:r>
          </w:p>
        </w:tc>
        <w:tc>
          <w:tcPr>
            <w:tcW w:w="6960" w:type="dxa"/>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231F20"/>
                <w:sz w:val="18"/>
                <w:szCs w:val="18"/>
              </w:rPr>
            </w:pPr>
            <w:r>
              <w:rPr>
                <w:rFonts w:ascii="Times New Roman" w:hAnsi="Times New Roman" w:cs="Times New Roman"/>
                <w:color w:val="231F20"/>
                <w:sz w:val="18"/>
                <w:szCs w:val="18"/>
              </w:rPr>
              <w:t xml:space="preserve">Curcumin reduce antioxidant through NRF2, and reduce ACC to promote β-oxidation, </w:t>
            </w:r>
            <w:r>
              <w:rPr>
                <w:rFonts w:ascii="Times New Roman" w:hAnsi="Times New Roman" w:eastAsia="宋体" w:cs="Times New Roman"/>
                <w:color w:val="231F20"/>
                <w:kern w:val="0"/>
                <w:sz w:val="18"/>
                <w:szCs w:val="18"/>
              </w:rPr>
              <w:t>And through the modulation of fibroblast growth factor 21 (FGF-21)</w:t>
            </w:r>
            <w:r>
              <w:rPr>
                <w:rFonts w:ascii="Times New Roman" w:hAnsi="Times New Roman" w:cs="Times New Roman"/>
                <w:color w:val="231F20"/>
                <w:sz w:val="18"/>
                <w:szCs w:val="18"/>
              </w:rPr>
              <w:t xml:space="preserve"> </w:t>
            </w:r>
            <w:r>
              <w:rPr>
                <w:rFonts w:ascii="Times New Roman" w:hAnsi="Times New Roman" w:eastAsia="宋体" w:cs="Times New Roman"/>
                <w:color w:val="231F20"/>
                <w:kern w:val="0"/>
                <w:sz w:val="18"/>
                <w:szCs w:val="18"/>
              </w:rPr>
              <w:t>via facilitation of fatty acid oxidation and gluconeogenesis.</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w:t>
            </w:r>
            <w:r>
              <w:rPr>
                <w:color w:val="000000"/>
                <w:sz w:val="18"/>
                <w:szCs w:val="18"/>
              </w:rPr>
              <w:t>Nrf2,</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color w:val="231F20"/>
                <w:sz w:val="18"/>
                <w:szCs w:val="18"/>
              </w:rPr>
              <w:t xml:space="preserve"> ACC, FAS, CD36, FGF-21</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Li.et al 2018</w:t>
            </w:r>
          </w:p>
        </w:tc>
        <w:tc>
          <w:tcPr>
            <w:tcW w:w="1261"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NAFLD</w:t>
            </w:r>
          </w:p>
        </w:tc>
        <w:tc>
          <w:tcPr>
            <w:tcW w:w="6960" w:type="dxa"/>
            <w:shd w:val="clear" w:color="auto" w:fill="FFFFFF"/>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color w:val="000000"/>
                <w:kern w:val="0"/>
                <w:sz w:val="18"/>
                <w:szCs w:val="18"/>
              </w:rPr>
              <w:t xml:space="preserve">Curcumin significantly reversed </w:t>
            </w:r>
            <w:r>
              <w:rPr>
                <w:rFonts w:ascii="Times New Roman" w:hAnsi="Times New Roman" w:cs="Times New Roman"/>
                <w:color w:val="000000" w:themeColor="text1"/>
                <w:sz w:val="18"/>
                <w:szCs w:val="18"/>
                <w14:textFill>
                  <w14:solidFill>
                    <w14:schemeClr w14:val="tx1"/>
                  </w14:solidFill>
                </w14:textFill>
              </w:rPr>
              <w:t xml:space="preserve">PPAR-α </w:t>
            </w:r>
            <w:r>
              <w:rPr>
                <w:rFonts w:ascii="Times New Roman" w:hAnsi="Times New Roman" w:eastAsia="宋体" w:cs="Times New Roman"/>
                <w:color w:val="000000"/>
                <w:kern w:val="0"/>
                <w:sz w:val="18"/>
                <w:szCs w:val="18"/>
              </w:rPr>
              <w:t>DNA hypermethylation status in the steatosis hepatocyte model.</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Upregulation: PPAR-α</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color w:val="000000"/>
                <w:kern w:val="0"/>
                <w:sz w:val="18"/>
                <w:szCs w:val="18"/>
              </w:rPr>
              <w:t xml:space="preserve"> DNA hypermethylation</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tcBorders>
              <w:bottom w:val="nil"/>
            </w:tcBorders>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Ding.et al 2018</w:t>
            </w:r>
          </w:p>
        </w:tc>
        <w:tc>
          <w:tcPr>
            <w:tcW w:w="1261" w:type="dxa"/>
            <w:tcBorders>
              <w:bottom w:val="nil"/>
            </w:tcBorders>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NAFLD</w:t>
            </w:r>
          </w:p>
        </w:tc>
        <w:tc>
          <w:tcPr>
            <w:tcW w:w="6960" w:type="dxa"/>
            <w:tcBorders>
              <w:bottom w:val="nil"/>
            </w:tcBorders>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Curcumin, as well as allopurinol, notably up-regulated miR-200a expression, accordingly, down-regulated TXNIP and inhibited NLRP3 inflammasome activation in fructose-fed rat livers and fructose-exposed BRL-3 A and HepG2 cells.</w:t>
            </w:r>
          </w:p>
        </w:tc>
        <w:tc>
          <w:tcPr>
            <w:tcW w:w="3686" w:type="dxa"/>
            <w:tcBorders>
              <w:bottom w:val="nil"/>
            </w:tcBorders>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w:t>
            </w:r>
            <w:r>
              <w:rPr>
                <w:color w:val="000000"/>
                <w:kern w:val="0"/>
                <w:sz w:val="18"/>
                <w:szCs w:val="18"/>
              </w:rPr>
              <w:t>miR-200a expression</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color w:val="000000"/>
                <w:kern w:val="0"/>
                <w:sz w:val="18"/>
                <w:szCs w:val="18"/>
              </w:rPr>
              <w:t xml:space="preserve"> NLRP3, ASC, TXNIP</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tcBorders>
              <w:top w:val="nil"/>
              <w:bottom w:val="nil"/>
            </w:tcBorders>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Feng.et al 2018</w:t>
            </w:r>
          </w:p>
        </w:tc>
        <w:tc>
          <w:tcPr>
            <w:tcW w:w="1261" w:type="dxa"/>
            <w:tcBorders>
              <w:top w:val="nil"/>
              <w:bottom w:val="nil"/>
            </w:tcBorders>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NAFLD</w:t>
            </w:r>
          </w:p>
        </w:tc>
        <w:tc>
          <w:tcPr>
            <w:tcW w:w="6960" w:type="dxa"/>
            <w:tcBorders>
              <w:top w:val="nil"/>
              <w:bottom w:val="nil"/>
            </w:tcBorders>
            <w:shd w:val="clear" w:color="auto" w:fill="FFFFFF"/>
            <w:vAlign w:val="center"/>
          </w:tcPr>
          <w:p>
            <w:pPr>
              <w:widowControl/>
              <w:snapToGrid w:val="0"/>
              <w:spacing w:before="100" w:beforeAutospacing="1" w:after="100" w:afterAutospacing="1"/>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Curcumin enhanced effects through improving oxidative stress, hepatic inflammation and lipid metabolism.</w:t>
            </w:r>
          </w:p>
        </w:tc>
        <w:tc>
          <w:tcPr>
            <w:tcW w:w="3686" w:type="dxa"/>
            <w:tcBorders>
              <w:top w:val="nil"/>
              <w:bottom w:val="nil"/>
            </w:tcBorders>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sz w:val="18"/>
                <w:szCs w:val="18"/>
              </w:rPr>
              <w:t xml:space="preserve"> </w:t>
            </w:r>
            <w:r>
              <w:rPr>
                <w:color w:val="000000" w:themeColor="text1"/>
                <w:sz w:val="18"/>
                <w:szCs w:val="18"/>
                <w14:textFill>
                  <w14:solidFill>
                    <w14:schemeClr w14:val="tx1"/>
                  </w14:solidFill>
                </w14:textFill>
              </w:rPr>
              <w:t>SREBP-1c,</w:t>
            </w:r>
            <w:r>
              <w:rPr>
                <w:sz w:val="18"/>
                <w:szCs w:val="18"/>
              </w:rPr>
              <w:t xml:space="preserve"> </w:t>
            </w:r>
            <w:r>
              <w:rPr>
                <w:color w:val="000000" w:themeColor="text1"/>
                <w:sz w:val="18"/>
                <w:szCs w:val="18"/>
                <w14:textFill>
                  <w14:solidFill>
                    <w14:schemeClr w14:val="tx1"/>
                  </w14:solidFill>
                </w14:textFill>
              </w:rPr>
              <w:t>pERK, TNF-α, pJNK</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tcBorders>
              <w:top w:val="nil"/>
            </w:tcBorders>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Mahmoud.et al 2018</w:t>
            </w:r>
          </w:p>
        </w:tc>
        <w:tc>
          <w:tcPr>
            <w:tcW w:w="1261" w:type="dxa"/>
            <w:tcBorders>
              <w:top w:val="nil"/>
            </w:tcBorders>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NAFLD</w:t>
            </w:r>
          </w:p>
        </w:tc>
        <w:tc>
          <w:tcPr>
            <w:tcW w:w="6960" w:type="dxa"/>
            <w:tcBorders>
              <w:top w:val="nil"/>
            </w:tcBorders>
            <w:shd w:val="clear" w:color="auto" w:fill="FFFFFF"/>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Cur inhibited </w:t>
            </w:r>
            <w:r>
              <w:rPr>
                <w:rFonts w:ascii="Times New Roman" w:hAnsi="Times New Roman" w:cs="Times New Roman"/>
                <w:color w:val="131413"/>
                <w:sz w:val="18"/>
                <w:szCs w:val="18"/>
              </w:rPr>
              <w:t xml:space="preserve">NF-κB and reduce </w:t>
            </w:r>
            <w:r>
              <w:rPr>
                <w:rFonts w:ascii="Times New Roman" w:hAnsi="Times New Roman" w:cs="Times New Roman"/>
                <w:color w:val="000000" w:themeColor="text1"/>
                <w:sz w:val="18"/>
                <w:szCs w:val="18"/>
                <w14:textFill>
                  <w14:solidFill>
                    <w14:schemeClr w14:val="tx1"/>
                  </w14:solidFill>
                </w14:textFill>
              </w:rPr>
              <w:t xml:space="preserve">TNF-α to increase </w:t>
            </w:r>
            <w:r>
              <w:rPr>
                <w:rFonts w:ascii="Times New Roman" w:hAnsi="Times New Roman" w:cs="Times New Roman"/>
                <w:color w:val="000000"/>
                <w:sz w:val="18"/>
                <w:szCs w:val="18"/>
              </w:rPr>
              <w:t xml:space="preserve">insulin sensitivity to </w:t>
            </w:r>
            <w:r>
              <w:rPr>
                <w:rFonts w:ascii="Times New Roman" w:hAnsi="Times New Roman" w:eastAsia="宋体" w:cs="Times New Roman"/>
                <w:color w:val="000000"/>
                <w:kern w:val="0"/>
                <w:sz w:val="18"/>
                <w:szCs w:val="18"/>
              </w:rPr>
              <w:t>increase glucose uptake in both visceral and subcutaneous adipocytes.</w:t>
            </w:r>
          </w:p>
        </w:tc>
        <w:tc>
          <w:tcPr>
            <w:tcW w:w="3686" w:type="dxa"/>
            <w:tcBorders>
              <w:top w:val="nil"/>
            </w:tcBorders>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color w:val="131413"/>
                <w:sz w:val="18"/>
                <w:szCs w:val="18"/>
              </w:rPr>
              <w:t xml:space="preserve"> NF-κB,</w:t>
            </w:r>
            <w:r>
              <w:rPr>
                <w:color w:val="000000" w:themeColor="text1"/>
                <w:sz w:val="18"/>
                <w:szCs w:val="18"/>
                <w14:textFill>
                  <w14:solidFill>
                    <w14:schemeClr w14:val="tx1"/>
                  </w14:solidFill>
                </w14:textFill>
              </w:rPr>
              <w:t xml:space="preserve"> TNF-α,</w:t>
            </w:r>
            <w:r>
              <w:rPr>
                <w:sz w:val="18"/>
                <w:szCs w:val="18"/>
              </w:rPr>
              <w:t xml:space="preserve"> </w:t>
            </w:r>
            <w:r>
              <w:rPr>
                <w:color w:val="000000" w:themeColor="text1"/>
                <w:sz w:val="18"/>
                <w:szCs w:val="18"/>
                <w14:textFill>
                  <w14:solidFill>
                    <w14:schemeClr w14:val="tx1"/>
                  </w14:solidFill>
                </w14:textFill>
              </w:rPr>
              <w:t>IL-6</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Liu.et al 2017</w:t>
            </w:r>
          </w:p>
        </w:tc>
        <w:tc>
          <w:tcPr>
            <w:tcW w:w="1261"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NAFLD</w:t>
            </w:r>
          </w:p>
        </w:tc>
        <w:tc>
          <w:tcPr>
            <w:tcW w:w="6960" w:type="dxa"/>
            <w:shd w:val="clear" w:color="auto" w:fill="FFFFFF"/>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color w:val="231F20"/>
                <w:kern w:val="0"/>
                <w:sz w:val="18"/>
                <w:szCs w:val="18"/>
              </w:rPr>
              <w:t>Cur suppressed the HFD-induced upregulated expression of CD36 and hepatic peroxisome proliferator activated receptor-</w:t>
            </w:r>
            <w:r>
              <w:rPr>
                <w:rFonts w:ascii="Cambria Math" w:hAnsi="Cambria Math" w:eastAsia="宋体" w:cs="Cambria Math"/>
                <w:color w:val="231F20"/>
                <w:kern w:val="0"/>
                <w:sz w:val="18"/>
                <w:szCs w:val="18"/>
              </w:rPr>
              <w:t>𝛾</w:t>
            </w:r>
            <w:r>
              <w:rPr>
                <w:rFonts w:ascii="Times New Roman" w:hAnsi="Times New Roman" w:eastAsia="宋体" w:cs="Times New Roman"/>
                <w:color w:val="231F20"/>
                <w:kern w:val="0"/>
                <w:sz w:val="18"/>
                <w:szCs w:val="18"/>
              </w:rPr>
              <w:t xml:space="preserve"> (PPAR-</w:t>
            </w:r>
            <w:r>
              <w:rPr>
                <w:rFonts w:ascii="Cambria Math" w:hAnsi="Cambria Math" w:eastAsia="宋体" w:cs="Cambria Math"/>
                <w:color w:val="231F20"/>
                <w:kern w:val="0"/>
                <w:sz w:val="18"/>
                <w:szCs w:val="18"/>
              </w:rPr>
              <w:t>𝛾</w:t>
            </w:r>
            <w:r>
              <w:rPr>
                <w:rFonts w:ascii="Times New Roman" w:hAnsi="Times New Roman" w:eastAsia="宋体" w:cs="Times New Roman"/>
                <w:color w:val="231F20"/>
                <w:kern w:val="0"/>
                <w:sz w:val="18"/>
                <w:szCs w:val="18"/>
              </w:rPr>
              <w:t>), a positive regulator of CD36.</w:t>
            </w:r>
            <w:r>
              <w:rPr>
                <w:rFonts w:ascii="Times New Roman" w:hAnsi="Times New Roman" w:cs="Times New Roman"/>
                <w:color w:val="231F20"/>
                <w:sz w:val="18"/>
                <w:szCs w:val="18"/>
              </w:rPr>
              <w:t xml:space="preserve"> </w:t>
            </w:r>
            <w:r>
              <w:rPr>
                <w:rFonts w:ascii="Times New Roman" w:hAnsi="Times New Roman" w:eastAsia="宋体" w:cs="Times New Roman"/>
                <w:color w:val="231F20"/>
                <w:kern w:val="0"/>
                <w:sz w:val="18"/>
                <w:szCs w:val="18"/>
              </w:rPr>
              <w:t>Cur dramatically activated cAMP response element-binding (CREB) protein, which negatively controls hepatic PPAR-</w:t>
            </w:r>
            <w:r>
              <w:rPr>
                <w:rFonts w:ascii="Cambria Math" w:hAnsi="Cambria Math" w:eastAsia="宋体" w:cs="Cambria Math"/>
                <w:color w:val="231F20"/>
                <w:kern w:val="0"/>
                <w:sz w:val="18"/>
                <w:szCs w:val="18"/>
              </w:rPr>
              <w:t>𝛾</w:t>
            </w:r>
            <w:r>
              <w:rPr>
                <w:rFonts w:ascii="Times New Roman" w:hAnsi="Times New Roman" w:eastAsia="宋体" w:cs="Times New Roman"/>
                <w:color w:val="231F20"/>
                <w:kern w:val="0"/>
                <w:sz w:val="18"/>
                <w:szCs w:val="18"/>
              </w:rPr>
              <w:t xml:space="preserve"> expression, via the activation of CREB inhibition of the hepatic PPAR-</w:t>
            </w:r>
            <w:r>
              <w:rPr>
                <w:rFonts w:ascii="Cambria Math" w:hAnsi="Cambria Math" w:eastAsia="宋体" w:cs="Cambria Math"/>
                <w:color w:val="231F20"/>
                <w:kern w:val="0"/>
                <w:sz w:val="18"/>
                <w:szCs w:val="18"/>
              </w:rPr>
              <w:t>𝛾</w:t>
            </w:r>
            <w:r>
              <w:rPr>
                <w:rFonts w:ascii="Times New Roman" w:hAnsi="Times New Roman" w:eastAsia="宋体" w:cs="Times New Roman"/>
                <w:color w:val="231F20"/>
                <w:kern w:val="0"/>
                <w:sz w:val="18"/>
                <w:szCs w:val="18"/>
              </w:rPr>
              <w:t>/CD36 pathway.</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Upregulation: PPAR-α, CPT1</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color w:val="231F20"/>
                <w:kern w:val="0"/>
                <w:sz w:val="18"/>
                <w:szCs w:val="18"/>
              </w:rPr>
              <w:t xml:space="preserve"> </w:t>
            </w:r>
            <w:r>
              <w:rPr>
                <w:color w:val="000000" w:themeColor="text1"/>
                <w:sz w:val="18"/>
                <w:szCs w:val="18"/>
                <w14:textFill>
                  <w14:solidFill>
                    <w14:schemeClr w14:val="tx1"/>
                  </w14:solidFill>
                </w14:textFill>
              </w:rPr>
              <w:t>SREBP-1c</w:t>
            </w:r>
            <w:r>
              <w:rPr>
                <w:color w:val="231F20"/>
                <w:kern w:val="0"/>
                <w:sz w:val="18"/>
                <w:szCs w:val="18"/>
              </w:rPr>
              <w:t xml:space="preserve">, ACC, FAS, CD36, </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Kim.et al 2016</w:t>
            </w:r>
          </w:p>
        </w:tc>
        <w:tc>
          <w:tcPr>
            <w:tcW w:w="1261"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NAFLD</w:t>
            </w:r>
          </w:p>
        </w:tc>
        <w:tc>
          <w:tcPr>
            <w:tcW w:w="6960" w:type="dxa"/>
            <w:shd w:val="clear" w:color="auto" w:fill="FFFFFF"/>
            <w:vAlign w:val="center"/>
          </w:tcPr>
          <w:p>
            <w:pPr>
              <w:widowControl/>
              <w:jc w:val="left"/>
              <w:rPr>
                <w:rFonts w:ascii="Times New Roman" w:hAnsi="Times New Roman" w:cs="Times New Roman"/>
                <w:color w:val="000000"/>
                <w:kern w:val="0"/>
                <w:sz w:val="18"/>
                <w:szCs w:val="18"/>
              </w:rPr>
            </w:pPr>
            <w:r>
              <w:rPr>
                <w:rFonts w:ascii="Times New Roman" w:hAnsi="Times New Roman" w:eastAsia="宋体" w:cs="Times New Roman"/>
                <w:color w:val="000000"/>
                <w:kern w:val="0"/>
                <w:sz w:val="18"/>
                <w:szCs w:val="18"/>
              </w:rPr>
              <w:t>Cur through AMPK shutting down the anabolic pathway and promoting catabolism by upregulating PPARα and downregulating the activity of key lipid metabolic enzymes, such as, SREBP-1c, C/EBPα, and FAS. Consequently, curcumin suppressed fat accumulation in the liver and reduce formation of a fatty liver.</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Upregulation: AMPK, PPARα</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 SREBP1,</w:t>
            </w:r>
            <w:r>
              <w:rPr>
                <w:sz w:val="18"/>
                <w:szCs w:val="18"/>
              </w:rPr>
              <w:t xml:space="preserve"> </w:t>
            </w:r>
            <w:r>
              <w:rPr>
                <w:color w:val="000000" w:themeColor="text1"/>
                <w:sz w:val="18"/>
                <w:szCs w:val="18"/>
                <w14:textFill>
                  <w14:solidFill>
                    <w14:schemeClr w14:val="tx1"/>
                  </w14:solidFill>
                </w14:textFill>
              </w:rPr>
              <w:t>PPAR-γ, FAS,</w:t>
            </w:r>
            <w:r>
              <w:rPr>
                <w:color w:val="000000"/>
                <w:sz w:val="18"/>
                <w:szCs w:val="18"/>
              </w:rPr>
              <w:t xml:space="preserve"> C/EBP</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Wang.et al 2013</w:t>
            </w:r>
          </w:p>
        </w:tc>
        <w:tc>
          <w:tcPr>
            <w:tcW w:w="1261"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NAFLD</w:t>
            </w:r>
          </w:p>
        </w:tc>
        <w:tc>
          <w:tcPr>
            <w:tcW w:w="6960" w:type="dxa"/>
            <w:shd w:val="clear" w:color="auto" w:fill="FFFFFF"/>
            <w:vAlign w:val="center"/>
          </w:tcPr>
          <w:p>
            <w:pPr>
              <w:widowControl/>
              <w:jc w:val="left"/>
              <w:rPr>
                <w:rFonts w:ascii="Times New Roman" w:hAnsi="Times New Roman" w:cs="Times New Roman"/>
                <w:color w:val="000000"/>
                <w:kern w:val="0"/>
                <w:sz w:val="18"/>
                <w:szCs w:val="18"/>
              </w:rPr>
            </w:pPr>
            <w:r>
              <w:rPr>
                <w:rFonts w:ascii="Times New Roman" w:hAnsi="Times New Roman" w:eastAsia="宋体" w:cs="Times New Roman"/>
                <w:color w:val="231F20"/>
                <w:kern w:val="0"/>
                <w:sz w:val="18"/>
                <w:szCs w:val="18"/>
              </w:rPr>
              <w:t>Curcumin may inhibit the inflammatory response in the ‘second hit’ stage through the PPARγ/NF-κB pathway to suppressed TNF-alpha and IL-6, to regulating adipokines</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Downregulation: PPAR-γ, </w:t>
            </w:r>
            <w:r>
              <w:rPr>
                <w:color w:val="131413"/>
                <w:sz w:val="18"/>
                <w:szCs w:val="18"/>
              </w:rPr>
              <w:t>NF-Κb,</w:t>
            </w:r>
            <w:r>
              <w:rPr>
                <w:color w:val="231F20"/>
                <w:sz w:val="18"/>
                <w:szCs w:val="18"/>
              </w:rPr>
              <w:t xml:space="preserve"> TNF-α and IL-6</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Kuo.et al 2012</w:t>
            </w:r>
          </w:p>
        </w:tc>
        <w:tc>
          <w:tcPr>
            <w:tcW w:w="1261"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color w:val="000000"/>
                <w:kern w:val="0"/>
                <w:sz w:val="18"/>
                <w:szCs w:val="18"/>
              </w:rPr>
            </w:pPr>
            <w:r>
              <w:rPr>
                <w:rFonts w:ascii="Times New Roman" w:hAnsi="Times New Roman" w:cs="Times New Roman"/>
                <w:sz w:val="18"/>
                <w:szCs w:val="18"/>
              </w:rPr>
              <w:t>NAFLD</w:t>
            </w:r>
          </w:p>
        </w:tc>
        <w:tc>
          <w:tcPr>
            <w:tcW w:w="6960" w:type="dxa"/>
            <w:shd w:val="clear" w:color="auto" w:fill="FFFFFF"/>
            <w:vAlign w:val="center"/>
          </w:tcPr>
          <w:p>
            <w:pPr>
              <w:widowControl/>
              <w:jc w:val="left"/>
              <w:rPr>
                <w:rFonts w:ascii="Times New Roman" w:hAnsi="Times New Roman" w:cs="Times New Roman"/>
                <w:color w:val="000000"/>
                <w:kern w:val="0"/>
                <w:sz w:val="18"/>
                <w:szCs w:val="18"/>
              </w:rPr>
            </w:pPr>
            <w:r>
              <w:rPr>
                <w:rFonts w:ascii="Times New Roman" w:hAnsi="Times New Roman" w:eastAsia="宋体" w:cs="Times New Roman"/>
                <w:color w:val="000000"/>
                <w:kern w:val="0"/>
                <w:sz w:val="18"/>
                <w:szCs w:val="18"/>
              </w:rPr>
              <w:t>curcumin activates STAT3 signaling and inhibits hepatic lipogenesis.</w:t>
            </w:r>
            <w:r>
              <w:rPr>
                <w:rFonts w:ascii="Times New Roman" w:hAnsi="Times New Roman" w:cs="Times New Roman"/>
                <w:color w:val="000000"/>
                <w:sz w:val="18"/>
                <w:szCs w:val="18"/>
              </w:rPr>
              <w:t xml:space="preserve"> </w:t>
            </w:r>
            <w:r>
              <w:rPr>
                <w:rFonts w:ascii="Times New Roman" w:hAnsi="Times New Roman" w:eastAsia="宋体" w:cs="Times New Roman"/>
                <w:color w:val="000000"/>
                <w:kern w:val="0"/>
                <w:sz w:val="18"/>
                <w:szCs w:val="18"/>
              </w:rPr>
              <w:t>the anti-inflammatory effect of curcumin is an integral part of the improvement of mitochondrial function in hepatic steatosis.</w:t>
            </w:r>
            <w:r>
              <w:rPr>
                <w:rFonts w:ascii="Times New Roman" w:hAnsi="Times New Roman" w:cs="Times New Roman"/>
                <w:color w:val="000000"/>
                <w:sz w:val="18"/>
                <w:szCs w:val="18"/>
              </w:rPr>
              <w:t xml:space="preserve"> Reversed mitochondrial dysfunction.</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Upregulation:  STAT3</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color w:val="000000"/>
                <w:sz w:val="18"/>
                <w:szCs w:val="18"/>
              </w:rPr>
              <w:t xml:space="preserve"> SREBP-1c, FAS, ACC,</w:t>
            </w:r>
            <w:r>
              <w:rPr>
                <w:sz w:val="18"/>
                <w:szCs w:val="18"/>
              </w:rPr>
              <w:t xml:space="preserve"> </w:t>
            </w:r>
            <w:r>
              <w:rPr>
                <w:color w:val="000000"/>
                <w:sz w:val="18"/>
                <w:szCs w:val="18"/>
              </w:rPr>
              <w:t>NF-κB</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sz w:val="18"/>
                <w:szCs w:val="18"/>
              </w:rPr>
            </w:pPr>
            <w:r>
              <w:rPr>
                <w:rFonts w:ascii="Times New Roman" w:hAnsi="Times New Roman" w:cs="Times New Roman"/>
                <w:sz w:val="18"/>
                <w:szCs w:val="18"/>
              </w:rPr>
              <w:t>Elswefy.et al 2020</w:t>
            </w:r>
          </w:p>
        </w:tc>
        <w:tc>
          <w:tcPr>
            <w:tcW w:w="1261" w:type="dxa"/>
            <w:shd w:val="clear" w:color="auto" w:fill="FFFFFF"/>
            <w:vAlign w:val="center"/>
          </w:tcPr>
          <w:p>
            <w:pPr>
              <w:widowControl/>
              <w:snapToGrid w:val="0"/>
              <w:spacing w:before="100" w:beforeAutospacing="1" w:after="100" w:afterAutospacing="1"/>
              <w:ind w:left="180" w:hanging="180" w:hanging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Liver fibrosis</w:t>
            </w:r>
          </w:p>
        </w:tc>
        <w:tc>
          <w:tcPr>
            <w:tcW w:w="6960" w:type="dxa"/>
            <w:shd w:val="clear" w:color="auto" w:fill="FFFFFF"/>
            <w:vAlign w:val="center"/>
          </w:tcPr>
          <w:p>
            <w:pPr>
              <w:widowControl/>
              <w:jc w:val="left"/>
              <w:rPr>
                <w:rFonts w:ascii="Times New Roman" w:hAnsi="Times New Roman" w:cs="Times New Roman"/>
                <w:color w:val="000000"/>
                <w:kern w:val="0"/>
                <w:sz w:val="18"/>
                <w:szCs w:val="18"/>
              </w:rPr>
            </w:pPr>
            <w:r>
              <w:rPr>
                <w:rFonts w:ascii="Times New Roman" w:hAnsi="Times New Roman" w:eastAsia="宋体" w:cs="Times New Roman"/>
                <w:color w:val="000000"/>
                <w:kern w:val="0"/>
                <w:sz w:val="18"/>
                <w:szCs w:val="18"/>
              </w:rPr>
              <w:t>Curcumin mediated through their anti-inflammatory and anti-apoptotic properties.</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w:t>
            </w:r>
            <w:r>
              <w:rPr>
                <w:color w:val="000000"/>
                <w:sz w:val="18"/>
                <w:szCs w:val="18"/>
              </w:rPr>
              <w:t>Bcl2,</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color w:val="000000"/>
                <w:sz w:val="18"/>
                <w:szCs w:val="18"/>
              </w:rPr>
              <w:t xml:space="preserve"> caspase-3</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tcBorders>
              <w:bottom w:val="nil"/>
            </w:tcBorders>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sz w:val="18"/>
                <w:szCs w:val="18"/>
              </w:rPr>
            </w:pPr>
            <w:r>
              <w:rPr>
                <w:rFonts w:ascii="Times New Roman" w:hAnsi="Times New Roman" w:cs="Times New Roman"/>
                <w:sz w:val="18"/>
                <w:szCs w:val="18"/>
              </w:rPr>
              <w:t>Gowifel.et al 2020</w:t>
            </w:r>
          </w:p>
        </w:tc>
        <w:tc>
          <w:tcPr>
            <w:tcW w:w="1261" w:type="dxa"/>
            <w:tcBorders>
              <w:bottom w:val="nil"/>
            </w:tcBorders>
            <w:shd w:val="clear" w:color="auto" w:fill="FFFFFF"/>
            <w:vAlign w:val="center"/>
          </w:tcPr>
          <w:p>
            <w:pPr>
              <w:widowControl/>
              <w:snapToGrid w:val="0"/>
              <w:spacing w:before="100" w:beforeAutospacing="1" w:after="100" w:afterAutospacing="1"/>
              <w:ind w:left="180" w:hanging="180" w:hanging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Liver fibrosis</w:t>
            </w:r>
          </w:p>
        </w:tc>
        <w:tc>
          <w:tcPr>
            <w:tcW w:w="6960" w:type="dxa"/>
            <w:tcBorders>
              <w:bottom w:val="nil"/>
            </w:tcBorders>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Curcumin exerted a significant upregulation of Nrf2/HO-1 gene expressions along with significant downregulation of NF-ĸB, TGF-β, and phospho-Smad3 protein expressions, as well as α-SMA and collagen-1 gene expressions.</w:t>
            </w:r>
            <w:r>
              <w:rPr>
                <w:rFonts w:ascii="Times New Roman" w:hAnsi="Times New Roman" w:cs="Times New Roman"/>
                <w:color w:val="000000"/>
                <w:sz w:val="18"/>
                <w:szCs w:val="18"/>
              </w:rPr>
              <w:t xml:space="preserve"> modulate Nrf2/HO-1, NF-κB, and TGF-β/Smad3 signaling pathways.</w:t>
            </w:r>
          </w:p>
        </w:tc>
        <w:tc>
          <w:tcPr>
            <w:tcW w:w="3686" w:type="dxa"/>
            <w:tcBorders>
              <w:bottom w:val="nil"/>
            </w:tcBorders>
            <w:shd w:val="clear" w:color="auto" w:fill="FFFFFF"/>
            <w:vAlign w:val="center"/>
          </w:tcPr>
          <w:p>
            <w:pPr>
              <w:pStyle w:val="10"/>
              <w:spacing w:line="276" w:lineRule="auto"/>
              <w:rPr>
                <w:color w:val="000000"/>
                <w:sz w:val="18"/>
                <w:szCs w:val="18"/>
              </w:rPr>
            </w:pPr>
            <w:r>
              <w:rPr>
                <w:color w:val="000000" w:themeColor="text1"/>
                <w:sz w:val="18"/>
                <w:szCs w:val="18"/>
                <w14:textFill>
                  <w14:solidFill>
                    <w14:schemeClr w14:val="tx1"/>
                  </w14:solidFill>
                </w14:textFill>
              </w:rPr>
              <w:t xml:space="preserve">Upregulation: </w:t>
            </w:r>
            <w:r>
              <w:rPr>
                <w:color w:val="000000"/>
                <w:sz w:val="18"/>
                <w:szCs w:val="18"/>
              </w:rPr>
              <w:t xml:space="preserve">Nrf2, HO-1, </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color w:val="000000"/>
                <w:sz w:val="18"/>
                <w:szCs w:val="18"/>
              </w:rPr>
              <w:t xml:space="preserve"> NF-κB, TGF-</w:t>
            </w:r>
            <w:r>
              <w:rPr>
                <w:rFonts w:hint="eastAsia"/>
                <w:color w:val="000000"/>
                <w:sz w:val="18"/>
                <w:szCs w:val="18"/>
              </w:rPr>
              <w:t>β,</w:t>
            </w:r>
            <w:r>
              <w:rPr>
                <w:color w:val="000000"/>
                <w:sz w:val="18"/>
                <w:szCs w:val="18"/>
              </w:rPr>
              <w:t xml:space="preserve"> iNOS</w:t>
            </w:r>
            <w:r>
              <w:rPr>
                <w:rFonts w:hint="eastAsia"/>
                <w:color w:val="000000"/>
                <w:sz w:val="18"/>
                <w:szCs w:val="18"/>
              </w:rPr>
              <w:t>,</w:t>
            </w:r>
            <w:r>
              <w:rPr>
                <w:color w:val="000000"/>
                <w:sz w:val="18"/>
                <w:szCs w:val="18"/>
              </w:rPr>
              <w:t xml:space="preserve"> Smad3</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tcBorders>
              <w:top w:val="nil"/>
            </w:tcBorders>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sz w:val="18"/>
                <w:szCs w:val="18"/>
              </w:rPr>
            </w:pPr>
            <w:r>
              <w:rPr>
                <w:rFonts w:ascii="Times New Roman" w:hAnsi="Times New Roman" w:cs="Times New Roman"/>
                <w:sz w:val="18"/>
                <w:szCs w:val="18"/>
              </w:rPr>
              <w:t>Kong.et al 2020</w:t>
            </w:r>
          </w:p>
        </w:tc>
        <w:tc>
          <w:tcPr>
            <w:tcW w:w="1261" w:type="dxa"/>
            <w:tcBorders>
              <w:top w:val="nil"/>
            </w:tcBorders>
            <w:shd w:val="clear" w:color="auto" w:fill="FFFFFF"/>
            <w:vAlign w:val="center"/>
          </w:tcPr>
          <w:p>
            <w:pPr>
              <w:widowControl/>
              <w:snapToGrid w:val="0"/>
              <w:spacing w:before="100" w:beforeAutospacing="1" w:after="100" w:afterAutospacing="1"/>
              <w:ind w:left="180" w:hanging="180" w:hanging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Liver fibrosis</w:t>
            </w:r>
          </w:p>
        </w:tc>
        <w:tc>
          <w:tcPr>
            <w:tcW w:w="6960" w:type="dxa"/>
            <w:tcBorders>
              <w:top w:val="nil"/>
            </w:tcBorders>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Curcumin inhibits levels of reactive oxygen species (ROS) and oxidative stress in hepatocytes by activating PPAR-α, and regulates upstream signaling pathways of autophagy AMPK and PI3K/ AKT/mTOR, leading to an increase of the autophagic flow in hepatocytes. curcumin effectively reduced the occurrence of EMT in hepatocytes via blocking the TTC3/SMURF2/ SMADs axis and inhibited production of the extracellular matrix (ECM) by activating autophagy</w:t>
            </w:r>
          </w:p>
        </w:tc>
        <w:tc>
          <w:tcPr>
            <w:tcW w:w="3686" w:type="dxa"/>
            <w:tcBorders>
              <w:top w:val="nil"/>
            </w:tcBorders>
            <w:shd w:val="clear" w:color="auto" w:fill="FFFFFF"/>
            <w:vAlign w:val="center"/>
          </w:tcPr>
          <w:p>
            <w:pPr>
              <w:pStyle w:val="10"/>
              <w:spacing w:line="276" w:lineRule="auto"/>
              <w:rPr>
                <w:color w:val="000000"/>
                <w:sz w:val="18"/>
                <w:szCs w:val="18"/>
              </w:rPr>
            </w:pPr>
            <w:r>
              <w:rPr>
                <w:color w:val="000000" w:themeColor="text1"/>
                <w:sz w:val="18"/>
                <w:szCs w:val="18"/>
                <w14:textFill>
                  <w14:solidFill>
                    <w14:schemeClr w14:val="tx1"/>
                  </w14:solidFill>
                </w14:textFill>
              </w:rPr>
              <w:t xml:space="preserve">Upregulation: </w:t>
            </w:r>
            <w:r>
              <w:rPr>
                <w:color w:val="000000"/>
                <w:sz w:val="18"/>
                <w:szCs w:val="18"/>
              </w:rPr>
              <w:t>LC3,</w:t>
            </w:r>
            <w:r>
              <w:rPr>
                <w:color w:val="000000"/>
                <w:kern w:val="0"/>
                <w:sz w:val="18"/>
                <w:szCs w:val="18"/>
              </w:rPr>
              <w:t xml:space="preserve"> PPAR-α, AMPK,</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color w:val="000000"/>
                <w:sz w:val="18"/>
                <w:szCs w:val="18"/>
              </w:rPr>
              <w:t xml:space="preserve"> caspase-3</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sz w:val="18"/>
                <w:szCs w:val="18"/>
              </w:rPr>
            </w:pPr>
            <w:r>
              <w:rPr>
                <w:rFonts w:ascii="Times New Roman" w:hAnsi="Times New Roman" w:cs="Times New Roman"/>
                <w:sz w:val="18"/>
                <w:szCs w:val="18"/>
              </w:rPr>
              <w:t>Aquino.et al 2020</w:t>
            </w:r>
          </w:p>
        </w:tc>
        <w:tc>
          <w:tcPr>
            <w:tcW w:w="1261" w:type="dxa"/>
            <w:shd w:val="clear" w:color="auto" w:fill="FFFFFF"/>
            <w:vAlign w:val="center"/>
          </w:tcPr>
          <w:p>
            <w:pPr>
              <w:widowControl/>
              <w:snapToGrid w:val="0"/>
              <w:spacing w:before="100" w:beforeAutospacing="1" w:after="100" w:afterAutospacing="1"/>
              <w:ind w:left="180" w:hanging="180" w:hanging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Liver fibrosis</w:t>
            </w:r>
          </w:p>
        </w:tc>
        <w:tc>
          <w:tcPr>
            <w:tcW w:w="6960" w:type="dxa"/>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Curcumin decreased JNK and Smad3 phosphorylation. Furthermore, curcumin treatment decreased α-SMA and Smad3 protein and mRNA levels. Curcumin normalized GSH, and NF-κB, JNK-Smad3, and TGF-β -Smad3 pathways, leading to a decrement in activated hepatic stellate cells, thereby producing its antifibrotic effects by</w:t>
            </w:r>
            <w:r>
              <w:rPr>
                <w:rFonts w:ascii="Times New Roman" w:hAnsi="Times New Roman" w:eastAsia="宋体" w:cs="Times New Roman"/>
                <w:color w:val="000000"/>
                <w:kern w:val="0"/>
                <w:sz w:val="16"/>
                <w:szCs w:val="16"/>
              </w:rPr>
              <w:t xml:space="preserve"> </w:t>
            </w:r>
            <w:r>
              <w:rPr>
                <w:rFonts w:ascii="Times New Roman" w:hAnsi="Times New Roman" w:cs="Times New Roman"/>
                <w:color w:val="000000"/>
                <w:kern w:val="0"/>
                <w:sz w:val="18"/>
                <w:szCs w:val="18"/>
              </w:rPr>
              <w:t>downregulating canonical and non-canonical Smad pathways, restoring Smad 7 levels, blocking NF-κB proinflammatory cytokine production, and decreasing the number of activated HSCs in the hepatic parenchyma</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w:t>
            </w:r>
          </w:p>
          <w:p>
            <w:pPr>
              <w:pStyle w:val="10"/>
              <w:spacing w:line="276" w:lineRule="auto"/>
              <w:rPr>
                <w:color w:val="000000"/>
                <w:sz w:val="18"/>
                <w:szCs w:val="18"/>
              </w:rPr>
            </w:pPr>
            <w:r>
              <w:rPr>
                <w:color w:val="000000" w:themeColor="text1"/>
                <w:sz w:val="18"/>
                <w:szCs w:val="18"/>
                <w14:textFill>
                  <w14:solidFill>
                    <w14:schemeClr w14:val="tx1"/>
                  </w14:solidFill>
                </w14:textFill>
              </w:rPr>
              <w:t>Downregulation:</w:t>
            </w:r>
            <w:r>
              <w:rPr>
                <w:color w:val="000000"/>
                <w:sz w:val="18"/>
                <w:szCs w:val="18"/>
              </w:rPr>
              <w:t xml:space="preserve"> </w:t>
            </w:r>
            <w:r>
              <w:rPr>
                <w:color w:val="000000"/>
                <w:kern w:val="0"/>
                <w:sz w:val="18"/>
                <w:szCs w:val="18"/>
              </w:rPr>
              <w:t>JNK, Smad3,</w:t>
            </w:r>
            <w:r>
              <w:rPr>
                <w:color w:val="000000"/>
                <w:sz w:val="18"/>
                <w:szCs w:val="18"/>
              </w:rPr>
              <w:t xml:space="preserve"> NF-κB</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sz w:val="18"/>
                <w:szCs w:val="18"/>
              </w:rPr>
            </w:pPr>
            <w:r>
              <w:rPr>
                <w:rFonts w:ascii="Times New Roman" w:hAnsi="Times New Roman" w:cs="Times New Roman"/>
                <w:sz w:val="18"/>
                <w:szCs w:val="18"/>
              </w:rPr>
              <w:t>Khodarahmi.et al 2020</w:t>
            </w:r>
          </w:p>
        </w:tc>
        <w:tc>
          <w:tcPr>
            <w:tcW w:w="1261" w:type="dxa"/>
            <w:shd w:val="clear" w:color="auto" w:fill="FFFFFF"/>
            <w:vAlign w:val="center"/>
          </w:tcPr>
          <w:p>
            <w:pPr>
              <w:widowControl/>
              <w:snapToGrid w:val="0"/>
              <w:spacing w:before="100" w:beforeAutospacing="1" w:after="100" w:afterAutospacing="1"/>
              <w:ind w:left="180" w:hanging="180" w:hanging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Liver fibrosis</w:t>
            </w:r>
          </w:p>
        </w:tc>
        <w:tc>
          <w:tcPr>
            <w:tcW w:w="6960" w:type="dxa"/>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Demonstrated that increment of antioxidant defense of BDL rats by curcumin treatment correlates well with increase in PON1 activities via increase in PON1 gene and expression of protein and the regulatory genes contributed to the PON1gene in liver fibrosis.</w:t>
            </w:r>
          </w:p>
        </w:tc>
        <w:tc>
          <w:tcPr>
            <w:tcW w:w="3686" w:type="dxa"/>
            <w:shd w:val="clear" w:color="auto" w:fill="FFFFFF"/>
            <w:vAlign w:val="center"/>
          </w:tcPr>
          <w:p>
            <w:pPr>
              <w:pStyle w:val="10"/>
              <w:spacing w:line="276" w:lineRule="auto"/>
              <w:rPr>
                <w:color w:val="000000"/>
                <w:kern w:val="0"/>
                <w:sz w:val="18"/>
                <w:szCs w:val="18"/>
              </w:rPr>
            </w:pPr>
            <w:r>
              <w:rPr>
                <w:color w:val="000000" w:themeColor="text1"/>
                <w:sz w:val="18"/>
                <w:szCs w:val="18"/>
                <w14:textFill>
                  <w14:solidFill>
                    <w14:schemeClr w14:val="tx1"/>
                  </w14:solidFill>
                </w14:textFill>
              </w:rPr>
              <w:t>Upregulation: PON1 protein</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color w:val="000000"/>
                <w:sz w:val="18"/>
                <w:szCs w:val="18"/>
              </w:rPr>
              <w:t xml:space="preserve"> </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sz w:val="18"/>
                <w:szCs w:val="18"/>
              </w:rPr>
            </w:pPr>
            <w:r>
              <w:rPr>
                <w:rFonts w:ascii="Times New Roman" w:hAnsi="Times New Roman" w:cs="Times New Roman"/>
                <w:sz w:val="18"/>
                <w:szCs w:val="18"/>
              </w:rPr>
              <w:t>Abo-Zaid.et al 2020</w:t>
            </w:r>
          </w:p>
        </w:tc>
        <w:tc>
          <w:tcPr>
            <w:tcW w:w="1261" w:type="dxa"/>
            <w:shd w:val="clear" w:color="auto" w:fill="FFFFFF"/>
            <w:vAlign w:val="center"/>
          </w:tcPr>
          <w:p>
            <w:pPr>
              <w:widowControl/>
              <w:snapToGrid w:val="0"/>
              <w:spacing w:before="100" w:beforeAutospacing="1" w:after="100" w:afterAutospacing="1"/>
              <w:ind w:left="180" w:hanging="180" w:hanging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Liver fibrosis</w:t>
            </w:r>
          </w:p>
        </w:tc>
        <w:tc>
          <w:tcPr>
            <w:tcW w:w="6960" w:type="dxa"/>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It enhanced the immune system response against fibrogenesis by suppressing pro-inflammatory cytokines such as TNF-α, IL-6, and TGF-β.</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t xml:space="preserve"> </w:t>
            </w:r>
            <w:r>
              <w:rPr>
                <w:color w:val="000000" w:themeColor="text1"/>
                <w:sz w:val="18"/>
                <w:szCs w:val="18"/>
                <w14:textFill>
                  <w14:solidFill>
                    <w14:schemeClr w14:val="tx1"/>
                  </w14:solidFill>
                </w14:textFill>
              </w:rPr>
              <w:t>TNF-α</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 IL-6</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 TGF-β</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sz w:val="18"/>
                <w:szCs w:val="18"/>
              </w:rPr>
            </w:pPr>
            <w:r>
              <w:rPr>
                <w:rFonts w:ascii="Times New Roman" w:hAnsi="Times New Roman" w:cs="Times New Roman"/>
                <w:sz w:val="18"/>
                <w:szCs w:val="18"/>
              </w:rPr>
              <w:t>Eshaghian.et al 2018</w:t>
            </w:r>
          </w:p>
        </w:tc>
        <w:tc>
          <w:tcPr>
            <w:tcW w:w="1261" w:type="dxa"/>
            <w:shd w:val="clear" w:color="auto" w:fill="FFFFFF"/>
            <w:vAlign w:val="center"/>
          </w:tcPr>
          <w:p>
            <w:pPr>
              <w:widowControl/>
              <w:snapToGrid w:val="0"/>
              <w:spacing w:before="100" w:beforeAutospacing="1" w:after="100" w:afterAutospacing="1"/>
              <w:ind w:left="180" w:hanging="180" w:hanging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Liver fibrosis</w:t>
            </w:r>
          </w:p>
        </w:tc>
        <w:tc>
          <w:tcPr>
            <w:tcW w:w="6960" w:type="dxa"/>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curcumin treatment hepatic IR through down-regulation of SOCS3 and STAT3 and also up-regulation of IRS1. Furthermore, curcumin reduced inflammatory cytokines (IL-1β, TNF-α, iNOS, NF-κB and leptin), as well as oxidative stress, and subsequently ROS generation via down-regulation of Rac1, Rac1-GTP and NOX1, which in turn leads to attenuation of liver fibrosis through reduction of ERK1, HIF-1α and Sp1 expression levels.</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Upregulation: IRS1</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 SOCS3</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 STAT3,</w:t>
            </w:r>
            <w:r>
              <w:t xml:space="preserve"> </w:t>
            </w:r>
            <w:r>
              <w:rPr>
                <w:color w:val="000000" w:themeColor="text1"/>
                <w:sz w:val="18"/>
                <w:szCs w:val="18"/>
                <w14:textFill>
                  <w14:solidFill>
                    <w14:schemeClr w14:val="tx1"/>
                  </w14:solidFill>
                </w14:textFill>
              </w:rPr>
              <w:t>RK1, HIF-1α and Sp1</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tcBorders>
              <w:bottom w:val="nil"/>
            </w:tcBorders>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sz w:val="18"/>
                <w:szCs w:val="18"/>
              </w:rPr>
            </w:pPr>
            <w:r>
              <w:rPr>
                <w:rFonts w:ascii="Times New Roman" w:hAnsi="Times New Roman" w:cs="Times New Roman"/>
                <w:sz w:val="18"/>
                <w:szCs w:val="18"/>
              </w:rPr>
              <w:t>Qin.et al 2018</w:t>
            </w:r>
          </w:p>
        </w:tc>
        <w:tc>
          <w:tcPr>
            <w:tcW w:w="1261" w:type="dxa"/>
            <w:tcBorders>
              <w:bottom w:val="nil"/>
            </w:tcBorders>
            <w:shd w:val="clear" w:color="auto" w:fill="FFFFFF"/>
            <w:vAlign w:val="center"/>
          </w:tcPr>
          <w:p>
            <w:pPr>
              <w:widowControl/>
              <w:snapToGrid w:val="0"/>
              <w:spacing w:before="100" w:beforeAutospacing="1" w:after="100" w:afterAutospacing="1"/>
              <w:ind w:left="180" w:hanging="180" w:hanging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Liver fibrosis</w:t>
            </w:r>
          </w:p>
        </w:tc>
        <w:tc>
          <w:tcPr>
            <w:tcW w:w="6960" w:type="dxa"/>
            <w:tcBorders>
              <w:bottom w:val="nil"/>
            </w:tcBorders>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Curcumin may inhibit CXCL12/CXCR4 biological axis so that downstream RhoA/ROCK pathway is downregulated, and thus activation and migration ability of HSCs is suppressed. Therefore, curcumin could attenuate liver fibrosis by inhibiting CXCL12/CXCR4/RhoA axis.</w:t>
            </w:r>
          </w:p>
        </w:tc>
        <w:tc>
          <w:tcPr>
            <w:tcW w:w="3686" w:type="dxa"/>
            <w:tcBorders>
              <w:bottom w:val="nil"/>
            </w:tcBorders>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color w:val="000000"/>
                <w:kern w:val="0"/>
                <w:sz w:val="18"/>
                <w:szCs w:val="18"/>
              </w:rPr>
              <w:t xml:space="preserve"> CXCL12, CXCR4</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tcBorders>
              <w:top w:val="nil"/>
            </w:tcBorders>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sz w:val="18"/>
                <w:szCs w:val="18"/>
              </w:rPr>
            </w:pPr>
            <w:r>
              <w:rPr>
                <w:rFonts w:ascii="Times New Roman" w:hAnsi="Times New Roman" w:cs="Times New Roman"/>
                <w:sz w:val="18"/>
                <w:szCs w:val="18"/>
              </w:rPr>
              <w:t>Zhao.et al 2018</w:t>
            </w:r>
          </w:p>
        </w:tc>
        <w:tc>
          <w:tcPr>
            <w:tcW w:w="1261" w:type="dxa"/>
            <w:tcBorders>
              <w:top w:val="nil"/>
            </w:tcBorders>
            <w:shd w:val="clear" w:color="auto" w:fill="FFFFFF"/>
            <w:vAlign w:val="center"/>
          </w:tcPr>
          <w:p>
            <w:pPr>
              <w:widowControl/>
              <w:snapToGrid w:val="0"/>
              <w:spacing w:before="100" w:beforeAutospacing="1" w:after="100" w:afterAutospacing="1"/>
              <w:ind w:left="180" w:hanging="180" w:hanging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Liver fibrosis</w:t>
            </w:r>
          </w:p>
        </w:tc>
        <w:tc>
          <w:tcPr>
            <w:tcW w:w="6960" w:type="dxa"/>
            <w:tcBorders>
              <w:top w:val="nil"/>
            </w:tcBorders>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curcumin can reduce chemokines secretion by inhibiting KCs activation to decrease Ly6Chi monocyte infiltration in the treatment of liver fibrosis. </w:t>
            </w:r>
          </w:p>
        </w:tc>
        <w:tc>
          <w:tcPr>
            <w:tcW w:w="3686" w:type="dxa"/>
            <w:tcBorders>
              <w:top w:val="nil"/>
            </w:tcBorders>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color w:val="000000"/>
                <w:sz w:val="18"/>
                <w:szCs w:val="18"/>
              </w:rPr>
              <w:t xml:space="preserve"> CCL7, MCP-1</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sz w:val="18"/>
                <w:szCs w:val="18"/>
              </w:rPr>
            </w:pPr>
            <w:r>
              <w:rPr>
                <w:rFonts w:ascii="Times New Roman" w:hAnsi="Times New Roman" w:cs="Times New Roman"/>
                <w:sz w:val="18"/>
                <w:szCs w:val="18"/>
              </w:rPr>
              <w:t>Jin.et al 2016</w:t>
            </w:r>
          </w:p>
        </w:tc>
        <w:tc>
          <w:tcPr>
            <w:tcW w:w="1261" w:type="dxa"/>
            <w:shd w:val="clear" w:color="auto" w:fill="FFFFFF"/>
            <w:vAlign w:val="center"/>
          </w:tcPr>
          <w:p>
            <w:pPr>
              <w:widowControl/>
              <w:snapToGrid w:val="0"/>
              <w:spacing w:before="100" w:beforeAutospacing="1" w:after="100" w:afterAutospacing="1"/>
              <w:ind w:left="180" w:hanging="180" w:hanging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Liver fibrosis</w:t>
            </w:r>
          </w:p>
        </w:tc>
        <w:tc>
          <w:tcPr>
            <w:tcW w:w="6960" w:type="dxa"/>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Curcumin regulated senescence by inducting PPARγ/P53 pathway in activated HSCs, inhibiting fibrogenic properties in activated HSCs by curcumin.</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w:t>
            </w:r>
            <w:r>
              <w:rPr>
                <w:rFonts w:ascii="AdvOT82c4f4c4" w:hAnsi="AdvOT82c4f4c4"/>
                <w:color w:val="231F20"/>
                <w:sz w:val="18"/>
                <w:szCs w:val="18"/>
              </w:rPr>
              <w:t xml:space="preserve">Hmga1, </w:t>
            </w:r>
            <w:r>
              <w:rPr>
                <w:rFonts w:ascii="AdvOTf3919c9c.B" w:hAnsi="AdvOTf3919c9c.B"/>
                <w:color w:val="231F20"/>
                <w:sz w:val="18"/>
                <w:szCs w:val="18"/>
              </w:rPr>
              <w:t>PPAR</w:t>
            </w:r>
            <w:r>
              <w:rPr>
                <w:rFonts w:ascii="AdvOTd0125be5.BI+03" w:hAnsi="AdvOTd0125be5.BI+03"/>
                <w:color w:val="231F20"/>
                <w:sz w:val="18"/>
                <w:szCs w:val="18"/>
              </w:rPr>
              <w:t>γ, P53</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sz w:val="18"/>
                <w:szCs w:val="18"/>
              </w:rPr>
            </w:pPr>
            <w:r>
              <w:rPr>
                <w:rFonts w:ascii="Times New Roman" w:hAnsi="Times New Roman" w:cs="Times New Roman"/>
                <w:sz w:val="18"/>
                <w:szCs w:val="18"/>
              </w:rPr>
              <w:t>Huang.et al 2016</w:t>
            </w:r>
          </w:p>
        </w:tc>
        <w:tc>
          <w:tcPr>
            <w:tcW w:w="1261" w:type="dxa"/>
            <w:shd w:val="clear" w:color="auto" w:fill="FFFFFF"/>
            <w:vAlign w:val="center"/>
          </w:tcPr>
          <w:p>
            <w:pPr>
              <w:widowControl/>
              <w:snapToGrid w:val="0"/>
              <w:spacing w:before="100" w:beforeAutospacing="1" w:after="100" w:afterAutospacing="1"/>
              <w:ind w:left="180" w:hanging="180" w:hanging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Liver fibrosis</w:t>
            </w:r>
          </w:p>
        </w:tc>
        <w:tc>
          <w:tcPr>
            <w:tcW w:w="6960" w:type="dxa"/>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Curcumin in inhibition of hepatic NF-κB-mediated inflammation in CCl4-induced liver fibrosis.</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t xml:space="preserve"> </w:t>
            </w:r>
            <w:r>
              <w:rPr>
                <w:color w:val="000000" w:themeColor="text1"/>
                <w:sz w:val="18"/>
                <w:szCs w:val="18"/>
                <w14:textFill>
                  <w14:solidFill>
                    <w14:schemeClr w14:val="tx1"/>
                  </w14:solidFill>
                </w14:textFill>
              </w:rPr>
              <w:t>JNK/, NF-κB</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sz w:val="18"/>
                <w:szCs w:val="18"/>
              </w:rPr>
            </w:pPr>
            <w:r>
              <w:rPr>
                <w:rFonts w:ascii="Times New Roman" w:hAnsi="Times New Roman" w:cs="Times New Roman"/>
                <w:sz w:val="18"/>
                <w:szCs w:val="18"/>
              </w:rPr>
              <w:t>Peng.et al 2016</w:t>
            </w:r>
          </w:p>
        </w:tc>
        <w:tc>
          <w:tcPr>
            <w:tcW w:w="1261" w:type="dxa"/>
            <w:shd w:val="clear" w:color="auto" w:fill="FFFFFF"/>
            <w:vAlign w:val="center"/>
          </w:tcPr>
          <w:p>
            <w:pPr>
              <w:widowControl/>
              <w:snapToGrid w:val="0"/>
              <w:spacing w:before="100" w:beforeAutospacing="1" w:after="100" w:afterAutospacing="1"/>
              <w:ind w:left="180" w:hanging="180" w:hanging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Liver fibrosis</w:t>
            </w:r>
          </w:p>
        </w:tc>
        <w:tc>
          <w:tcPr>
            <w:tcW w:w="6960" w:type="dxa"/>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CUR treatment reversed liver injury </w:t>
            </w:r>
            <w:r>
              <w:rPr>
                <w:rFonts w:ascii="Times New Roman" w:hAnsi="Times New Roman" w:cs="Times New Roman"/>
                <w:i/>
                <w:iCs/>
                <w:color w:val="000000"/>
                <w:kern w:val="0"/>
                <w:sz w:val="18"/>
                <w:szCs w:val="18"/>
              </w:rPr>
              <w:t>in vivo</w:t>
            </w:r>
            <w:r>
              <w:rPr>
                <w:rFonts w:ascii="Times New Roman" w:hAnsi="Times New Roman" w:cs="Times New Roman"/>
                <w:color w:val="000000"/>
                <w:kern w:val="0"/>
                <w:sz w:val="18"/>
                <w:szCs w:val="18"/>
              </w:rPr>
              <w:t xml:space="preserve"> and </w:t>
            </w:r>
            <w:r>
              <w:rPr>
                <w:rFonts w:ascii="Times New Roman" w:hAnsi="Times New Roman" w:cs="Times New Roman"/>
                <w:i/>
                <w:iCs/>
                <w:color w:val="000000"/>
                <w:kern w:val="0"/>
                <w:sz w:val="18"/>
                <w:szCs w:val="18"/>
              </w:rPr>
              <w:t>in vitro</w:t>
            </w:r>
            <w:r>
              <w:rPr>
                <w:rFonts w:ascii="Times New Roman" w:hAnsi="Times New Roman" w:cs="Times New Roman"/>
                <w:color w:val="000000"/>
                <w:kern w:val="0"/>
                <w:sz w:val="18"/>
                <w:szCs w:val="18"/>
              </w:rPr>
              <w:t xml:space="preserve">, possibly through down regulation of DNMT1, </w:t>
            </w:r>
            <w:r>
              <w:rPr>
                <w:rFonts w:ascii="Times New Roman" w:hAnsi="Times New Roman" w:cs="Times New Roman"/>
                <w:i/>
                <w:iCs/>
                <w:color w:val="000000"/>
                <w:kern w:val="0"/>
                <w:sz w:val="18"/>
                <w:szCs w:val="18"/>
              </w:rPr>
              <w:t>α</w:t>
            </w:r>
            <w:r>
              <w:rPr>
                <w:rFonts w:ascii="Times New Roman" w:hAnsi="Times New Roman" w:cs="Times New Roman"/>
                <w:color w:val="000000"/>
                <w:kern w:val="0"/>
                <w:sz w:val="18"/>
                <w:szCs w:val="18"/>
              </w:rPr>
              <w:t>-SMA, and Col1</w:t>
            </w:r>
            <w:r>
              <w:rPr>
                <w:rFonts w:ascii="Times New Roman" w:hAnsi="Times New Roman" w:cs="Times New Roman"/>
                <w:i/>
                <w:iCs/>
                <w:color w:val="000000"/>
                <w:kern w:val="0"/>
                <w:sz w:val="18"/>
                <w:szCs w:val="18"/>
              </w:rPr>
              <w:t>α</w:t>
            </w:r>
            <w:r>
              <w:rPr>
                <w:rFonts w:ascii="Times New Roman" w:hAnsi="Times New Roman" w:cs="Times New Roman"/>
                <w:color w:val="000000"/>
                <w:kern w:val="0"/>
                <w:sz w:val="18"/>
                <w:szCs w:val="18"/>
              </w:rPr>
              <w:t>1 and by demethylation of the key genes.</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rFonts w:ascii="TimesNewRomanPS-BoldMT" w:hAnsi="TimesNewRomanPS-BoldMT" w:eastAsiaTheme="minorEastAsia" w:cstheme="minorBidi"/>
                <w:b/>
                <w:bCs/>
                <w:color w:val="000080"/>
                <w:sz w:val="17"/>
                <w:szCs w:val="17"/>
              </w:rPr>
              <w:t xml:space="preserve"> </w:t>
            </w:r>
            <w:r>
              <w:rPr>
                <w:color w:val="000000" w:themeColor="text1"/>
                <w:sz w:val="18"/>
                <w:szCs w:val="18"/>
                <w14:textFill>
                  <w14:solidFill>
                    <w14:schemeClr w14:val="tx1"/>
                  </w14:solidFill>
                </w14:textFill>
              </w:rPr>
              <w:t>DNMT1, α-SMA, Col1α1</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sz w:val="18"/>
                <w:szCs w:val="18"/>
              </w:rPr>
            </w:pPr>
            <w:r>
              <w:rPr>
                <w:rFonts w:ascii="Times New Roman" w:hAnsi="Times New Roman" w:cs="Times New Roman"/>
                <w:sz w:val="18"/>
                <w:szCs w:val="18"/>
              </w:rPr>
              <w:t>Zhang.et al 2015</w:t>
            </w:r>
          </w:p>
        </w:tc>
        <w:tc>
          <w:tcPr>
            <w:tcW w:w="1261" w:type="dxa"/>
            <w:shd w:val="clear" w:color="auto" w:fill="FFFFFF"/>
            <w:vAlign w:val="center"/>
          </w:tcPr>
          <w:p>
            <w:pPr>
              <w:widowControl/>
              <w:snapToGrid w:val="0"/>
              <w:spacing w:before="100" w:beforeAutospacing="1" w:after="100" w:afterAutospacing="1"/>
              <w:ind w:left="180" w:hanging="180" w:hanging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Liver fibrosis</w:t>
            </w:r>
          </w:p>
        </w:tc>
        <w:tc>
          <w:tcPr>
            <w:tcW w:w="6960" w:type="dxa"/>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Curcumin protected the rat liver from CCl4-caused injury and fibrogenesis in vivo by improving hepatic function, reducing ECM expression and inhibiting HSC activation.</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rFonts w:ascii="TimesNewRomanPS-BoldMT" w:hAnsi="TimesNewRomanPS-BoldMT" w:eastAsiaTheme="minorEastAsia" w:cstheme="minorBidi"/>
                <w:b/>
                <w:bCs/>
                <w:color w:val="000080"/>
                <w:sz w:val="17"/>
                <w:szCs w:val="17"/>
              </w:rPr>
              <w:t xml:space="preserve"> </w:t>
            </w:r>
            <w:r>
              <w:rPr>
                <w:color w:val="000000" w:themeColor="text1"/>
                <w:sz w:val="18"/>
                <w:szCs w:val="18"/>
                <w14:textFill>
                  <w14:solidFill>
                    <w14:schemeClr w14:val="tx1"/>
                  </w14:solidFill>
                </w14:textFill>
              </w:rPr>
              <w:t xml:space="preserve">ECM </w:t>
            </w:r>
            <w:r>
              <w:rPr>
                <w:rFonts w:ascii="StempelSchneidlerStd-Roman" w:hAnsi="StempelSchneidlerStd-Roman"/>
                <w:color w:val="231F20"/>
                <w:sz w:val="20"/>
                <w:szCs w:val="20"/>
              </w:rPr>
              <w:t>expression</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sz w:val="18"/>
                <w:szCs w:val="18"/>
              </w:rPr>
            </w:pPr>
            <w:r>
              <w:rPr>
                <w:rFonts w:ascii="Times New Roman" w:hAnsi="Times New Roman" w:cs="Times New Roman"/>
                <w:sz w:val="18"/>
                <w:szCs w:val="18"/>
              </w:rPr>
              <w:t>Swefy.et al 2015</w:t>
            </w:r>
          </w:p>
        </w:tc>
        <w:tc>
          <w:tcPr>
            <w:tcW w:w="1261" w:type="dxa"/>
            <w:shd w:val="clear" w:color="auto" w:fill="FFFFFF"/>
            <w:vAlign w:val="center"/>
          </w:tcPr>
          <w:p>
            <w:pPr>
              <w:widowControl/>
              <w:snapToGrid w:val="0"/>
              <w:spacing w:before="100" w:beforeAutospacing="1" w:after="100" w:afterAutospacing="1"/>
              <w:ind w:left="180" w:hanging="180" w:hanging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Liver fibrosis</w:t>
            </w:r>
          </w:p>
        </w:tc>
        <w:tc>
          <w:tcPr>
            <w:tcW w:w="6960" w:type="dxa"/>
            <w:shd w:val="clear" w:color="auto" w:fill="FFFFFF"/>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Curcumin</w:t>
            </w:r>
            <w:r>
              <w:rPr>
                <w:rFonts w:ascii="MskrqhAdvTT3713a231" w:hAnsi="MskrqhAdvTT3713a231"/>
                <w:color w:val="131413"/>
                <w:sz w:val="18"/>
                <w:szCs w:val="18"/>
              </w:rPr>
              <w:t xml:space="preserve"> </w:t>
            </w:r>
            <w:r>
              <w:rPr>
                <w:rFonts w:ascii="MskrqhAdvTT3713a231" w:hAnsi="MskrqhAdvTT3713a231" w:eastAsia="宋体" w:cs="宋体"/>
                <w:color w:val="131413"/>
                <w:kern w:val="0"/>
                <w:sz w:val="18"/>
                <w:szCs w:val="18"/>
              </w:rPr>
              <w:t>downregulated cyclooxygenase-2 (COX-2) and both mRNA and protein levels of nuclear factor kappa B (NF-</w:t>
            </w:r>
            <w:r>
              <w:rPr>
                <w:rFonts w:ascii="TmvbptAdvTT3713a231+03" w:hAnsi="TmvbptAdvTT3713a231+03" w:eastAsia="宋体" w:cs="宋体"/>
                <w:color w:val="131413"/>
                <w:kern w:val="0"/>
                <w:sz w:val="18"/>
                <w:szCs w:val="18"/>
              </w:rPr>
              <w:t>κ</w:t>
            </w:r>
            <w:r>
              <w:rPr>
                <w:rFonts w:ascii="MskrqhAdvTT3713a231" w:hAnsi="MskrqhAdvTT3713a231" w:eastAsia="宋体" w:cs="宋体"/>
                <w:color w:val="131413"/>
                <w:kern w:val="0"/>
                <w:sz w:val="18"/>
                <w:szCs w:val="18"/>
              </w:rPr>
              <w:t>B) in fibrotic liver</w:t>
            </w:r>
            <w:r>
              <w:rPr>
                <w:rFonts w:ascii="MskrqhAdvTT3713a231" w:hAnsi="MskrqhAdvTT3713a231"/>
                <w:color w:val="131413"/>
                <w:sz w:val="18"/>
                <w:szCs w:val="18"/>
              </w:rPr>
              <w:t xml:space="preserve"> </w:t>
            </w:r>
            <w:r>
              <w:rPr>
                <w:rFonts w:ascii="MskrqhAdvTT3713a231" w:hAnsi="MskrqhAdvTT3713a231" w:eastAsia="宋体" w:cs="宋体"/>
                <w:color w:val="131413"/>
                <w:kern w:val="0"/>
                <w:sz w:val="18"/>
                <w:szCs w:val="18"/>
              </w:rPr>
              <w:t>curcumin reduced the expression of CB1 in fibrotic liver. Curcumin alleviates hepatic fibrosis and dysfunction directly through inhibition of oxidative stress and inflammation.</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w:t>
            </w:r>
            <w:r>
              <w:rPr>
                <w:rFonts w:ascii="MskrqhAdvTT3713a231" w:hAnsi="MskrqhAdvTT3713a231"/>
                <w:color w:val="131413"/>
                <w:sz w:val="17"/>
                <w:szCs w:val="17"/>
              </w:rPr>
              <w:t>Bcl2</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 NF-κB</w:t>
            </w:r>
            <w:r>
              <w:rPr>
                <w:rFonts w:hint="eastAsia"/>
                <w:color w:val="000000" w:themeColor="text1"/>
                <w:sz w:val="18"/>
                <w:szCs w:val="18"/>
                <w14:textFill>
                  <w14:solidFill>
                    <w14:schemeClr w14:val="tx1"/>
                  </w14:solidFill>
                </w14:textFill>
              </w:rPr>
              <w:t xml:space="preserve">, </w:t>
            </w:r>
            <w:r>
              <w:rPr>
                <w:rFonts w:ascii="MskrqhAdvTT3713a231" w:hAnsi="MskrqhAdvTT3713a231" w:cs="宋体"/>
                <w:color w:val="131413"/>
                <w:kern w:val="0"/>
                <w:sz w:val="18"/>
                <w:szCs w:val="18"/>
              </w:rPr>
              <w:t>CB1</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sz w:val="18"/>
                <w:szCs w:val="18"/>
              </w:rPr>
            </w:pPr>
            <w:r>
              <w:rPr>
                <w:rFonts w:ascii="Times New Roman" w:hAnsi="Times New Roman" w:cs="Times New Roman"/>
                <w:sz w:val="18"/>
                <w:szCs w:val="18"/>
              </w:rPr>
              <w:t>Zhao.et al 2014</w:t>
            </w:r>
          </w:p>
        </w:tc>
        <w:tc>
          <w:tcPr>
            <w:tcW w:w="1261" w:type="dxa"/>
            <w:shd w:val="clear" w:color="auto" w:fill="FFFFFF"/>
            <w:vAlign w:val="center"/>
          </w:tcPr>
          <w:p>
            <w:pPr>
              <w:widowControl/>
              <w:snapToGrid w:val="0"/>
              <w:spacing w:before="100" w:beforeAutospacing="1" w:after="100" w:afterAutospacing="1"/>
              <w:ind w:left="180" w:hanging="180" w:hanging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Liver fibrosis</w:t>
            </w:r>
          </w:p>
        </w:tc>
        <w:tc>
          <w:tcPr>
            <w:tcW w:w="6960" w:type="dxa"/>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Curcumin Protects against CCl4-Induced Liver Fibrosis in Rats by Inhibiting HIF-1α Through an ERK-Dependent Pathway.</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color w:val="000000"/>
                <w:kern w:val="0"/>
                <w:sz w:val="18"/>
                <w:szCs w:val="18"/>
              </w:rPr>
              <w:t xml:space="preserve"> HIF-1α, p-ERK</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sz w:val="18"/>
                <w:szCs w:val="18"/>
              </w:rPr>
            </w:pPr>
            <w:r>
              <w:rPr>
                <w:rFonts w:ascii="Times New Roman" w:hAnsi="Times New Roman" w:cs="Times New Roman"/>
                <w:sz w:val="18"/>
                <w:szCs w:val="18"/>
              </w:rPr>
              <w:t>Wang.et al 2012</w:t>
            </w:r>
          </w:p>
        </w:tc>
        <w:tc>
          <w:tcPr>
            <w:tcW w:w="1261" w:type="dxa"/>
            <w:shd w:val="clear" w:color="auto" w:fill="FFFFFF"/>
            <w:vAlign w:val="center"/>
          </w:tcPr>
          <w:p>
            <w:pPr>
              <w:widowControl/>
              <w:snapToGrid w:val="0"/>
              <w:spacing w:before="100" w:beforeAutospacing="1" w:after="100" w:afterAutospacing="1"/>
              <w:ind w:left="180" w:hanging="180" w:hanging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Liver fibrosis</w:t>
            </w:r>
          </w:p>
        </w:tc>
        <w:tc>
          <w:tcPr>
            <w:tcW w:w="6960" w:type="dxa"/>
            <w:shd w:val="clear" w:color="auto" w:fill="FFFFFF"/>
            <w:vAlign w:val="center"/>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Curcumin promotes TAA damaged cells to undergo apoptosis rather than necrosis by upregulating Bax and down-regulating Bcl-2 and Bcl-xL mRNA expression levels in vivo.</w:t>
            </w:r>
            <w:r>
              <w:rPr>
                <w:rFonts w:ascii="Times New Roman" w:hAnsi="Times New Roman" w:cs="Times New Roman"/>
                <w:color w:val="231F20"/>
                <w:sz w:val="18"/>
                <w:szCs w:val="18"/>
              </w:rPr>
              <w:t xml:space="preserve"> </w:t>
            </w:r>
            <w:r>
              <w:rPr>
                <w:rFonts w:ascii="Times New Roman" w:hAnsi="Times New Roman" w:eastAsia="宋体" w:cs="Times New Roman"/>
                <w:color w:val="231F20"/>
                <w:kern w:val="0"/>
                <w:sz w:val="18"/>
                <w:szCs w:val="18"/>
              </w:rPr>
              <w:t>Promotion of apoptosis not only decreases the number of necrotic cells during chronic liver injury, which inhibits the activation of inflammatory responses, but also prevents proliferation of hepatocytes containing damaged DNA that could progress to hepatocellular carcinoma.</w:t>
            </w:r>
          </w:p>
        </w:tc>
        <w:tc>
          <w:tcPr>
            <w:tcW w:w="3686" w:type="dxa"/>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w:t>
            </w:r>
            <w:r>
              <w:rPr>
                <w:color w:val="231F20"/>
                <w:sz w:val="18"/>
                <w:szCs w:val="18"/>
              </w:rPr>
              <w:t>P53, Bax</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sz w:val="18"/>
                <w:szCs w:val="18"/>
              </w:rPr>
              <w:t xml:space="preserve"> </w:t>
            </w:r>
            <w:r>
              <w:rPr>
                <w:color w:val="000000" w:themeColor="text1"/>
                <w:sz w:val="18"/>
                <w:szCs w:val="18"/>
                <w14:textFill>
                  <w14:solidFill>
                    <w14:schemeClr w14:val="tx1"/>
                  </w14:solidFill>
                </w14:textFill>
              </w:rPr>
              <w:t>Bcl-2,</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tcBorders>
              <w:bottom w:val="nil"/>
            </w:tcBorders>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sz w:val="18"/>
                <w:szCs w:val="18"/>
              </w:rPr>
            </w:pPr>
            <w:r>
              <w:rPr>
                <w:rFonts w:ascii="Times New Roman" w:hAnsi="Times New Roman" w:cs="Times New Roman"/>
                <w:sz w:val="18"/>
                <w:szCs w:val="18"/>
              </w:rPr>
              <w:t>Yao.et al 2012</w:t>
            </w:r>
          </w:p>
        </w:tc>
        <w:tc>
          <w:tcPr>
            <w:tcW w:w="1261" w:type="dxa"/>
            <w:tcBorders>
              <w:bottom w:val="nil"/>
            </w:tcBorders>
            <w:shd w:val="clear" w:color="auto" w:fill="FFFFFF"/>
            <w:vAlign w:val="center"/>
          </w:tcPr>
          <w:p>
            <w:pPr>
              <w:widowControl/>
              <w:snapToGrid w:val="0"/>
              <w:spacing w:before="100" w:beforeAutospacing="1" w:after="100" w:afterAutospacing="1"/>
              <w:ind w:left="180" w:hanging="180" w:hanging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Liver fibrosis</w:t>
            </w:r>
          </w:p>
        </w:tc>
        <w:tc>
          <w:tcPr>
            <w:tcW w:w="6960" w:type="dxa"/>
            <w:tcBorders>
              <w:bottom w:val="nil"/>
            </w:tcBorders>
            <w:shd w:val="clear" w:color="auto" w:fill="FFFFFF"/>
            <w:vAlign w:val="center"/>
          </w:tcPr>
          <w:p>
            <w:pPr>
              <w:widowControl/>
              <w:jc w:val="left"/>
              <w:rPr>
                <w:rFonts w:ascii="Times New Roman" w:hAnsi="Times New Roman" w:cs="Times New Roman"/>
                <w:color w:val="000000"/>
                <w:kern w:val="0"/>
                <w:sz w:val="18"/>
                <w:szCs w:val="18"/>
              </w:rPr>
            </w:pPr>
            <w:r>
              <w:rPr>
                <w:rFonts w:ascii="Times New Roman" w:hAnsi="Times New Roman" w:eastAsia="宋体" w:cs="Times New Roman"/>
                <w:color w:val="231F20"/>
                <w:kern w:val="0"/>
                <w:sz w:val="18"/>
                <w:szCs w:val="18"/>
              </w:rPr>
              <w:t>Curcumin significantly attenuated the severity of CCl4-induced liver inflammation and fibrosis through inhibition of TGF-β1/Smad signaling pathway and CTGF expression.</w:t>
            </w:r>
          </w:p>
        </w:tc>
        <w:tc>
          <w:tcPr>
            <w:tcW w:w="3686" w:type="dxa"/>
            <w:tcBorders>
              <w:bottom w:val="nil"/>
            </w:tcBorders>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Upregulation: Smad7</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rFonts w:ascii="AdvTT99c4c969" w:hAnsi="AdvTT99c4c969"/>
                <w:color w:val="231F20"/>
                <w:sz w:val="16"/>
                <w:szCs w:val="16"/>
              </w:rPr>
              <w:t xml:space="preserve"> TGF-</w:t>
            </w:r>
            <w:r>
              <w:rPr>
                <w:rFonts w:ascii="AdvTT99c4c969+03" w:hAnsi="AdvTT99c4c969+03"/>
                <w:color w:val="231F20"/>
                <w:sz w:val="16"/>
                <w:szCs w:val="16"/>
              </w:rPr>
              <w:t>β</w:t>
            </w:r>
            <w:r>
              <w:rPr>
                <w:rFonts w:ascii="AdvTT99c4c969" w:hAnsi="AdvTT99c4c969"/>
                <w:color w:val="231F20"/>
                <w:sz w:val="16"/>
                <w:szCs w:val="16"/>
              </w:rPr>
              <w:t>1, Smad2 and Smad3</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tcBorders>
              <w:top w:val="nil"/>
              <w:bottom w:val="nil"/>
            </w:tcBorders>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sz w:val="18"/>
                <w:szCs w:val="18"/>
              </w:rPr>
            </w:pPr>
            <w:r>
              <w:rPr>
                <w:rFonts w:ascii="Times New Roman" w:hAnsi="Times New Roman" w:cs="Times New Roman"/>
                <w:sz w:val="18"/>
                <w:szCs w:val="18"/>
              </w:rPr>
              <w:t>Bassiouny.et al 2011</w:t>
            </w:r>
          </w:p>
        </w:tc>
        <w:tc>
          <w:tcPr>
            <w:tcW w:w="1261" w:type="dxa"/>
            <w:tcBorders>
              <w:top w:val="nil"/>
              <w:bottom w:val="nil"/>
            </w:tcBorders>
            <w:shd w:val="clear" w:color="auto" w:fill="FFFFFF"/>
            <w:vAlign w:val="center"/>
          </w:tcPr>
          <w:p>
            <w:pPr>
              <w:widowControl/>
              <w:snapToGrid w:val="0"/>
              <w:spacing w:before="100" w:beforeAutospacing="1" w:after="100" w:afterAutospacing="1"/>
              <w:ind w:left="180" w:hanging="180" w:hanging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Liver fibrosis</w:t>
            </w:r>
          </w:p>
        </w:tc>
        <w:tc>
          <w:tcPr>
            <w:tcW w:w="6960" w:type="dxa"/>
            <w:tcBorders>
              <w:top w:val="nil"/>
              <w:bottom w:val="nil"/>
            </w:tcBorders>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Curcumin attenuated oxidative stress by increasing the content of hepatic glutathione within normal values, leading to the reduction in the level of lipid hydroperoxide. Curcumin remarkably suppressed inflammation by reducing levels of inflammatory cytokines, including TNF-</w:t>
            </w:r>
            <w:r>
              <w:rPr>
                <w:rFonts w:hint="eastAsia" w:ascii="Times New Roman" w:hAnsi="Times New Roman" w:cs="Times New Roman"/>
                <w:color w:val="000000"/>
                <w:kern w:val="0"/>
                <w:sz w:val="18"/>
                <w:szCs w:val="18"/>
              </w:rPr>
              <w:t>α</w:t>
            </w:r>
            <w:r>
              <w:rPr>
                <w:rFonts w:ascii="Times New Roman" w:hAnsi="Times New Roman" w:cs="Times New Roman"/>
                <w:color w:val="000000"/>
                <w:kern w:val="0"/>
                <w:sz w:val="18"/>
                <w:szCs w:val="18"/>
              </w:rPr>
              <w:t>, NF-</w:t>
            </w:r>
            <w:r>
              <w:rPr>
                <w:rFonts w:hint="eastAsia" w:ascii="Times New Roman" w:hAnsi="Times New Roman" w:cs="Times New Roman"/>
                <w:color w:val="000000"/>
                <w:kern w:val="0"/>
                <w:sz w:val="18"/>
                <w:szCs w:val="18"/>
              </w:rPr>
              <w:t>κ</w:t>
            </w:r>
            <w:r>
              <w:rPr>
                <w:rFonts w:ascii="Times New Roman" w:hAnsi="Times New Roman" w:cs="Times New Roman"/>
                <w:color w:val="000000"/>
                <w:kern w:val="0"/>
                <w:sz w:val="18"/>
                <w:szCs w:val="18"/>
              </w:rPr>
              <w:t>B and IL-6. It also inhibited HSCs activation by elevating the level of PPAR</w:t>
            </w:r>
            <w:r>
              <w:rPr>
                <w:rFonts w:hint="eastAsia" w:ascii="Times New Roman" w:hAnsi="Times New Roman" w:cs="Times New Roman"/>
                <w:color w:val="000000"/>
                <w:kern w:val="0"/>
                <w:sz w:val="18"/>
                <w:szCs w:val="18"/>
              </w:rPr>
              <w:t>γ</w:t>
            </w:r>
            <w:r>
              <w:rPr>
                <w:rFonts w:ascii="Times New Roman" w:hAnsi="Times New Roman" w:cs="Times New Roman"/>
                <w:color w:val="000000"/>
                <w:kern w:val="0"/>
                <w:sz w:val="18"/>
                <w:szCs w:val="18"/>
              </w:rPr>
              <w:t xml:space="preserve"> and reducing the abundance of TGF-</w:t>
            </w:r>
            <w:r>
              <w:rPr>
                <w:rFonts w:hint="eastAsia" w:ascii="Times New Roman" w:hAnsi="Times New Roman" w:cs="Times New Roman"/>
                <w:color w:val="000000"/>
                <w:kern w:val="0"/>
                <w:sz w:val="18"/>
                <w:szCs w:val="18"/>
              </w:rPr>
              <w:t>β</w:t>
            </w:r>
            <w:r>
              <w:rPr>
                <w:rFonts w:ascii="Times New Roman" w:hAnsi="Times New Roman" w:cs="Times New Roman"/>
                <w:color w:val="000000"/>
                <w:kern w:val="0"/>
                <w:sz w:val="18"/>
                <w:szCs w:val="18"/>
              </w:rPr>
              <w:t>.</w:t>
            </w:r>
          </w:p>
        </w:tc>
        <w:tc>
          <w:tcPr>
            <w:tcW w:w="3686" w:type="dxa"/>
            <w:tcBorders>
              <w:top w:val="nil"/>
              <w:bottom w:val="nil"/>
            </w:tcBorders>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APE1, </w:t>
            </w:r>
            <w:r>
              <w:rPr>
                <w:color w:val="040503"/>
                <w:sz w:val="18"/>
                <w:szCs w:val="18"/>
              </w:rPr>
              <w:t>p53,</w:t>
            </w:r>
            <w:r>
              <w:rPr>
                <w:color w:val="000000"/>
                <w:kern w:val="0"/>
                <w:sz w:val="18"/>
                <w:szCs w:val="18"/>
              </w:rPr>
              <w:t xml:space="preserve"> PPARγ</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rPr>
                <w:color w:val="000000"/>
                <w:kern w:val="0"/>
                <w:sz w:val="18"/>
                <w:szCs w:val="18"/>
              </w:rPr>
              <w:t xml:space="preserve"> TGF-β，TNF-α</w:t>
            </w:r>
          </w:p>
        </w:tc>
      </w:tr>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5" w:type="dxa"/>
            <w:tcBorders>
              <w:top w:val="nil"/>
              <w:bottom w:val="single" w:color="auto" w:sz="12" w:space="0"/>
            </w:tcBorders>
            <w:shd w:val="clear" w:color="auto" w:fill="FFFFFF"/>
            <w:vAlign w:val="center"/>
          </w:tcPr>
          <w:p>
            <w:pPr>
              <w:widowControl/>
              <w:snapToGrid w:val="0"/>
              <w:spacing w:before="100" w:beforeAutospacing="1" w:after="100" w:afterAutospacing="1"/>
              <w:ind w:left="180" w:hanging="180" w:hangingChars="100"/>
              <w:jc w:val="center"/>
              <w:rPr>
                <w:rFonts w:ascii="Times New Roman" w:hAnsi="Times New Roman" w:cs="Times New Roman"/>
                <w:sz w:val="18"/>
                <w:szCs w:val="18"/>
              </w:rPr>
            </w:pPr>
            <w:r>
              <w:rPr>
                <w:rFonts w:ascii="Times New Roman" w:hAnsi="Times New Roman" w:cs="Times New Roman"/>
                <w:sz w:val="18"/>
                <w:szCs w:val="18"/>
              </w:rPr>
              <w:t>Fu.et al 2007</w:t>
            </w:r>
          </w:p>
        </w:tc>
        <w:tc>
          <w:tcPr>
            <w:tcW w:w="1261" w:type="dxa"/>
            <w:tcBorders>
              <w:top w:val="nil"/>
              <w:bottom w:val="single" w:color="auto" w:sz="12" w:space="0"/>
            </w:tcBorders>
            <w:shd w:val="clear" w:color="auto" w:fill="FFFFFF"/>
            <w:vAlign w:val="center"/>
          </w:tcPr>
          <w:p>
            <w:pPr>
              <w:widowControl/>
              <w:snapToGrid w:val="0"/>
              <w:spacing w:before="100" w:beforeAutospacing="1" w:after="100" w:afterAutospacing="1"/>
              <w:ind w:left="180" w:hanging="180" w:hanging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Liver fibrosis</w:t>
            </w:r>
          </w:p>
        </w:tc>
        <w:tc>
          <w:tcPr>
            <w:tcW w:w="6960" w:type="dxa"/>
            <w:tcBorders>
              <w:top w:val="nil"/>
              <w:bottom w:val="single" w:color="auto" w:sz="12" w:space="0"/>
            </w:tcBorders>
            <w:shd w:val="clear" w:color="auto" w:fill="FFFFFF"/>
            <w:vAlign w:val="center"/>
          </w:tcPr>
          <w:p>
            <w:pPr>
              <w:widowControl/>
              <w:snapToGrid w:val="0"/>
              <w:spacing w:before="100" w:beforeAutospacing="1" w:after="100" w:afterAutospacing="1" w:line="360" w:lineRule="auto"/>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curcumin protects the rat liver from CCl4-caused injury and fibrogenesis by suppressing hepatic inflammation, attenuating hepatic oxidative stress and inhibiting HSC activation.</w:t>
            </w:r>
          </w:p>
        </w:tc>
        <w:tc>
          <w:tcPr>
            <w:tcW w:w="3686" w:type="dxa"/>
            <w:tcBorders>
              <w:top w:val="nil"/>
              <w:bottom w:val="single" w:color="auto" w:sz="12" w:space="0"/>
            </w:tcBorders>
            <w:shd w:val="clear" w:color="auto" w:fill="FFFFFF"/>
            <w:vAlign w:val="center"/>
          </w:tcPr>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Upregulation: </w:t>
            </w:r>
            <w:r>
              <w:rPr>
                <w:color w:val="231F20"/>
                <w:sz w:val="18"/>
                <w:szCs w:val="18"/>
              </w:rPr>
              <w:t>PPAR</w:t>
            </w:r>
            <w:r>
              <w:rPr>
                <w:color w:val="000000"/>
                <w:kern w:val="0"/>
                <w:sz w:val="18"/>
                <w:szCs w:val="18"/>
              </w:rPr>
              <w:t>γ</w:t>
            </w:r>
          </w:p>
          <w:p>
            <w:pPr>
              <w:pStyle w:val="10"/>
              <w:spacing w:line="276"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Downregulation:</w:t>
            </w:r>
            <w:r>
              <w:t xml:space="preserve"> </w:t>
            </w:r>
            <w:r>
              <w:rPr>
                <w:color w:val="000000" w:themeColor="text1"/>
                <w:sz w:val="18"/>
                <w:szCs w:val="18"/>
                <w14:textFill>
                  <w14:solidFill>
                    <w14:schemeClr w14:val="tx1"/>
                  </w14:solidFill>
                </w14:textFill>
              </w:rPr>
              <w:t xml:space="preserve">PDGF, </w:t>
            </w:r>
            <w:r>
              <w:rPr>
                <w:color w:val="000000"/>
                <w:kern w:val="0"/>
                <w:sz w:val="18"/>
                <w:szCs w:val="18"/>
              </w:rPr>
              <w:t>TGF-β</w:t>
            </w:r>
          </w:p>
        </w:tc>
      </w:tr>
    </w:tbl>
    <w:p>
      <w:pPr>
        <w:spacing w:line="360" w:lineRule="auto"/>
        <w:rPr>
          <w:rFonts w:hint="eastAsia" w:ascii="Times New Roman" w:hAnsi="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dvOTb65e897d.B">
    <w:altName w:val="Cambria"/>
    <w:panose1 w:val="00000000000000000000"/>
    <w:charset w:val="00"/>
    <w:family w:val="roman"/>
    <w:pitch w:val="default"/>
    <w:sig w:usb0="00000000" w:usb1="00000000" w:usb2="00000000" w:usb3="00000000" w:csb0="00000000" w:csb1="00000000"/>
  </w:font>
  <w:font w:name="DLF-3-0-194018531">
    <w:altName w:val="Calibri"/>
    <w:panose1 w:val="00000000000000000000"/>
    <w:charset w:val="00"/>
    <w:family w:val="auto"/>
    <w:pitch w:val="default"/>
    <w:sig w:usb0="00000000" w:usb1="00000000" w:usb2="00000000" w:usb3="00000000" w:csb0="00000000" w:csb1="00000000"/>
  </w:font>
  <w:font w:name="NmyycrAdvTT86d47313">
    <w:altName w:val="Calibri"/>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AdvOT82c4f4c4">
    <w:altName w:val="Cambria"/>
    <w:panose1 w:val="00000000000000000000"/>
    <w:charset w:val="00"/>
    <w:family w:val="roman"/>
    <w:pitch w:val="default"/>
    <w:sig w:usb0="00000000" w:usb1="00000000" w:usb2="00000000" w:usb3="00000000" w:csb0="00000000" w:csb1="00000000"/>
  </w:font>
  <w:font w:name="AdvOTf3919c9c.B">
    <w:altName w:val="Cambria"/>
    <w:panose1 w:val="00000000000000000000"/>
    <w:charset w:val="00"/>
    <w:family w:val="roman"/>
    <w:pitch w:val="default"/>
    <w:sig w:usb0="00000000" w:usb1="00000000" w:usb2="00000000" w:usb3="00000000" w:csb0="00000000" w:csb1="00000000"/>
  </w:font>
  <w:font w:name="AdvOTd0125be5.BI+03">
    <w:altName w:val="Cambria"/>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StempelSchneidlerStd-Roman">
    <w:altName w:val="Cambria"/>
    <w:panose1 w:val="00000000000000000000"/>
    <w:charset w:val="00"/>
    <w:family w:val="roman"/>
    <w:pitch w:val="default"/>
    <w:sig w:usb0="00000000" w:usb1="00000000" w:usb2="00000000" w:usb3="00000000" w:csb0="00000000" w:csb1="00000000"/>
  </w:font>
  <w:font w:name="MskrqhAdvTT3713a231">
    <w:altName w:val="Cambria"/>
    <w:panose1 w:val="00000000000000000000"/>
    <w:charset w:val="00"/>
    <w:family w:val="roman"/>
    <w:pitch w:val="default"/>
    <w:sig w:usb0="00000000" w:usb1="00000000" w:usb2="00000000" w:usb3="00000000" w:csb0="00000000" w:csb1="00000000"/>
  </w:font>
  <w:font w:name="TmvbptAdvTT3713a231+03">
    <w:altName w:val="Cambria"/>
    <w:panose1 w:val="00000000000000000000"/>
    <w:charset w:val="00"/>
    <w:family w:val="roman"/>
    <w:pitch w:val="default"/>
    <w:sig w:usb0="00000000" w:usb1="00000000" w:usb2="00000000" w:usb3="00000000" w:csb0="00000000" w:csb1="00000000"/>
  </w:font>
  <w:font w:name="AdvTT99c4c969">
    <w:altName w:val="Cambria"/>
    <w:panose1 w:val="00000000000000000000"/>
    <w:charset w:val="00"/>
    <w:family w:val="roman"/>
    <w:pitch w:val="default"/>
    <w:sig w:usb0="00000000" w:usb1="00000000" w:usb2="00000000" w:usb3="00000000" w:csb0="00000000" w:csb1="00000000"/>
  </w:font>
  <w:font w:name="AdvTT99c4c969+03">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5N2YyNzkwZDdmYzBlODc1OTRlZGI2MDFlNGY1Y2QifQ=="/>
  </w:docVars>
  <w:rsids>
    <w:rsidRoot w:val="001B4FE4"/>
    <w:rsid w:val="00006C8A"/>
    <w:rsid w:val="00087FA6"/>
    <w:rsid w:val="000B0D1F"/>
    <w:rsid w:val="000C4D5D"/>
    <w:rsid w:val="000E54A6"/>
    <w:rsid w:val="0014169F"/>
    <w:rsid w:val="00146915"/>
    <w:rsid w:val="00176AE7"/>
    <w:rsid w:val="001906D6"/>
    <w:rsid w:val="001B0B2E"/>
    <w:rsid w:val="001B4FE4"/>
    <w:rsid w:val="001E614C"/>
    <w:rsid w:val="001F6DE9"/>
    <w:rsid w:val="002071EF"/>
    <w:rsid w:val="002270BC"/>
    <w:rsid w:val="00254A49"/>
    <w:rsid w:val="002A3797"/>
    <w:rsid w:val="002C621A"/>
    <w:rsid w:val="002F0774"/>
    <w:rsid w:val="002F2157"/>
    <w:rsid w:val="002F563D"/>
    <w:rsid w:val="003153D3"/>
    <w:rsid w:val="003424F0"/>
    <w:rsid w:val="00356D90"/>
    <w:rsid w:val="0036525D"/>
    <w:rsid w:val="00375096"/>
    <w:rsid w:val="00380C63"/>
    <w:rsid w:val="003D10F5"/>
    <w:rsid w:val="003F476A"/>
    <w:rsid w:val="003F4F81"/>
    <w:rsid w:val="003F7921"/>
    <w:rsid w:val="00401428"/>
    <w:rsid w:val="00410A21"/>
    <w:rsid w:val="004370E7"/>
    <w:rsid w:val="0046655B"/>
    <w:rsid w:val="00487C65"/>
    <w:rsid w:val="00504309"/>
    <w:rsid w:val="00575CB0"/>
    <w:rsid w:val="005D2B01"/>
    <w:rsid w:val="0060552D"/>
    <w:rsid w:val="00636A8E"/>
    <w:rsid w:val="00664590"/>
    <w:rsid w:val="00674B59"/>
    <w:rsid w:val="006B15CF"/>
    <w:rsid w:val="006B1791"/>
    <w:rsid w:val="006E0D2C"/>
    <w:rsid w:val="006E62E8"/>
    <w:rsid w:val="00700EE5"/>
    <w:rsid w:val="00717E53"/>
    <w:rsid w:val="00747EF9"/>
    <w:rsid w:val="007D0241"/>
    <w:rsid w:val="007D1C73"/>
    <w:rsid w:val="00817270"/>
    <w:rsid w:val="00845E89"/>
    <w:rsid w:val="008A4283"/>
    <w:rsid w:val="008C5AC8"/>
    <w:rsid w:val="008E4F18"/>
    <w:rsid w:val="008F038F"/>
    <w:rsid w:val="009124D9"/>
    <w:rsid w:val="00930B56"/>
    <w:rsid w:val="00952343"/>
    <w:rsid w:val="00977831"/>
    <w:rsid w:val="00982CC5"/>
    <w:rsid w:val="009A2C29"/>
    <w:rsid w:val="009A5630"/>
    <w:rsid w:val="009C20B2"/>
    <w:rsid w:val="009C568D"/>
    <w:rsid w:val="00A173D8"/>
    <w:rsid w:val="00A21789"/>
    <w:rsid w:val="00A24DC5"/>
    <w:rsid w:val="00A703CF"/>
    <w:rsid w:val="00A82793"/>
    <w:rsid w:val="00A909F2"/>
    <w:rsid w:val="00AA0213"/>
    <w:rsid w:val="00AB528A"/>
    <w:rsid w:val="00AE56A4"/>
    <w:rsid w:val="00B03687"/>
    <w:rsid w:val="00B0421E"/>
    <w:rsid w:val="00B30C85"/>
    <w:rsid w:val="00B356A3"/>
    <w:rsid w:val="00B93A85"/>
    <w:rsid w:val="00BA7580"/>
    <w:rsid w:val="00BB23F7"/>
    <w:rsid w:val="00BB680C"/>
    <w:rsid w:val="00BD2170"/>
    <w:rsid w:val="00BD2845"/>
    <w:rsid w:val="00BF099B"/>
    <w:rsid w:val="00C223EB"/>
    <w:rsid w:val="00C27177"/>
    <w:rsid w:val="00C340CA"/>
    <w:rsid w:val="00C510F1"/>
    <w:rsid w:val="00C74B65"/>
    <w:rsid w:val="00C82F0F"/>
    <w:rsid w:val="00C91325"/>
    <w:rsid w:val="00CA6AE3"/>
    <w:rsid w:val="00CC7175"/>
    <w:rsid w:val="00CC7BE6"/>
    <w:rsid w:val="00CD5645"/>
    <w:rsid w:val="00CF42CA"/>
    <w:rsid w:val="00D40815"/>
    <w:rsid w:val="00D71942"/>
    <w:rsid w:val="00DA486F"/>
    <w:rsid w:val="00DC12DF"/>
    <w:rsid w:val="00E16727"/>
    <w:rsid w:val="00E21D1A"/>
    <w:rsid w:val="00E277F1"/>
    <w:rsid w:val="00E41CE3"/>
    <w:rsid w:val="00EA3320"/>
    <w:rsid w:val="00EB15B5"/>
    <w:rsid w:val="00EC6552"/>
    <w:rsid w:val="00ED7DE4"/>
    <w:rsid w:val="00EF60D9"/>
    <w:rsid w:val="00F515B8"/>
    <w:rsid w:val="00F6205E"/>
    <w:rsid w:val="00F723EC"/>
    <w:rsid w:val="00FB4035"/>
    <w:rsid w:val="00FE2BC6"/>
    <w:rsid w:val="1F1470B0"/>
    <w:rsid w:val="3C6E6768"/>
    <w:rsid w:val="3F38245B"/>
    <w:rsid w:val="5045784D"/>
    <w:rsid w:val="5CB36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1">
    <w:name w:val="列表段落1"/>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3459</Words>
  <Characters>19718</Characters>
  <Lines>164</Lines>
  <Paragraphs>46</Paragraphs>
  <TotalTime>9</TotalTime>
  <ScaleCrop>false</ScaleCrop>
  <LinksUpToDate>false</LinksUpToDate>
  <CharactersWithSpaces>23131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2022-11-05T09:05:00Z</dcterms:created>
  <dc:creator>李 煜兵</dc:creator>
  <cp:lastModifiedBy>可乐</cp:lastModifiedBy>
  <dcterms:modified xsi:type="dcterms:W3CDTF">2023-11-06T06:16:43Z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7B67307AF192428B8C9C9533C943FDAF_13</vt:lpwstr>
  </property>
</Properties>
</file>