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57" w:tblpY="19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Features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Weight coefficient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Hematocrit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Hemoglobin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ALT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Fibrinogen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Ferritin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Platelet count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APTT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Folic acid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TAST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Vitamin B12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0.047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>
        <w:rPr>
          <w:rFonts w:hint="eastAsia"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able 1. Importance of the top 10 features in the prediction of the RF algorithm.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APTT, activated partial thromboplastin time; ALT, alanine transaminase; TAST, Transferrin saturation.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>
        <w:rPr>
          <w:rFonts w:hint="eastAsia"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able 2. Importance of </w:t>
      </w:r>
      <w:r>
        <w:rPr>
          <w:rFonts w:hint="eastAsia"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the features in the prediction of the CatBoost algorithm.</w:t>
      </w:r>
    </w:p>
    <w:tbl>
      <w:tblPr>
        <w:tblStyle w:val="5"/>
        <w:tblpPr w:leftFromText="180" w:rightFromText="180" w:vertAnchor="page" w:horzAnchor="page" w:tblpX="1916" w:tblpY="182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8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5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Features</w:t>
            </w:r>
          </w:p>
        </w:tc>
        <w:tc>
          <w:tcPr>
            <w:tcW w:w="26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Weight coefficient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5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Male</w:t>
            </w:r>
          </w:p>
        </w:tc>
        <w:tc>
          <w:tcPr>
            <w:tcW w:w="264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Hemoglobin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ALT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Ferritin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Fibrinogen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Total bilirubin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LVEF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Albumin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Serum creatinine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APTT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0.057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TAST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Platelet count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Folic acid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Vitamin B12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TT</w:t>
            </w: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5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HbA1c</w:t>
            </w:r>
          </w:p>
        </w:tc>
        <w:tc>
          <w:tcPr>
            <w:tcW w:w="2641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0.042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APTT, activated partial thromboplastin time; TT, thrombin time; ALT, alanine transaminase; HbA1c, hemoglobin A1c; LVEF, left ventricular ejection fraction; TAST, Transferrin saturation.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1135" cy="7452360"/>
            <wp:effectExtent l="0" t="0" r="1905" b="0"/>
            <wp:docPr id="1" name="图片 1" descr="supplementary fi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pplementary fig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</w:rPr>
        <w:t>Suppementary Fig</w:t>
      </w:r>
      <w:r>
        <w:rPr>
          <w:rFonts w:hint="eastAsia" w:ascii="Times New Roman" w:hAnsi="Times New Roman" w:cs="Times New Roman"/>
          <w:lang w:val="en-US" w:eastAsia="zh-CN"/>
        </w:rPr>
        <w:t>ure</w:t>
      </w:r>
      <w:bookmarkStart w:id="0" w:name="_GoBack"/>
      <w:r>
        <w:rPr>
          <w:rFonts w:hint="eastAsia" w:ascii="Times New Roman" w:hAnsi="Times New Roman" w:cs="Times New Roman"/>
        </w:rPr>
        <w:t xml:space="preserve"> 1</w:t>
      </w:r>
      <w:bookmarkEnd w:id="0"/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</w:rPr>
        <w:t xml:space="preserve"> SHAP dependence plot of the CatBoost model. In the SHAP dependence plot, each panel beautifully illustrates how every individual feature contributes to the output of the CatBoost prediction model. The x-axis elegantly displays the raw values of each feature while the y-axis gracefully indicates the SHAP values of the features. Moreover, when the SHAP value of a specific feature exceeds zero, it signifies an elevated risk of intraoperative RBC transfusion. Such a remarkable visualization enables easy interpretation and further analysis of the critical factors that impact the outcome of the prediction model.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APTT, activated partial thromboplastin time; TT, thrombin time; ALT, alanine transaminase; HbA1c, hemoglobin A1c; LVEF, left ventricular ejection fraction; TAST, Transferrin saturation.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TgxNTU1NmQ5MTUwYjc4ZDE5ZjAwOGJjZGFhZmQifQ=="/>
  </w:docVars>
  <w:rsids>
    <w:rsidRoot w:val="5A476343"/>
    <w:rsid w:val="00150890"/>
    <w:rsid w:val="00A4134B"/>
    <w:rsid w:val="00C1796D"/>
    <w:rsid w:val="04137DFA"/>
    <w:rsid w:val="0C584E1D"/>
    <w:rsid w:val="13F974EB"/>
    <w:rsid w:val="16D30703"/>
    <w:rsid w:val="1EF1268E"/>
    <w:rsid w:val="1FA31BDA"/>
    <w:rsid w:val="2A571FFD"/>
    <w:rsid w:val="2B1710CA"/>
    <w:rsid w:val="2B7D3C27"/>
    <w:rsid w:val="2BFF463C"/>
    <w:rsid w:val="4A1E0053"/>
    <w:rsid w:val="5A476343"/>
    <w:rsid w:val="5F465B03"/>
    <w:rsid w:val="5F7408C2"/>
    <w:rsid w:val="60EE20E7"/>
    <w:rsid w:val="6122442E"/>
    <w:rsid w:val="63585E05"/>
    <w:rsid w:val="7A9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1505</Characters>
  <Lines>9</Lines>
  <Paragraphs>2</Paragraphs>
  <TotalTime>1</TotalTime>
  <ScaleCrop>false</ScaleCrop>
  <LinksUpToDate>false</LinksUpToDate>
  <CharactersWithSpaces>1691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2023-04-13T08:17:00Z</dcterms:created>
  <dc:creator>道格特山姆</dc:creator>
  <cp:lastModifiedBy>道格特山姆</cp:lastModifiedBy>
  <dcterms:modified xsi:type="dcterms:W3CDTF">2023-05-09T12:37:45Z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C20D41A938BF4EBFB8C9311F0F24C6C9_13</vt:lpwstr>
  </property>
</Properties>
</file>