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6262" w14:textId="4D0B3810" w:rsidR="00276854" w:rsidRPr="00BB4604" w:rsidRDefault="00A24222" w:rsidP="0027685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24222">
        <w:rPr>
          <w:rFonts w:ascii="Times New Roman" w:hAnsi="Times New Roman" w:cs="Times New Roman"/>
          <w:b/>
          <w:bCs/>
          <w:color w:val="000000" w:themeColor="text1"/>
        </w:rPr>
        <w:t>Supplementary Table 1</w:t>
      </w:r>
      <w:r w:rsidR="00276854" w:rsidRPr="00BB4604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B440F4">
        <w:rPr>
          <w:rFonts w:ascii="Times New Roman" w:hAnsi="Times New Roman" w:cs="Times New Roman"/>
          <w:b/>
          <w:bCs/>
          <w:color w:val="000000" w:themeColor="text1"/>
        </w:rPr>
        <w:t>E-</w:t>
      </w:r>
      <w:r w:rsidR="00276854" w:rsidRPr="00BB4604">
        <w:rPr>
          <w:rFonts w:ascii="Times New Roman" w:hAnsi="Times New Roman" w:cs="Times New Roman"/>
          <w:b/>
          <w:bCs/>
          <w:color w:val="000000" w:themeColor="text1"/>
        </w:rPr>
        <w:t xml:space="preserve">DII scores for January 2017–March 2020 NHANES participants with and without </w:t>
      </w:r>
      <w:r w:rsidR="00B440F4" w:rsidRPr="00B440F4">
        <w:rPr>
          <w:rFonts w:ascii="Times New Roman" w:hAnsi="Times New Roman" w:cs="Times New Roman"/>
          <w:b/>
          <w:bCs/>
          <w:color w:val="000000" w:themeColor="text1"/>
        </w:rPr>
        <w:t>gallstone disease</w:t>
      </w:r>
      <w:r w:rsidR="00276854" w:rsidRPr="00BB4604">
        <w:rPr>
          <w:rFonts w:ascii="Times New Roman" w:hAnsi="Times New Roman" w:cs="Times New Roman"/>
          <w:b/>
          <w:bCs/>
          <w:color w:val="000000" w:themeColor="text1"/>
        </w:rPr>
        <w:t>.</w:t>
      </w:r>
    </w:p>
    <w:tbl>
      <w:tblPr>
        <w:tblW w:w="5594" w:type="pct"/>
        <w:jc w:val="center"/>
        <w:tblLook w:val="0420" w:firstRow="1" w:lastRow="0" w:firstColumn="0" w:lastColumn="0" w:noHBand="0" w:noVBand="1"/>
      </w:tblPr>
      <w:tblGrid>
        <w:gridCol w:w="1843"/>
        <w:gridCol w:w="2476"/>
        <w:gridCol w:w="2200"/>
        <w:gridCol w:w="1945"/>
        <w:gridCol w:w="880"/>
      </w:tblGrid>
      <w:tr w:rsidR="00276854" w:rsidRPr="00BB4604" w14:paraId="415FB80F" w14:textId="77777777" w:rsidTr="00171379">
        <w:trPr>
          <w:tblHeader/>
          <w:jc w:val="center"/>
        </w:trPr>
        <w:tc>
          <w:tcPr>
            <w:tcW w:w="986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42D5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  <w:t>Characteristic</w:t>
            </w:r>
          </w:p>
        </w:tc>
        <w:tc>
          <w:tcPr>
            <w:tcW w:w="1325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E1AF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  <w:t>Overall</w:t>
            </w: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 </w:t>
            </w:r>
          </w:p>
          <w:p w14:paraId="728DDD99" w14:textId="7686419B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n = </w:t>
            </w:r>
            <w:r w:rsidR="00B440F4" w:rsidRPr="00B440F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6887</w:t>
            </w:r>
          </w:p>
        </w:tc>
        <w:tc>
          <w:tcPr>
            <w:tcW w:w="117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2D7E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  <w:t>Without GSD</w:t>
            </w:r>
          </w:p>
          <w:p w14:paraId="5B8D1ECD" w14:textId="37B124C8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n = </w:t>
            </w:r>
            <w:r w:rsidR="00B440F4" w:rsidRPr="00B440F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6150(89.3%)</w:t>
            </w:r>
          </w:p>
        </w:tc>
        <w:tc>
          <w:tcPr>
            <w:tcW w:w="104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B1E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  <w:t>With GSD</w:t>
            </w:r>
          </w:p>
          <w:p w14:paraId="675CE645" w14:textId="48C0C3C0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</w:t>
            </w:r>
            <w:r w:rsidR="00B440F4" w:rsidRPr="00B440F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n = 737(10.7%)</w:t>
            </w:r>
          </w:p>
        </w:tc>
        <w:tc>
          <w:tcPr>
            <w:tcW w:w="47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E63D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b/>
                <w:i/>
                <w:iCs/>
                <w:color w:val="000000" w:themeColor="text1"/>
                <w:sz w:val="22"/>
              </w:rPr>
              <w:t>P-</w:t>
            </w:r>
            <w:r w:rsidRPr="00BB4604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</w:rPr>
              <w:t>value</w:t>
            </w:r>
          </w:p>
        </w:tc>
      </w:tr>
      <w:tr w:rsidR="00B440F4" w:rsidRPr="00BB4604" w14:paraId="563DBBDD" w14:textId="77777777" w:rsidTr="00171379">
        <w:trPr>
          <w:jc w:val="center"/>
        </w:trPr>
        <w:tc>
          <w:tcPr>
            <w:tcW w:w="986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E1B5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DII</w:t>
            </w:r>
          </w:p>
        </w:tc>
        <w:tc>
          <w:tcPr>
            <w:tcW w:w="132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9074" w14:textId="2AA1720D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1.16 (-0.34, 2.35)</w:t>
            </w:r>
          </w:p>
        </w:tc>
        <w:tc>
          <w:tcPr>
            <w:tcW w:w="1177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98B8" w14:textId="2DDFD5A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1.17 (-0.33, 2.34)</w:t>
            </w:r>
          </w:p>
        </w:tc>
        <w:tc>
          <w:tcPr>
            <w:tcW w:w="1041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97F2" w14:textId="304B200B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1.07 (-0.41, 2.46)</w:t>
            </w:r>
          </w:p>
        </w:tc>
        <w:tc>
          <w:tcPr>
            <w:tcW w:w="471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F53C" w14:textId="781C2695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&gt;0.9</w:t>
            </w:r>
          </w:p>
        </w:tc>
      </w:tr>
      <w:tr w:rsidR="00B440F4" w:rsidRPr="00BB4604" w14:paraId="297064DB" w14:textId="77777777" w:rsidTr="00171379">
        <w:trPr>
          <w:jc w:val="center"/>
        </w:trPr>
        <w:tc>
          <w:tcPr>
            <w:tcW w:w="9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E88D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DII group</w:t>
            </w:r>
          </w:p>
        </w:tc>
        <w:tc>
          <w:tcPr>
            <w:tcW w:w="13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25D8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80ED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4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B314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DBD6" w14:textId="24EB1013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0.044</w:t>
            </w:r>
          </w:p>
        </w:tc>
      </w:tr>
      <w:tr w:rsidR="00B440F4" w:rsidRPr="00BB4604" w14:paraId="194F6402" w14:textId="77777777" w:rsidTr="00171379">
        <w:trPr>
          <w:jc w:val="center"/>
        </w:trPr>
        <w:tc>
          <w:tcPr>
            <w:tcW w:w="9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DD4E" w14:textId="3E9B6950" w:rsidR="00B440F4" w:rsidRPr="00BB4604" w:rsidRDefault="007102A6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Tertile 1</w:t>
            </w:r>
          </w:p>
        </w:tc>
        <w:tc>
          <w:tcPr>
            <w:tcW w:w="13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D892" w14:textId="588091F3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787 (13.1%)</w:t>
            </w:r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2DB5" w14:textId="472D6962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716 (13.5%)</w:t>
            </w:r>
          </w:p>
        </w:tc>
        <w:tc>
          <w:tcPr>
            <w:tcW w:w="104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5C55" w14:textId="53BCB665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71 (9.5%)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1213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B440F4" w:rsidRPr="00BB4604" w14:paraId="21C65489" w14:textId="77777777" w:rsidTr="00171379">
        <w:trPr>
          <w:jc w:val="center"/>
        </w:trPr>
        <w:tc>
          <w:tcPr>
            <w:tcW w:w="9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5302" w14:textId="70D955F9" w:rsidR="00B440F4" w:rsidRPr="00BB4604" w:rsidRDefault="007102A6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Tertile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3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22A1" w14:textId="6671F683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4,373 (63.1%)</w:t>
            </w:r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6F73" w14:textId="481D13B1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3,903 (63.0%)</w:t>
            </w:r>
          </w:p>
        </w:tc>
        <w:tc>
          <w:tcPr>
            <w:tcW w:w="104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7D73" w14:textId="7653CF8D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470 (64.0%)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631E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B440F4" w:rsidRPr="00BB4604" w14:paraId="675B6B96" w14:textId="77777777" w:rsidTr="00171379">
        <w:trPr>
          <w:jc w:val="center"/>
        </w:trPr>
        <w:tc>
          <w:tcPr>
            <w:tcW w:w="98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CF0E" w14:textId="6CA69E3E" w:rsidR="00B440F4" w:rsidRPr="00BB4604" w:rsidRDefault="007102A6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Tertile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32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2A46" w14:textId="6768FE6B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1,727 (23.8%)</w:t>
            </w:r>
          </w:p>
        </w:tc>
        <w:tc>
          <w:tcPr>
            <w:tcW w:w="117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7F45" w14:textId="13C5BE64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1,531 (23.5%)</w:t>
            </w:r>
          </w:p>
        </w:tc>
        <w:tc>
          <w:tcPr>
            <w:tcW w:w="1041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4A9E" w14:textId="3E409FD5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3FD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196 (26.5%)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4CFE" w14:textId="77777777" w:rsidR="00B440F4" w:rsidRPr="00BB4604" w:rsidRDefault="00B440F4" w:rsidP="00B44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276854" w:rsidRPr="00BB4604" w14:paraId="34B8A6C0" w14:textId="77777777" w:rsidTr="00171379">
        <w:trPr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45FD" w14:textId="58CF0EAA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Abbreviations: </w:t>
            </w:r>
            <w:r w:rsidR="00B440F4">
              <w:rPr>
                <w:rFonts w:ascii="Times New Roman" w:hAnsi="Times New Roman" w:cs="Times New Roman"/>
                <w:color w:val="000000" w:themeColor="text1"/>
                <w:sz w:val="22"/>
              </w:rPr>
              <w:t>E-</w:t>
            </w:r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>DII,</w:t>
            </w:r>
            <w:bookmarkStart w:id="0" w:name="_Hlk139810093"/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B440F4" w:rsidRPr="00B440F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energy-adjusted </w:t>
            </w:r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>dietary inflammatory index</w:t>
            </w:r>
            <w:bookmarkEnd w:id="0"/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; GSD, </w:t>
            </w:r>
            <w:bookmarkStart w:id="1" w:name="_Hlk159763326"/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>gallstone disease</w:t>
            </w:r>
            <w:bookmarkEnd w:id="1"/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>.</w:t>
            </w:r>
          </w:p>
          <w:p w14:paraId="31F8D55A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321D9A63" w14:textId="77777777" w:rsidR="00276854" w:rsidRPr="00BB4604" w:rsidRDefault="00276854" w:rsidP="0017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color w:val="000000" w:themeColor="text1"/>
                <w:sz w:val="22"/>
              </w:rPr>
            </w:pPr>
          </w:p>
        </w:tc>
      </w:tr>
    </w:tbl>
    <w:p w14:paraId="63E6CAAF" w14:textId="77777777" w:rsidR="00D105B7" w:rsidRDefault="00D105B7"/>
    <w:sectPr w:rsidR="00D105B7" w:rsidSect="00651BCD">
      <w:type w:val="continuous"/>
      <w:pgSz w:w="11952" w:h="16848"/>
      <w:pgMar w:top="1440" w:right="1440" w:bottom="1440" w:left="1440" w:header="720" w:footer="720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8570" w14:textId="77777777" w:rsidR="00651BCD" w:rsidRDefault="00651BCD" w:rsidP="00176329">
      <w:r>
        <w:separator/>
      </w:r>
    </w:p>
  </w:endnote>
  <w:endnote w:type="continuationSeparator" w:id="0">
    <w:p w14:paraId="3F8D7AFA" w14:textId="77777777" w:rsidR="00651BCD" w:rsidRDefault="00651BCD" w:rsidP="0017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823" w14:textId="77777777" w:rsidR="00651BCD" w:rsidRDefault="00651BCD" w:rsidP="00176329">
      <w:r>
        <w:separator/>
      </w:r>
    </w:p>
  </w:footnote>
  <w:footnote w:type="continuationSeparator" w:id="0">
    <w:p w14:paraId="5651692A" w14:textId="77777777" w:rsidR="00651BCD" w:rsidRDefault="00651BCD" w:rsidP="0017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385744">
    <w:abstractNumId w:val="1"/>
  </w:num>
  <w:num w:numId="2" w16cid:durableId="476533245">
    <w:abstractNumId w:val="2"/>
  </w:num>
  <w:num w:numId="3" w16cid:durableId="8577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10"/>
    <w:rsid w:val="000B545D"/>
    <w:rsid w:val="00176329"/>
    <w:rsid w:val="00276854"/>
    <w:rsid w:val="00600BB4"/>
    <w:rsid w:val="00651BCD"/>
    <w:rsid w:val="00683BD8"/>
    <w:rsid w:val="007102A6"/>
    <w:rsid w:val="008C1C10"/>
    <w:rsid w:val="00A24222"/>
    <w:rsid w:val="00B440F4"/>
    <w:rsid w:val="00C53AC9"/>
    <w:rsid w:val="00D105B7"/>
    <w:rsid w:val="00E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C860"/>
  <w15:docId w15:val="{81A9F172-6FCD-46C9-9516-E1C33C6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1763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763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63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76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 YeARly</cp:lastModifiedBy>
  <cp:revision>14</cp:revision>
  <dcterms:created xsi:type="dcterms:W3CDTF">2017-02-28T11:18:00Z</dcterms:created>
  <dcterms:modified xsi:type="dcterms:W3CDTF">2024-02-25T08:59:00Z</dcterms:modified>
  <cp:category/>
</cp:coreProperties>
</file>