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5E7776C" w14:textId="7D13FA45" w:rsidR="00B8321E" w:rsidRDefault="006A4B0A">
      <w:r>
        <w:t xml:space="preserve">Additional File </w:t>
      </w:r>
      <w:r w:rsidR="00BE6C7F">
        <w:t>3</w:t>
      </w:r>
    </w:p>
    <w:p w14:paraId="2677029F" w14:textId="77777777" w:rsidR="006A4B0A" w:rsidRDefault="006A4B0A" w:rsidP="006A4B0A">
      <w:r>
        <w:t>Findings of studies that were rated ‘not supported’ and not included in final analysis of results. Listed per theme and author.</w:t>
      </w:r>
    </w:p>
    <w:p w14:paraId="3EAC62E1" w14:textId="77777777" w:rsidR="006A4B0A" w:rsidRDefault="006A4B0A" w:rsidP="006A4B0A">
      <w:pPr>
        <w:numPr>
          <w:ilvl w:val="0"/>
          <w:numId w:val="1"/>
        </w:numPr>
        <w:pBdr>
          <w:top w:val="nil"/>
          <w:left w:val="nil"/>
          <w:bottom w:val="nil"/>
          <w:right w:val="nil"/>
          <w:between w:val="nil"/>
        </w:pBdr>
        <w:rPr>
          <w:i/>
          <w:color w:val="000000"/>
        </w:rPr>
      </w:pPr>
      <w:r>
        <w:rPr>
          <w:i/>
          <w:color w:val="000000"/>
        </w:rPr>
        <w:t>The user-group</w:t>
      </w:r>
    </w:p>
    <w:tbl>
      <w:tblPr>
        <w:tblW w:w="15593" w:type="dxa"/>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27"/>
        <w:gridCol w:w="6521"/>
        <w:gridCol w:w="6945"/>
      </w:tblGrid>
      <w:tr w:rsidR="006A4B0A" w14:paraId="7E4087AC" w14:textId="77777777" w:rsidTr="0053428E">
        <w:tc>
          <w:tcPr>
            <w:tcW w:w="15593" w:type="dxa"/>
            <w:gridSpan w:val="3"/>
          </w:tcPr>
          <w:p w14:paraId="765A38C3" w14:textId="77777777" w:rsidR="006A4B0A" w:rsidRDefault="006A4B0A" w:rsidP="0053428E">
            <w:pPr>
              <w:rPr>
                <w:b/>
                <w:i/>
              </w:rPr>
            </w:pPr>
            <w:r>
              <w:rPr>
                <w:b/>
                <w:i/>
              </w:rPr>
              <w:t>Not included in analysis due to low quality:</w:t>
            </w:r>
          </w:p>
        </w:tc>
      </w:tr>
      <w:tr w:rsidR="006A4B0A" w14:paraId="149C06DA" w14:textId="77777777" w:rsidTr="0053428E">
        <w:tc>
          <w:tcPr>
            <w:tcW w:w="2127" w:type="dxa"/>
          </w:tcPr>
          <w:p w14:paraId="0CA1D4FD" w14:textId="77777777" w:rsidR="006A4B0A" w:rsidRDefault="006A4B0A" w:rsidP="0053428E">
            <w:r>
              <w:t>Author</w:t>
            </w:r>
          </w:p>
        </w:tc>
        <w:tc>
          <w:tcPr>
            <w:tcW w:w="6521" w:type="dxa"/>
          </w:tcPr>
          <w:p w14:paraId="377498FF" w14:textId="77777777" w:rsidR="006A4B0A" w:rsidRDefault="006A4B0A" w:rsidP="0053428E">
            <w:pPr>
              <w:jc w:val="center"/>
            </w:pPr>
            <w:r>
              <w:t>Facilitator</w:t>
            </w:r>
          </w:p>
        </w:tc>
        <w:tc>
          <w:tcPr>
            <w:tcW w:w="6945" w:type="dxa"/>
          </w:tcPr>
          <w:p w14:paraId="0F1E3320" w14:textId="77777777" w:rsidR="006A4B0A" w:rsidRDefault="006A4B0A" w:rsidP="0053428E">
            <w:pPr>
              <w:jc w:val="center"/>
            </w:pPr>
            <w:r>
              <w:t>Barrier</w:t>
            </w:r>
          </w:p>
        </w:tc>
      </w:tr>
      <w:tr w:rsidR="006A4B0A" w14:paraId="3CB2299D" w14:textId="77777777" w:rsidTr="0053428E">
        <w:tc>
          <w:tcPr>
            <w:tcW w:w="2127" w:type="dxa"/>
            <w:vMerge w:val="restart"/>
          </w:tcPr>
          <w:p w14:paraId="40BFA3D3" w14:textId="0CD4F074" w:rsidR="006A4B0A" w:rsidRDefault="006A4B0A" w:rsidP="0053428E">
            <w:r>
              <w:t>Dagenais et al, 2015</w:t>
            </w:r>
            <w:r>
              <w:fldChar w:fldCharType="begin" w:fldLock="1"/>
            </w:r>
            <w:r>
              <w:instrText>ADDIN CSL_CITATION {"citationItems":[{"id":"ITEM-1","itemData":{"DOI":"10.1016/j.evalprogplan.2015.07.003","ISSN":"01497189","PMID":"26203522","abstract":"Empirical data on the processes underlying knowledge brokering (KB) interventions, including their determining factors and effects, remain scarce. Furthermore, these interventions are rarely built on explicit theoretical foundations, making their critical analysis difficult, even a posteriori. For these reasons, it appeared relevant to revisit the results of a qualitative evaluation undertaken in the province of Quebec in parallel with a Canada-wide randomized controlled trial (RCT) evaluating various KB strategies in public health. This paper looks critically at the theoretical foundations of the KB interventions in light of two conceptual models: (1) the dissemination model underlying the KB interventions used in the Canadian trial and (2) a systemic KB model developed later. This critical analysis sheds light on the processes involved in KB interventions and the factors influencing their implementation and effects. The conclusions of the critical analysis are consistent with the systemic model, in which interpersonal contact is an essential condition for effective KB interventions. This analysis may advance knowledge in the field by enhancing our understanding of the role of knowledge brokers as essential mediators in KB processes and outcomes.","author":[{"dropping-particle":"","family":"Dagenais","given":"Christian","non-dropping-particle":"","parse-names":false,"suffix":""},{"dropping-particle":"","family":"Laurendeau","given":"Marie Claire","non-dropping-particle":"","parse-names":false,"suffix":""},{"dropping-particle":"","family":"Briand-Lamarche","given":"Mélodie","non-dropping-particle":"","parse-names":false,"suffix":""}],"container-title":"Evaluation and Program Planning","id":"ITEM-1","issued":{"date-parts":[["2015"]]},"page":"10-17","title":"Knowledge brokering in public health: A critical analysis of the results of a qualitative evaluation","type":"article-journal","volume":"53"},"uris":["http://www.mendeley.com/documents/?uuid=54da593e-fb2c-4997-ad12-c659e1fc1f48"]}],"mendeley":{"formattedCitation":"(38)","plainTextFormattedCitation":"(38)","previouslyFormattedCitation":"(38)"},"properties":{"noteIndex":0},"schema":"https://github.com/citation-style-language/schema/raw/master/csl-citation.json"}</w:instrText>
            </w:r>
            <w:r>
              <w:fldChar w:fldCharType="separate"/>
            </w:r>
            <w:r w:rsidRPr="007036BA">
              <w:rPr>
                <w:noProof/>
              </w:rPr>
              <w:t>(</w:t>
            </w:r>
            <w:r w:rsidR="00BC17DC">
              <w:rPr>
                <w:noProof/>
              </w:rPr>
              <w:t>57</w:t>
            </w:r>
            <w:r w:rsidRPr="007036BA">
              <w:rPr>
                <w:noProof/>
              </w:rPr>
              <w:t>)</w:t>
            </w:r>
            <w:r>
              <w:fldChar w:fldCharType="end"/>
            </w:r>
          </w:p>
        </w:tc>
        <w:tc>
          <w:tcPr>
            <w:tcW w:w="6521" w:type="dxa"/>
          </w:tcPr>
          <w:p w14:paraId="12FCAC33" w14:textId="77777777" w:rsidR="006A4B0A" w:rsidRDefault="006A4B0A" w:rsidP="0053428E">
            <w:r>
              <w:t>The respondents particularly appreciated the broker’s support in helping them to understand and interpret the new knowledge. Page 14</w:t>
            </w:r>
          </w:p>
        </w:tc>
        <w:tc>
          <w:tcPr>
            <w:tcW w:w="6945" w:type="dxa"/>
          </w:tcPr>
          <w:p w14:paraId="0266CC24" w14:textId="77777777" w:rsidR="006A4B0A" w:rsidRDefault="006A4B0A" w:rsidP="0053428E">
            <w:r>
              <w:t>--</w:t>
            </w:r>
          </w:p>
        </w:tc>
      </w:tr>
      <w:tr w:rsidR="006A4B0A" w14:paraId="006C8131" w14:textId="77777777" w:rsidTr="0053428E">
        <w:tc>
          <w:tcPr>
            <w:tcW w:w="2127" w:type="dxa"/>
            <w:vMerge/>
          </w:tcPr>
          <w:p w14:paraId="19F35025" w14:textId="77777777" w:rsidR="006A4B0A" w:rsidRDefault="006A4B0A" w:rsidP="0053428E">
            <w:pPr>
              <w:widowControl w:val="0"/>
              <w:pBdr>
                <w:top w:val="nil"/>
                <w:left w:val="nil"/>
                <w:bottom w:val="nil"/>
                <w:right w:val="nil"/>
                <w:between w:val="nil"/>
              </w:pBdr>
              <w:spacing w:line="276" w:lineRule="auto"/>
            </w:pPr>
          </w:p>
        </w:tc>
        <w:tc>
          <w:tcPr>
            <w:tcW w:w="6521" w:type="dxa"/>
          </w:tcPr>
          <w:p w14:paraId="26565956" w14:textId="77777777" w:rsidR="006A4B0A" w:rsidRDefault="006A4B0A" w:rsidP="0053428E">
            <w:proofErr w:type="gramStart"/>
            <w:r>
              <w:t>With regard to</w:t>
            </w:r>
            <w:proofErr w:type="gramEnd"/>
            <w:r>
              <w:t xml:space="preserve"> organizational characteristics, the respondents from three sites reported that they made program decisions as a team. Page 15</w:t>
            </w:r>
          </w:p>
        </w:tc>
        <w:tc>
          <w:tcPr>
            <w:tcW w:w="6945" w:type="dxa"/>
          </w:tcPr>
          <w:p w14:paraId="59ADED11" w14:textId="77777777" w:rsidR="006A4B0A" w:rsidRDefault="006A4B0A" w:rsidP="0053428E">
            <w:r>
              <w:t>--</w:t>
            </w:r>
          </w:p>
        </w:tc>
      </w:tr>
      <w:tr w:rsidR="006A4B0A" w14:paraId="2472CEE1" w14:textId="77777777" w:rsidTr="0053428E">
        <w:tc>
          <w:tcPr>
            <w:tcW w:w="2127" w:type="dxa"/>
            <w:vMerge w:val="restart"/>
          </w:tcPr>
          <w:p w14:paraId="5DA4EA5F" w14:textId="09F0334A" w:rsidR="006A4B0A" w:rsidRDefault="006A4B0A" w:rsidP="0053428E">
            <w:r>
              <w:t>McBride et al, 2007</w:t>
            </w:r>
            <w:r>
              <w:fldChar w:fldCharType="begin" w:fldLock="1"/>
            </w:r>
            <w:r>
              <w:instrText>ADDIN CSL_CITATION {"citationItems":[{"id":"ITEM-1","itemData":{"DOI":"10.1080/09595230701613510","ISBN":"0959523070161","ISSN":"09595236","PMID":"17943527","abstract":"Introduction and Aims. This paper discusses the formal dissemination of the School Health and Alcohol Harm Reduction Project (National SHAHRP Dissemination Project) in Australia. The original SHAHRP research programme (SHAHRP study) was assessed previously for effectiveness during a longitudinal research study which followed the student participants over 32 months post-intervention. The SHAHRP study focused on evaluating the behavioural impact of the programme and the results indicated that wider dissemination would be of value. Design and Methods. The National SHAHRP Dissemination Project involved key decision makers of drug education in the Government, Catholic and Independent schools sectors, in targeted states, agreeing to disseminate the SHAHRP Project through teacher educators and teachers in their sector and regions. Process, reach and project satisfaction were assessed. Results. The Dissemination Project conducted two workshops for 35 teacher educators. Fifteen teacher educators subsequently conducted 21 workshops for teachers between August 2003 and June 2004. One hundred and seventy schools and nearly 300 (294) teachers were involved in this training. Discussion and Conclusions. The advantages and barriers of researcher-led dissemination, as illustrated in this study, suggest that methods other than publication in scientific journals and presentation at conferences may be useful for the transfer of effective intervention research programmes to practice. There may be some benefit to identifying and testing other research-initiated pathways leading to evidence-based policy and practice which, in combination with practitioner-led transfer, can help to bridge the gap between research and practice in the future. [McBride NT, Farringdon FH, Kennedy CA. Research to practice - formal dissemination of the School Health and Alcohol Harm Reduction Project (SHAHRP) in Australia. Drug Alcohol Rev 2007;26:665-672].","author":[{"dropping-particle":"","family":"McBride","given":"Nyanda T.","non-dropping-particle":"","parse-names":false,"suffix":""},{"dropping-particle":"","family":"Farringdon","given":"Fiona H.","non-dropping-particle":"","parse-names":false,"suffix":""},{"dropping-particle":"","family":"Kennedy","given":"Carol A.","non-dropping-particle":"","parse-names":false,"suffix":""}],"container-title":"Drug and Alcohol Review","id":"ITEM-1","issue":"6","issued":{"date-parts":[["2007"]]},"page":"665-672","title":"Research to practice - Formal dissemination of the School Health and Alcohol Harm Reduction Project (SHAHRP) in Australia","type":"article-journal","volume":"26"},"uris":["http://www.mendeley.com/documents/?uuid=2482ef7e-c8b0-473f-a2aa-709c062b0bb7"]}],"mendeley":{"formattedCitation":"(40)","plainTextFormattedCitation":"(40)","previouslyFormattedCitation":"(40)"},"properties":{"noteIndex":0},"schema":"https://github.com/citation-style-language/schema/raw/master/csl-citation.json"}</w:instrText>
            </w:r>
            <w:r>
              <w:fldChar w:fldCharType="separate"/>
            </w:r>
            <w:r w:rsidRPr="007036BA">
              <w:rPr>
                <w:noProof/>
              </w:rPr>
              <w:t>(</w:t>
            </w:r>
            <w:r w:rsidR="00BC17DC">
              <w:rPr>
                <w:noProof/>
              </w:rPr>
              <w:t>55</w:t>
            </w:r>
            <w:r w:rsidRPr="007036BA">
              <w:rPr>
                <w:noProof/>
              </w:rPr>
              <w:t>)</w:t>
            </w:r>
            <w:r>
              <w:fldChar w:fldCharType="end"/>
            </w:r>
          </w:p>
        </w:tc>
        <w:tc>
          <w:tcPr>
            <w:tcW w:w="6521" w:type="dxa"/>
          </w:tcPr>
          <w:p w14:paraId="1AC039D9" w14:textId="77777777" w:rsidR="006A4B0A" w:rsidRDefault="006A4B0A" w:rsidP="0053428E">
            <w:r>
              <w:t>Additionally, others had heard previously of the SHAHRP project and were motivated by this prior knowledge. Page 669</w:t>
            </w:r>
          </w:p>
        </w:tc>
        <w:tc>
          <w:tcPr>
            <w:tcW w:w="6945" w:type="dxa"/>
          </w:tcPr>
          <w:p w14:paraId="5B77F805" w14:textId="77777777" w:rsidR="006A4B0A" w:rsidRDefault="006A4B0A" w:rsidP="0053428E">
            <w:r>
              <w:t xml:space="preserve">These barriers included: the uncertainty of education sectors funding and current positions making forward planning difficult; the position of teacher training in the fourth term rather than early in the year; a pre-existing workload which precluded additional workshops; a jurisdiction too small to be able to fulfil teacher workshop commitment: illness; lack of time; no support from the Principal; and moving to different schools and regions in the following year. Page 669. </w:t>
            </w:r>
          </w:p>
        </w:tc>
      </w:tr>
      <w:tr w:rsidR="006A4B0A" w14:paraId="697A0AE9" w14:textId="77777777" w:rsidTr="0053428E">
        <w:tc>
          <w:tcPr>
            <w:tcW w:w="2127" w:type="dxa"/>
            <w:vMerge/>
          </w:tcPr>
          <w:p w14:paraId="63775944" w14:textId="77777777" w:rsidR="006A4B0A" w:rsidRDefault="006A4B0A" w:rsidP="0053428E">
            <w:pPr>
              <w:widowControl w:val="0"/>
              <w:pBdr>
                <w:top w:val="nil"/>
                <w:left w:val="nil"/>
                <w:bottom w:val="nil"/>
                <w:right w:val="nil"/>
                <w:between w:val="nil"/>
              </w:pBdr>
              <w:spacing w:line="276" w:lineRule="auto"/>
            </w:pPr>
          </w:p>
        </w:tc>
        <w:tc>
          <w:tcPr>
            <w:tcW w:w="6521" w:type="dxa"/>
          </w:tcPr>
          <w:p w14:paraId="74A86323" w14:textId="77777777" w:rsidR="006A4B0A" w:rsidRDefault="006A4B0A" w:rsidP="0053428E">
            <w:r>
              <w:t xml:space="preserve">Several co-ordinators commented that the year-long commitment and the clear delineation of all parties’ involvement and commitment was a motivating factor, as was the involvement of their whole drug education team in training and teacher workshops. Page 669 </w:t>
            </w:r>
          </w:p>
        </w:tc>
        <w:tc>
          <w:tcPr>
            <w:tcW w:w="6945" w:type="dxa"/>
          </w:tcPr>
          <w:p w14:paraId="7AF022F5" w14:textId="77777777" w:rsidR="006A4B0A" w:rsidRDefault="006A4B0A" w:rsidP="0053428E">
            <w:r>
              <w:t>Two co-ordinators were concerned that some Principals may have not passed the details about the SHAHRP programme on to the relevant people in the school. Page 670.</w:t>
            </w:r>
          </w:p>
        </w:tc>
      </w:tr>
      <w:tr w:rsidR="006A4B0A" w14:paraId="698E533F" w14:textId="77777777" w:rsidTr="0053428E">
        <w:tc>
          <w:tcPr>
            <w:tcW w:w="2127" w:type="dxa"/>
            <w:vMerge w:val="restart"/>
          </w:tcPr>
          <w:p w14:paraId="0A017ADE" w14:textId="52C59715" w:rsidR="006A4B0A" w:rsidRDefault="006A4B0A" w:rsidP="0053428E">
            <w:r>
              <w:t>Hoelscher et al, 2001</w:t>
            </w:r>
            <w:r>
              <w:fldChar w:fldCharType="begin" w:fldLock="1"/>
            </w:r>
            <w:r>
              <w:instrText>ADDIN CSL_CITATION {"citationItems":[{"id":"ITEM-1","itemData":{"author":[{"dropping-particle":"","family":"Hoelscher","given":"Deanna M.;","non-dropping-particle":"","parse-names":false,"suffix":""},{"dropping-particle":"","family":"Kelder","given":"Steven H.;","non-dropping-particle":"","parse-names":false,"suffix":""},{"dropping-particle":"","family":"Murray","given":"Nancy;","non-dropping-particle":"","parse-names":false,"suffix":""},{"dropping-particle":"","family":"Cribb","given":"Peter W.;","non-dropping-particle":"","parse-names":false,"suffix":""},{"dropping-particle":"","family":"Conroy","given":"Jennifer;","non-dropping-particle":"","parse-names":false,"suffix":""},{"dropping-particle":"","family":"Parcel","given":"Guy S.","non-dropping-particle":"","parse-names":false,"suffix":""}],"container-title":"Journal of Public Health Management &amp; Practice","id":"ITEM-1","issue":"2","issued":{"date-parts":[["2001"]]},"page":"90-100","title":"Dissemination and adoption of the Child and Adolescent Trial for Cardiovascular Health (CATCH): a case study in Texas","type":"article-journal","volume":"7"},"uris":["http://www.mendeley.com/documents/?uuid=419bc5b4-98bb-454f-b394-bf52d18b9342"]}],"mendeley":{"formattedCitation":"(41)","plainTextFormattedCitation":"(41)","previouslyFormattedCitation":"(41)"},"properties":{"noteIndex":0},"schema":"https://github.com/citation-style-language/schema/raw/master/csl-citation.json"}</w:instrText>
            </w:r>
            <w:r>
              <w:fldChar w:fldCharType="separate"/>
            </w:r>
            <w:r w:rsidRPr="007036BA">
              <w:rPr>
                <w:noProof/>
              </w:rPr>
              <w:t>(</w:t>
            </w:r>
            <w:r w:rsidR="00ED6805">
              <w:rPr>
                <w:noProof/>
              </w:rPr>
              <w:t>56</w:t>
            </w:r>
            <w:r w:rsidRPr="007036BA">
              <w:rPr>
                <w:noProof/>
              </w:rPr>
              <w:t>)</w:t>
            </w:r>
            <w:r>
              <w:fldChar w:fldCharType="end"/>
            </w:r>
          </w:p>
        </w:tc>
        <w:tc>
          <w:tcPr>
            <w:tcW w:w="6521" w:type="dxa"/>
          </w:tcPr>
          <w:p w14:paraId="75D3518A" w14:textId="77777777" w:rsidR="006A4B0A" w:rsidRDefault="006A4B0A" w:rsidP="0053428E">
            <w:r>
              <w:t xml:space="preserve">Because school health programs have limited personal and financial support within the academic environment, ongoing support from the </w:t>
            </w:r>
            <w:r>
              <w:lastRenderedPageBreak/>
              <w:t xml:space="preserve">CATCH team provided technical resources for the practitioners as well as continuity through the CATCH diffusion network. Page 98. </w:t>
            </w:r>
          </w:p>
        </w:tc>
        <w:tc>
          <w:tcPr>
            <w:tcW w:w="6945" w:type="dxa"/>
          </w:tcPr>
          <w:p w14:paraId="46EC127E" w14:textId="77777777" w:rsidR="006A4B0A" w:rsidRDefault="006A4B0A" w:rsidP="0053428E">
            <w:r>
              <w:lastRenderedPageBreak/>
              <w:t xml:space="preserve">Cost of a program can affect dissemination efforts - most schools in Texas have limited budgets for physical education equipment and health </w:t>
            </w:r>
            <w:r>
              <w:lastRenderedPageBreak/>
              <w:t xml:space="preserve">education materials so financial support and underwriting of program costs was </w:t>
            </w:r>
            <w:proofErr w:type="spellStart"/>
            <w:r>
              <w:t>and</w:t>
            </w:r>
            <w:proofErr w:type="spellEnd"/>
            <w:r>
              <w:t xml:space="preserve"> important factor for dissemination. Page 97. </w:t>
            </w:r>
          </w:p>
        </w:tc>
      </w:tr>
      <w:tr w:rsidR="006A4B0A" w14:paraId="7BF66C07" w14:textId="77777777" w:rsidTr="0053428E">
        <w:tc>
          <w:tcPr>
            <w:tcW w:w="2127" w:type="dxa"/>
            <w:vMerge/>
          </w:tcPr>
          <w:p w14:paraId="141C922C" w14:textId="77777777" w:rsidR="006A4B0A" w:rsidRDefault="006A4B0A" w:rsidP="0053428E">
            <w:pPr>
              <w:widowControl w:val="0"/>
              <w:pBdr>
                <w:top w:val="nil"/>
                <w:left w:val="nil"/>
                <w:bottom w:val="nil"/>
                <w:right w:val="nil"/>
                <w:between w:val="nil"/>
              </w:pBdr>
              <w:spacing w:line="276" w:lineRule="auto"/>
            </w:pPr>
          </w:p>
        </w:tc>
        <w:tc>
          <w:tcPr>
            <w:tcW w:w="6521" w:type="dxa"/>
          </w:tcPr>
          <w:p w14:paraId="2720663F" w14:textId="77777777" w:rsidR="006A4B0A" w:rsidRDefault="006A4B0A" w:rsidP="0053428E">
            <w:r>
              <w:t>--</w:t>
            </w:r>
          </w:p>
        </w:tc>
        <w:tc>
          <w:tcPr>
            <w:tcW w:w="6945" w:type="dxa"/>
          </w:tcPr>
          <w:p w14:paraId="20FF4492" w14:textId="77777777" w:rsidR="006A4B0A" w:rsidRDefault="006A4B0A" w:rsidP="0053428E">
            <w:r>
              <w:t xml:space="preserve">Dissemination efforts to classroom teachers have been less robust, probably </w:t>
            </w:r>
            <w:proofErr w:type="gramStart"/>
            <w:r>
              <w:t>due to the fact that</w:t>
            </w:r>
            <w:proofErr w:type="gramEnd"/>
            <w:r>
              <w:t xml:space="preserve"> the classroom teacher organizations do not have a strong health, physical activity, or nutrition emphasis and it has been difficult to identify a singular social system or organization for elementary school teachers. Page 97. </w:t>
            </w:r>
          </w:p>
        </w:tc>
      </w:tr>
    </w:tbl>
    <w:p w14:paraId="379B4453" w14:textId="77777777" w:rsidR="006A4B0A" w:rsidRDefault="006A4B0A" w:rsidP="006A4B0A">
      <w:pPr>
        <w:pBdr>
          <w:top w:val="nil"/>
          <w:left w:val="nil"/>
          <w:bottom w:val="nil"/>
          <w:right w:val="nil"/>
          <w:between w:val="nil"/>
        </w:pBdr>
        <w:ind w:left="720"/>
        <w:rPr>
          <w:i/>
          <w:color w:val="000000"/>
        </w:rPr>
      </w:pPr>
    </w:p>
    <w:p w14:paraId="5A9900B0" w14:textId="77777777" w:rsidR="006A4B0A" w:rsidRDefault="006A4B0A" w:rsidP="006A4B0A">
      <w:pPr>
        <w:numPr>
          <w:ilvl w:val="0"/>
          <w:numId w:val="1"/>
        </w:numPr>
        <w:pBdr>
          <w:top w:val="nil"/>
          <w:left w:val="nil"/>
          <w:bottom w:val="nil"/>
          <w:right w:val="nil"/>
          <w:between w:val="nil"/>
        </w:pBdr>
        <w:rPr>
          <w:i/>
          <w:color w:val="000000"/>
        </w:rPr>
      </w:pPr>
      <w:r>
        <w:rPr>
          <w:i/>
          <w:color w:val="000000"/>
        </w:rPr>
        <w:t>The issue</w:t>
      </w:r>
    </w:p>
    <w:tbl>
      <w:tblPr>
        <w:tblW w:w="15593" w:type="dxa"/>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363"/>
        <w:gridCol w:w="7285"/>
        <w:gridCol w:w="6945"/>
      </w:tblGrid>
      <w:tr w:rsidR="006A4B0A" w14:paraId="63E1635E" w14:textId="77777777" w:rsidTr="0053428E">
        <w:tc>
          <w:tcPr>
            <w:tcW w:w="15593" w:type="dxa"/>
            <w:gridSpan w:val="3"/>
          </w:tcPr>
          <w:p w14:paraId="3ABC464A" w14:textId="77777777" w:rsidR="006A4B0A" w:rsidRDefault="006A4B0A" w:rsidP="0053428E">
            <w:r>
              <w:t>Not included in analysis due to low quality</w:t>
            </w:r>
          </w:p>
        </w:tc>
      </w:tr>
      <w:tr w:rsidR="006A4B0A" w14:paraId="7F033B9B" w14:textId="77777777" w:rsidTr="0053428E">
        <w:tc>
          <w:tcPr>
            <w:tcW w:w="1363" w:type="dxa"/>
          </w:tcPr>
          <w:p w14:paraId="58ADE8DC" w14:textId="77777777" w:rsidR="006A4B0A" w:rsidRDefault="006A4B0A" w:rsidP="0053428E">
            <w:r>
              <w:t>Author</w:t>
            </w:r>
          </w:p>
        </w:tc>
        <w:tc>
          <w:tcPr>
            <w:tcW w:w="7285" w:type="dxa"/>
          </w:tcPr>
          <w:p w14:paraId="22CB265A" w14:textId="77777777" w:rsidR="006A4B0A" w:rsidRDefault="006A4B0A" w:rsidP="0053428E">
            <w:r>
              <w:t>Facilitator</w:t>
            </w:r>
          </w:p>
        </w:tc>
        <w:tc>
          <w:tcPr>
            <w:tcW w:w="6945" w:type="dxa"/>
          </w:tcPr>
          <w:p w14:paraId="668B09C8" w14:textId="77777777" w:rsidR="006A4B0A" w:rsidRDefault="006A4B0A" w:rsidP="0053428E">
            <w:pPr>
              <w:ind w:right="409"/>
            </w:pPr>
            <w:r>
              <w:t>Barrier</w:t>
            </w:r>
          </w:p>
        </w:tc>
      </w:tr>
      <w:tr w:rsidR="006A4B0A" w14:paraId="22841664" w14:textId="77777777" w:rsidTr="0053428E">
        <w:tc>
          <w:tcPr>
            <w:tcW w:w="1363" w:type="dxa"/>
            <w:vMerge w:val="restart"/>
          </w:tcPr>
          <w:p w14:paraId="3A12B679" w14:textId="6D57A157" w:rsidR="006A4B0A" w:rsidRDefault="006A4B0A" w:rsidP="0053428E">
            <w:r>
              <w:t>McBride et al, 2007</w:t>
            </w:r>
            <w:r>
              <w:fldChar w:fldCharType="begin" w:fldLock="1"/>
            </w:r>
            <w:r>
              <w:instrText>ADDIN CSL_CITATION {"citationItems":[{"id":"ITEM-1","itemData":{"DOI":"10.1080/09595230701613510","ISBN":"0959523070161","ISSN":"09595236","PMID":"17943527","abstract":"Introduction and Aims. This paper discusses the formal dissemination of the School Health and Alcohol Harm Reduction Project (National SHAHRP Dissemination Project) in Australia. The original SHAHRP research programme (SHAHRP study) was assessed previously for effectiveness during a longitudinal research study which followed the student participants over 32 months post-intervention. The SHAHRP study focused on evaluating the behavioural impact of the programme and the results indicated that wider dissemination would be of value. Design and Methods. The National SHAHRP Dissemination Project involved key decision makers of drug education in the Government, Catholic and Independent schools sectors, in targeted states, agreeing to disseminate the SHAHRP Project through teacher educators and teachers in their sector and regions. Process, reach and project satisfaction were assessed. Results. The Dissemination Project conducted two workshops for 35 teacher educators. Fifteen teacher educators subsequently conducted 21 workshops for teachers between August 2003 and June 2004. One hundred and seventy schools and nearly 300 (294) teachers were involved in this training. Discussion and Conclusions. The advantages and barriers of researcher-led dissemination, as illustrated in this study, suggest that methods other than publication in scientific journals and presentation at conferences may be useful for the transfer of effective intervention research programmes to practice. There may be some benefit to identifying and testing other research-initiated pathways leading to evidence-based policy and practice which, in combination with practitioner-led transfer, can help to bridge the gap between research and practice in the future. [McBride NT, Farringdon FH, Kennedy CA. Research to practice - formal dissemination of the School Health and Alcohol Harm Reduction Project (SHAHRP) in Australia. Drug Alcohol Rev 2007;26:665-672].","author":[{"dropping-particle":"","family":"McBride","given":"Nyanda T.","non-dropping-particle":"","parse-names":false,"suffix":""},{"dropping-particle":"","family":"Farringdon","given":"Fiona H.","non-dropping-particle":"","parse-names":false,"suffix":""},{"dropping-particle":"","family":"Kennedy","given":"Carol A.","non-dropping-particle":"","parse-names":false,"suffix":""}],"container-title":"Drug and Alcohol Review","id":"ITEM-1","issue":"6","issued":{"date-parts":[["2007"]]},"page":"665-672","title":"Research to practice - Formal dissemination of the School Health and Alcohol Harm Reduction Project (SHAHRP) in Australia","type":"article-journal","volume":"26"},"uris":["http://www.mendeley.com/documents/?uuid=2482ef7e-c8b0-473f-a2aa-709c062b0bb7"]}],"mendeley":{"formattedCitation":"(40)","plainTextFormattedCitation":"(40)","previouslyFormattedCitation":"(40)"},"properties":{"noteIndex":0},"schema":"https://github.com/citation-style-language/schema/raw/master/csl-citation.json"}</w:instrText>
            </w:r>
            <w:r>
              <w:fldChar w:fldCharType="separate"/>
            </w:r>
            <w:r w:rsidRPr="007036BA">
              <w:rPr>
                <w:noProof/>
              </w:rPr>
              <w:t>(</w:t>
            </w:r>
            <w:r w:rsidR="00ED6805">
              <w:rPr>
                <w:noProof/>
              </w:rPr>
              <w:t>55</w:t>
            </w:r>
            <w:r w:rsidRPr="007036BA">
              <w:rPr>
                <w:noProof/>
              </w:rPr>
              <w:t>)</w:t>
            </w:r>
            <w:r>
              <w:fldChar w:fldCharType="end"/>
            </w:r>
          </w:p>
        </w:tc>
        <w:tc>
          <w:tcPr>
            <w:tcW w:w="7285" w:type="dxa"/>
          </w:tcPr>
          <w:p w14:paraId="7AEF21E3" w14:textId="77777777" w:rsidR="006A4B0A" w:rsidRDefault="006A4B0A" w:rsidP="0053428E">
            <w:r>
              <w:t xml:space="preserve">When asked if the researchers at NDRI could do more to make the process of dissemination easier for their organisation, all respondents agreed that they had received a great deal of support from NDRI. One coordinator suggested that an official letter from NDRI to school Principals outlining details of the SHAHRP programme, study results and the National Dissemination Project may have increased the status of the programme, and therefore support, at the school level. Page 670. </w:t>
            </w:r>
          </w:p>
        </w:tc>
        <w:tc>
          <w:tcPr>
            <w:tcW w:w="6945" w:type="dxa"/>
          </w:tcPr>
          <w:p w14:paraId="42F3EAD0" w14:textId="77777777" w:rsidR="006A4B0A" w:rsidRDefault="006A4B0A" w:rsidP="0053428E">
            <w:pPr>
              <w:ind w:right="409"/>
            </w:pPr>
            <w:r>
              <w:t xml:space="preserve">These barriers included: the uncertainty of education sectors funding and current positions making forward planning difficult; the position of teacher training in the fourth term rather than early in the year; a pre-existing workload which precluded additional workshops; a jurisdiction too small to be able to fulfil teacher workshop commitment: illness; lack of time; no support from the Principal; and moving to different schools and regions in the following year. Page 670. </w:t>
            </w:r>
          </w:p>
        </w:tc>
      </w:tr>
      <w:tr w:rsidR="006A4B0A" w14:paraId="63210C96" w14:textId="77777777" w:rsidTr="0053428E">
        <w:tc>
          <w:tcPr>
            <w:tcW w:w="1363" w:type="dxa"/>
            <w:vMerge/>
          </w:tcPr>
          <w:p w14:paraId="405BB23A" w14:textId="77777777" w:rsidR="006A4B0A" w:rsidRDefault="006A4B0A" w:rsidP="0053428E">
            <w:pPr>
              <w:widowControl w:val="0"/>
              <w:pBdr>
                <w:top w:val="nil"/>
                <w:left w:val="nil"/>
                <w:bottom w:val="nil"/>
                <w:right w:val="nil"/>
                <w:between w:val="nil"/>
              </w:pBdr>
              <w:spacing w:line="276" w:lineRule="auto"/>
            </w:pPr>
          </w:p>
        </w:tc>
        <w:tc>
          <w:tcPr>
            <w:tcW w:w="7285" w:type="dxa"/>
          </w:tcPr>
          <w:p w14:paraId="18D121E1" w14:textId="77777777" w:rsidR="006A4B0A" w:rsidRDefault="006A4B0A" w:rsidP="0053428E">
            <w:r>
              <w:t>One key stakeholder noted that as a small state they are more responsive to offerings, as they do not have the capacity to develop their own resources.</w:t>
            </w:r>
          </w:p>
        </w:tc>
        <w:tc>
          <w:tcPr>
            <w:tcW w:w="6945" w:type="dxa"/>
          </w:tcPr>
          <w:p w14:paraId="2A0D812B" w14:textId="77777777" w:rsidR="006A4B0A" w:rsidRDefault="006A4B0A" w:rsidP="0053428E">
            <w:pPr>
              <w:ind w:right="409"/>
            </w:pPr>
            <w:r>
              <w:t xml:space="preserve">Other barriers included concern about […] how the SHARHP programme linked into the state drug strategy; and how to adapt SHAHRP to schools with special needs. Page 670. </w:t>
            </w:r>
          </w:p>
        </w:tc>
      </w:tr>
      <w:tr w:rsidR="006A4B0A" w14:paraId="1DB4DBC5" w14:textId="77777777" w:rsidTr="0053428E">
        <w:tc>
          <w:tcPr>
            <w:tcW w:w="1363" w:type="dxa"/>
          </w:tcPr>
          <w:p w14:paraId="05ECB8A7" w14:textId="0BB95A30" w:rsidR="006A4B0A" w:rsidRDefault="006A4B0A" w:rsidP="0053428E">
            <w:r>
              <w:t>Hoelscher et al, 2001</w:t>
            </w:r>
            <w:r>
              <w:fldChar w:fldCharType="begin" w:fldLock="1"/>
            </w:r>
            <w:r>
              <w:instrText>ADDIN CSL_CITATION {"citationItems":[{"id":"ITEM-1","itemData":{"author":[{"dropping-particle":"","family":"Hoelscher","given":"Deanna M.;","non-dropping-particle":"","parse-names":false,"suffix":""},{"dropping-particle":"","family":"Kelder","given":"Steven H.;","non-dropping-particle":"","parse-names":false,"suffix":""},{"dropping-particle":"","family":"Murray","given":"Nancy;","non-dropping-particle":"","parse-names":false,"suffix":""},{"dropping-particle":"","family":"Cribb","given":"Peter W.;","non-dropping-particle":"","parse-names":false,"suffix":""},{"dropping-particle":"","family":"Conroy","given":"Jennifer;","non-dropping-particle":"","parse-names":false,"suffix":""},{"dropping-particle":"","family":"Parcel","given":"Guy S.","non-dropping-particle":"","parse-names":false,"suffix":""}],"container-title":"Journal of Public Health Management &amp; Practice","id":"ITEM-1","issue":"2","issued":{"date-parts":[["2001"]]},"page":"90-100","title":"Dissemination and adoption of the Child and Adolescent Trial for Cardiovascular Health (CATCH): a case study in Texas","type":"article-journal","volume":"7"},"uris":["http://www.mendeley.com/documents/?uuid=419bc5b4-98bb-454f-b394-bf52d18b9342"]}],"mendeley":{"formattedCitation":"(41)","plainTextFormattedCitation":"(41)","previouslyFormattedCitation":"(41)"},"properties":{"noteIndex":0},"schema":"https://github.com/citation-style-language/schema/raw/master/csl-citation.json"}</w:instrText>
            </w:r>
            <w:r>
              <w:fldChar w:fldCharType="separate"/>
            </w:r>
            <w:r w:rsidRPr="007036BA">
              <w:rPr>
                <w:noProof/>
              </w:rPr>
              <w:t>(</w:t>
            </w:r>
            <w:r w:rsidR="00ED6805">
              <w:rPr>
                <w:noProof/>
              </w:rPr>
              <w:t>56</w:t>
            </w:r>
            <w:r w:rsidRPr="007036BA">
              <w:rPr>
                <w:noProof/>
              </w:rPr>
              <w:t>)</w:t>
            </w:r>
            <w:r>
              <w:fldChar w:fldCharType="end"/>
            </w:r>
          </w:p>
        </w:tc>
        <w:tc>
          <w:tcPr>
            <w:tcW w:w="7285" w:type="dxa"/>
          </w:tcPr>
          <w:p w14:paraId="65749032" w14:textId="77777777" w:rsidR="006A4B0A" w:rsidRDefault="006A4B0A" w:rsidP="0053428E">
            <w:r>
              <w:t xml:space="preserve">Compatibility of the program with current practice - In 1999, the Texas State Board of Education unanimously approved the CATCH materials as a diabetes education program that schools could use as part of their health curriculum under the Texas Education Code. Page 92. </w:t>
            </w:r>
          </w:p>
        </w:tc>
        <w:tc>
          <w:tcPr>
            <w:tcW w:w="6945" w:type="dxa"/>
          </w:tcPr>
          <w:p w14:paraId="43CCAA7A" w14:textId="77777777" w:rsidR="006A4B0A" w:rsidRDefault="006A4B0A" w:rsidP="0053428E">
            <w:pPr>
              <w:ind w:right="409"/>
            </w:pPr>
            <w:r>
              <w:t>--</w:t>
            </w:r>
          </w:p>
        </w:tc>
      </w:tr>
    </w:tbl>
    <w:p w14:paraId="3E5FD90D" w14:textId="77777777" w:rsidR="006A4B0A" w:rsidRDefault="006A4B0A" w:rsidP="006A4B0A">
      <w:pPr>
        <w:rPr>
          <w:i/>
        </w:rPr>
      </w:pPr>
    </w:p>
    <w:p w14:paraId="7E16A24F" w14:textId="77777777" w:rsidR="006A4B0A" w:rsidRDefault="006A4B0A" w:rsidP="006A4B0A">
      <w:pPr>
        <w:numPr>
          <w:ilvl w:val="0"/>
          <w:numId w:val="1"/>
        </w:numPr>
        <w:pBdr>
          <w:top w:val="nil"/>
          <w:left w:val="nil"/>
          <w:bottom w:val="nil"/>
          <w:right w:val="nil"/>
          <w:between w:val="nil"/>
        </w:pBdr>
        <w:rPr>
          <w:i/>
          <w:color w:val="000000"/>
        </w:rPr>
      </w:pPr>
      <w:r>
        <w:rPr>
          <w:i/>
          <w:color w:val="000000"/>
        </w:rPr>
        <w:t>The research</w:t>
      </w:r>
    </w:p>
    <w:tbl>
      <w:tblPr>
        <w:tblW w:w="15593" w:type="dxa"/>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12"/>
        <w:gridCol w:w="8995"/>
        <w:gridCol w:w="5386"/>
      </w:tblGrid>
      <w:tr w:rsidR="006A4B0A" w14:paraId="3410D9D8" w14:textId="77777777" w:rsidTr="0053428E">
        <w:tc>
          <w:tcPr>
            <w:tcW w:w="15593" w:type="dxa"/>
            <w:gridSpan w:val="3"/>
          </w:tcPr>
          <w:p w14:paraId="455DA1B1" w14:textId="77777777" w:rsidR="006A4B0A" w:rsidRDefault="006A4B0A" w:rsidP="0053428E">
            <w:pPr>
              <w:rPr>
                <w:b/>
                <w:i/>
              </w:rPr>
            </w:pPr>
            <w:r>
              <w:rPr>
                <w:b/>
                <w:i/>
              </w:rPr>
              <w:t>Not included in analysis due to low quality:</w:t>
            </w:r>
          </w:p>
        </w:tc>
      </w:tr>
      <w:tr w:rsidR="006A4B0A" w14:paraId="5DED50DA" w14:textId="77777777" w:rsidTr="0053428E">
        <w:tc>
          <w:tcPr>
            <w:tcW w:w="1212" w:type="dxa"/>
          </w:tcPr>
          <w:p w14:paraId="05820572" w14:textId="77777777" w:rsidR="006A4B0A" w:rsidRDefault="006A4B0A" w:rsidP="0053428E">
            <w:r>
              <w:t>Author</w:t>
            </w:r>
          </w:p>
        </w:tc>
        <w:tc>
          <w:tcPr>
            <w:tcW w:w="8995" w:type="dxa"/>
          </w:tcPr>
          <w:p w14:paraId="68178EF3" w14:textId="77777777" w:rsidR="006A4B0A" w:rsidRDefault="006A4B0A" w:rsidP="0053428E">
            <w:r>
              <w:t>Facilitator</w:t>
            </w:r>
          </w:p>
        </w:tc>
        <w:tc>
          <w:tcPr>
            <w:tcW w:w="5386" w:type="dxa"/>
          </w:tcPr>
          <w:p w14:paraId="6AD3E461" w14:textId="77777777" w:rsidR="006A4B0A" w:rsidRDefault="006A4B0A" w:rsidP="0053428E">
            <w:r>
              <w:t>Barrier</w:t>
            </w:r>
          </w:p>
        </w:tc>
      </w:tr>
      <w:tr w:rsidR="006A4B0A" w14:paraId="781AC8E7" w14:textId="77777777" w:rsidTr="0053428E">
        <w:tc>
          <w:tcPr>
            <w:tcW w:w="1212" w:type="dxa"/>
            <w:vMerge w:val="restart"/>
          </w:tcPr>
          <w:p w14:paraId="74439F85" w14:textId="3C285334" w:rsidR="006A4B0A" w:rsidRDefault="006A4B0A" w:rsidP="0053428E">
            <w:r>
              <w:t>Riazi et al, 2017</w:t>
            </w:r>
            <w:r>
              <w:fldChar w:fldCharType="begin" w:fldLock="1"/>
            </w:r>
            <w:r>
              <w:instrText>ADDIN CSL_CITATION {"citationItems":[{"id":"ITEM-1","itemData":{"DOI":"10.1186/s12889-017-4853-z","ISSN":"14712458","PMID":"29219087","abstract":"Background: It is important to engage stakeholders and end users in the development of guidelines for knowledge translation purposes. The aim of this study was to examine stakeholders' (experts in pediatric and family medicine, physical activity knowledge translation, and research) and end users' (parents and early childhood educators) perceptions of the Canadian 24-Hour Movement Guidelines for the Early Years (0-4 years). Methods: Stakeholders (n = 10) engaged in telephone interviews and end users (n = 92) participated in focus groups (n = 14) to discuss perceived clarity and need for the guidelines, potential barriers to implementation, identification of credible messengers, and methods for dissemination of the guidelines. A thematic analysis was conducted. Results: The proposed guidelines were very well received by both stakeholders and end users. A clear need for such guidelines was identified, and most believed the guidelines were achievable. Stakeholders and end users identified several potential barriers to uptake, including low awareness of current guidelines; 'daily challenges' such as allure of screen time, lack of time, and competing priorities; and challenges in the context of shifting social norms. A range of methods and messengers of dissemination were identified. Medical and child care settings were the most frequently cited places for dissemination, and physicians and early childhood educators were the most common suggestions for messengers. Conclusions: There was consistent support for the Canadian 24-Hour Movement Guidelines for the Early Years (0-4 years) from both stakeholders and end users. Moving forward, it is important to dedicate appropriate support and funding toward dissemination efforts in order to reach end users, particularly parents and early childhood educators.","author":[{"dropping-particle":"","family":"Riazi","given":"Negin","non-dropping-particle":"","parse-names":false,"suffix":""},{"dropping-particle":"","family":"Ramanathan","given":"Subha","non-dropping-particle":"","parse-names":false,"suffix":""},{"dropping-particle":"","family":"O'Neill","given":"Meghan","non-dropping-particle":"","parse-names":false,"suffix":""},{"dropping-particle":"","family":"Tremblay","given":"Mark S.","non-dropping-particle":"","parse-names":false,"suffix":""},{"dropping-particle":"","family":"Faulkner","given":"Guy","non-dropping-particle":"","parse-names":false,"suffix":""}],"container-title":"BMC Public Health","id":"ITEM-1","issue":"Suppl 5","issued":{"date-parts":[["2017"]]},"title":"Canadian 24-hour movement guidelines for the early years (0-4 years): Exploring the perceptions of stakeholders and end users regarding their acceptability, barriers to uptake, and dissemination","type":"article-journal","volume":"17"},"uris":["http://www.mendeley.com/documents/?uuid=1112c81e-380b-4430-a86c-2bbfb1da4eb4"]}],"mendeley":{"formattedCitation":"(32)","plainTextFormattedCitation":"(32)","previouslyFormattedCitation":"(32)"},"properties":{"noteIndex":0},"schema":"https://github.com/citation-style-language/schema/raw/master/csl-citation.json"}</w:instrText>
            </w:r>
            <w:r>
              <w:fldChar w:fldCharType="separate"/>
            </w:r>
            <w:r w:rsidRPr="007036BA">
              <w:rPr>
                <w:noProof/>
              </w:rPr>
              <w:t>(</w:t>
            </w:r>
            <w:r w:rsidR="00ED6805">
              <w:rPr>
                <w:noProof/>
              </w:rPr>
              <w:t>46</w:t>
            </w:r>
            <w:r w:rsidRPr="007036BA">
              <w:rPr>
                <w:noProof/>
              </w:rPr>
              <w:t>)</w:t>
            </w:r>
            <w:r>
              <w:fldChar w:fldCharType="end"/>
            </w:r>
          </w:p>
        </w:tc>
        <w:tc>
          <w:tcPr>
            <w:tcW w:w="8995" w:type="dxa"/>
          </w:tcPr>
          <w:p w14:paraId="614BB9D6" w14:textId="77777777" w:rsidR="006A4B0A" w:rsidRDefault="006A4B0A" w:rsidP="0053428E">
            <w:r>
              <w:t xml:space="preserve">Receptivity: ‘The whole picture’ - The recommendation for trading indoor for outdoor time was also well received by participants. Some </w:t>
            </w:r>
            <w:proofErr w:type="gramStart"/>
            <w:r>
              <w:t>child care</w:t>
            </w:r>
            <w:proofErr w:type="gramEnd"/>
            <w:r>
              <w:t xml:space="preserve"> providers reported feeling resistance from parents when taking children outside in poor weather conditions (e.g., rain), and felt that the Movement Guidelines would help support dedicated outdoor time within their programming. Page 5.</w:t>
            </w:r>
          </w:p>
        </w:tc>
        <w:tc>
          <w:tcPr>
            <w:tcW w:w="5386" w:type="dxa"/>
          </w:tcPr>
          <w:p w14:paraId="31251EC9" w14:textId="77777777" w:rsidR="006A4B0A" w:rsidRDefault="006A4B0A" w:rsidP="0053428E">
            <w:r>
              <w:t>--</w:t>
            </w:r>
          </w:p>
        </w:tc>
      </w:tr>
      <w:tr w:rsidR="006A4B0A" w14:paraId="3F9EAF15" w14:textId="77777777" w:rsidTr="0053428E">
        <w:tc>
          <w:tcPr>
            <w:tcW w:w="1212" w:type="dxa"/>
            <w:vMerge/>
          </w:tcPr>
          <w:p w14:paraId="369A357D" w14:textId="77777777" w:rsidR="006A4B0A" w:rsidRDefault="006A4B0A" w:rsidP="0053428E">
            <w:pPr>
              <w:widowControl w:val="0"/>
              <w:pBdr>
                <w:top w:val="nil"/>
                <w:left w:val="nil"/>
                <w:bottom w:val="nil"/>
                <w:right w:val="nil"/>
                <w:between w:val="nil"/>
              </w:pBdr>
              <w:spacing w:line="276" w:lineRule="auto"/>
            </w:pPr>
          </w:p>
        </w:tc>
        <w:tc>
          <w:tcPr>
            <w:tcW w:w="8995" w:type="dxa"/>
          </w:tcPr>
          <w:p w14:paraId="5502C1B8" w14:textId="77777777" w:rsidR="006A4B0A" w:rsidRDefault="006A4B0A" w:rsidP="0053428E">
            <w:r>
              <w:t xml:space="preserve">‘The whole picture’ - </w:t>
            </w:r>
            <w:proofErr w:type="gramStart"/>
            <w:r>
              <w:t>The majority of</w:t>
            </w:r>
            <w:proofErr w:type="gramEnd"/>
            <w:r>
              <w:t xml:space="preserve"> stakeholders recognized the relationship and interplay between the movement behaviours as well as the importance of the individual behaviours. Many also wanted and expressed a need for such guidelines. For example, researchers felt that they could use the Movement Guidelines as measurable targets in their studies, and physical activity communicators felt that the recommendations would enhance the structure and add a level of integrity to their workshops. The guidelines provided an evidence-based resource for stakeholders in medicine and early childhood education, while also providing parents with a set of recommendations to work toward. Page 5.</w:t>
            </w:r>
          </w:p>
        </w:tc>
        <w:tc>
          <w:tcPr>
            <w:tcW w:w="5386" w:type="dxa"/>
          </w:tcPr>
          <w:p w14:paraId="65CE8A5B" w14:textId="77777777" w:rsidR="006A4B0A" w:rsidRDefault="006A4B0A" w:rsidP="0053428E">
            <w:r>
              <w:t>--</w:t>
            </w:r>
          </w:p>
        </w:tc>
      </w:tr>
      <w:tr w:rsidR="006A4B0A" w14:paraId="5A384A2C" w14:textId="77777777" w:rsidTr="0053428E">
        <w:tc>
          <w:tcPr>
            <w:tcW w:w="1212" w:type="dxa"/>
            <w:vMerge w:val="restart"/>
          </w:tcPr>
          <w:p w14:paraId="45AF934B" w14:textId="3395CDC6" w:rsidR="006A4B0A" w:rsidRDefault="006A4B0A" w:rsidP="0053428E">
            <w:r>
              <w:t>McBride et al, 2007</w:t>
            </w:r>
            <w:r>
              <w:fldChar w:fldCharType="begin" w:fldLock="1"/>
            </w:r>
            <w:r>
              <w:instrText>ADDIN CSL_CITATION {"citationItems":[{"id":"ITEM-1","itemData":{"DOI":"10.1080/09595230701613510","ISBN":"0959523070161","ISSN":"09595236","PMID":"17943527","abstract":"Introduction and Aims. This paper discusses the formal dissemination of the School Health and Alcohol Harm Reduction Project (National SHAHRP Dissemination Project) in Australia. The original SHAHRP research programme (SHAHRP study) was assessed previously for effectiveness during a longitudinal research study which followed the student participants over 32 months post-intervention. The SHAHRP study focused on evaluating the behavioural impact of the programme and the results indicated that wider dissemination would be of value. Design and Methods. The National SHAHRP Dissemination Project involved key decision makers of drug education in the Government, Catholic and Independent schools sectors, in targeted states, agreeing to disseminate the SHAHRP Project through teacher educators and teachers in their sector and regions. Process, reach and project satisfaction were assessed. Results. The Dissemination Project conducted two workshops for 35 teacher educators. Fifteen teacher educators subsequently conducted 21 workshops for teachers between August 2003 and June 2004. One hundred and seventy schools and nearly 300 (294) teachers were involved in this training. Discussion and Conclusions. The advantages and barriers of researcher-led dissemination, as illustrated in this study, suggest that methods other than publication in scientific journals and presentation at conferences may be useful for the transfer of effective intervention research programmes to practice. There may be some benefit to identifying and testing other research-initiated pathways leading to evidence-based policy and practice which, in combination with practitioner-led transfer, can help to bridge the gap between research and practice in the future. [McBride NT, Farringdon FH, Kennedy CA. Research to practice - formal dissemination of the School Health and Alcohol Harm Reduction Project (SHAHRP) in Australia. Drug Alcohol Rev 2007;26:665-672].","author":[{"dropping-particle":"","family":"McBride","given":"Nyanda T.","non-dropping-particle":"","parse-names":false,"suffix":""},{"dropping-particle":"","family":"Farringdon","given":"Fiona H.","non-dropping-particle":"","parse-names":false,"suffix":""},{"dropping-particle":"","family":"Kennedy","given":"Carol A.","non-dropping-particle":"","parse-names":false,"suffix":""}],"container-title":"Drug and Alcohol Review","id":"ITEM-1","issue":"6","issued":{"date-parts":[["2007"]]},"page":"665-672","title":"Research to practice - Formal dissemination of the School Health and Alcohol Harm Reduction Project (SHAHRP) in Australia","type":"article-journal","volume":"26"},"uris":["http://www.mendeley.com/documents/?uuid=2482ef7e-c8b0-473f-a2aa-709c062b0bb7"]}],"mendeley":{"formattedCitation":"(40)","plainTextFormattedCitation":"(40)","previouslyFormattedCitation":"(40)"},"properties":{"noteIndex":0},"schema":"https://github.com/citation-style-language/schema/raw/master/csl-citation.json"}</w:instrText>
            </w:r>
            <w:r>
              <w:fldChar w:fldCharType="separate"/>
            </w:r>
            <w:r w:rsidRPr="007036BA">
              <w:rPr>
                <w:noProof/>
              </w:rPr>
              <w:t>(</w:t>
            </w:r>
            <w:r w:rsidR="00ED6805">
              <w:rPr>
                <w:noProof/>
              </w:rPr>
              <w:t>55</w:t>
            </w:r>
            <w:r w:rsidRPr="007036BA">
              <w:rPr>
                <w:noProof/>
              </w:rPr>
              <w:t>)</w:t>
            </w:r>
            <w:r>
              <w:fldChar w:fldCharType="end"/>
            </w:r>
          </w:p>
        </w:tc>
        <w:tc>
          <w:tcPr>
            <w:tcW w:w="8995" w:type="dxa"/>
          </w:tcPr>
          <w:p w14:paraId="7BB275D7" w14:textId="77777777" w:rsidR="006A4B0A" w:rsidRDefault="006A4B0A" w:rsidP="0053428E">
            <w:r>
              <w:t>Reasons included: the evidence-based and researched nature of the programme; a focus upon alcohol; the availability of teacher training; and funding of teacher training including teacher release payments. Page 669</w:t>
            </w:r>
          </w:p>
        </w:tc>
        <w:tc>
          <w:tcPr>
            <w:tcW w:w="5386" w:type="dxa"/>
          </w:tcPr>
          <w:p w14:paraId="085FB1E5" w14:textId="77777777" w:rsidR="006A4B0A" w:rsidRDefault="006A4B0A" w:rsidP="0053428E">
            <w:r>
              <w:t>--</w:t>
            </w:r>
          </w:p>
        </w:tc>
      </w:tr>
      <w:tr w:rsidR="006A4B0A" w14:paraId="6D36A767" w14:textId="77777777" w:rsidTr="0053428E">
        <w:tc>
          <w:tcPr>
            <w:tcW w:w="1212" w:type="dxa"/>
            <w:vMerge/>
          </w:tcPr>
          <w:p w14:paraId="3C826BBA" w14:textId="77777777" w:rsidR="006A4B0A" w:rsidRDefault="006A4B0A" w:rsidP="0053428E">
            <w:pPr>
              <w:widowControl w:val="0"/>
              <w:pBdr>
                <w:top w:val="nil"/>
                <w:left w:val="nil"/>
                <w:bottom w:val="nil"/>
                <w:right w:val="nil"/>
                <w:between w:val="nil"/>
              </w:pBdr>
              <w:spacing w:line="276" w:lineRule="auto"/>
            </w:pPr>
          </w:p>
        </w:tc>
        <w:tc>
          <w:tcPr>
            <w:tcW w:w="8995" w:type="dxa"/>
          </w:tcPr>
          <w:p w14:paraId="726B8E11" w14:textId="77777777" w:rsidR="006A4B0A" w:rsidRDefault="006A4B0A" w:rsidP="0053428E">
            <w:r>
              <w:t>Several co-ordinators commented that the year-long commitment and the clear delineation of all parties’ involvement and commitment was a motivating factor, as was the involvement of their whole drug education team in training and teacher workshops. Page 669(44)</w:t>
            </w:r>
          </w:p>
        </w:tc>
        <w:tc>
          <w:tcPr>
            <w:tcW w:w="5386" w:type="dxa"/>
          </w:tcPr>
          <w:p w14:paraId="233617AA" w14:textId="77777777" w:rsidR="006A4B0A" w:rsidRDefault="006A4B0A" w:rsidP="0053428E">
            <w:r>
              <w:t>--</w:t>
            </w:r>
          </w:p>
        </w:tc>
      </w:tr>
      <w:tr w:rsidR="006A4B0A" w14:paraId="221478F8" w14:textId="77777777" w:rsidTr="0053428E">
        <w:tc>
          <w:tcPr>
            <w:tcW w:w="1212" w:type="dxa"/>
            <w:vMerge/>
          </w:tcPr>
          <w:p w14:paraId="64C101AB" w14:textId="77777777" w:rsidR="006A4B0A" w:rsidRDefault="006A4B0A" w:rsidP="0053428E">
            <w:pPr>
              <w:widowControl w:val="0"/>
              <w:pBdr>
                <w:top w:val="nil"/>
                <w:left w:val="nil"/>
                <w:bottom w:val="nil"/>
                <w:right w:val="nil"/>
                <w:between w:val="nil"/>
              </w:pBdr>
              <w:spacing w:line="276" w:lineRule="auto"/>
            </w:pPr>
          </w:p>
        </w:tc>
        <w:tc>
          <w:tcPr>
            <w:tcW w:w="8995" w:type="dxa"/>
          </w:tcPr>
          <w:p w14:paraId="5B69E2A6" w14:textId="77777777" w:rsidR="006A4B0A" w:rsidRDefault="006A4B0A" w:rsidP="0053428E">
            <w:r>
              <w:t>Additionally, others had heard previously of the SHAHRP project and were motivated by this prior knowledge. Page 669</w:t>
            </w:r>
          </w:p>
        </w:tc>
        <w:tc>
          <w:tcPr>
            <w:tcW w:w="5386" w:type="dxa"/>
          </w:tcPr>
          <w:p w14:paraId="0828D8DE" w14:textId="77777777" w:rsidR="006A4B0A" w:rsidRDefault="006A4B0A" w:rsidP="0053428E">
            <w:r>
              <w:t>--</w:t>
            </w:r>
          </w:p>
        </w:tc>
      </w:tr>
      <w:tr w:rsidR="006A4B0A" w14:paraId="3D70F4F5" w14:textId="77777777" w:rsidTr="0053428E">
        <w:tc>
          <w:tcPr>
            <w:tcW w:w="1212" w:type="dxa"/>
          </w:tcPr>
          <w:p w14:paraId="06717E0A" w14:textId="076CFC41" w:rsidR="006A4B0A" w:rsidRDefault="006A4B0A" w:rsidP="0053428E">
            <w:r>
              <w:lastRenderedPageBreak/>
              <w:t>Hoelscher et al, 2001</w:t>
            </w:r>
            <w:r>
              <w:fldChar w:fldCharType="begin" w:fldLock="1"/>
            </w:r>
            <w:r>
              <w:instrText>ADDIN CSL_CITATION {"citationItems":[{"id":"ITEM-1","itemData":{"author":[{"dropping-particle":"","family":"Hoelscher","given":"Deanna M.;","non-dropping-particle":"","parse-names":false,"suffix":""},{"dropping-particle":"","family":"Kelder","given":"Steven H.;","non-dropping-particle":"","parse-names":false,"suffix":""},{"dropping-particle":"","family":"Murray","given":"Nancy;","non-dropping-particle":"","parse-names":false,"suffix":""},{"dropping-particle":"","family":"Cribb","given":"Peter W.;","non-dropping-particle":"","parse-names":false,"suffix":""},{"dropping-particle":"","family":"Conroy","given":"Jennifer;","non-dropping-particle":"","parse-names":false,"suffix":""},{"dropping-particle":"","family":"Parcel","given":"Guy S.","non-dropping-particle":"","parse-names":false,"suffix":""}],"container-title":"Journal of Public Health Management &amp; Practice","id":"ITEM-1","issue":"2","issued":{"date-parts":[["2001"]]},"page":"90-100","title":"Dissemination and adoption of the Child and Adolescent Trial for Cardiovascular Health (CATCH): a case study in Texas","type":"article-journal","volume":"7"},"uris":["http://www.mendeley.com/documents/?uuid=419bc5b4-98bb-454f-b394-bf52d18b9342"]}],"mendeley":{"formattedCitation":"(41)","plainTextFormattedCitation":"(41)","previouslyFormattedCitation":"(41)"},"properties":{"noteIndex":0},"schema":"https://github.com/citation-style-language/schema/raw/master/csl-citation.json"}</w:instrText>
            </w:r>
            <w:r>
              <w:fldChar w:fldCharType="separate"/>
            </w:r>
            <w:r w:rsidRPr="007036BA">
              <w:rPr>
                <w:noProof/>
              </w:rPr>
              <w:t>(</w:t>
            </w:r>
            <w:r w:rsidR="00ED6805">
              <w:rPr>
                <w:noProof/>
              </w:rPr>
              <w:t>56</w:t>
            </w:r>
            <w:r w:rsidRPr="007036BA">
              <w:rPr>
                <w:noProof/>
              </w:rPr>
              <w:t>)</w:t>
            </w:r>
            <w:r>
              <w:fldChar w:fldCharType="end"/>
            </w:r>
          </w:p>
        </w:tc>
        <w:tc>
          <w:tcPr>
            <w:tcW w:w="8995" w:type="dxa"/>
          </w:tcPr>
          <w:p w14:paraId="4AFD0519" w14:textId="77777777" w:rsidR="006A4B0A" w:rsidRDefault="006A4B0A" w:rsidP="0053428E">
            <w:r>
              <w:t>Relative advantage - CATCH was designed using state-of-the-art intervention methods and strategies and the program demonstrated positive effects. In practice, the physical education component (CATCH PE) often is cited as the most innovative due to its usefulness, convenience, teacher satisfaction and unique packaging (a modular card system with class activities). The price was also an important aspect of the CATCH dissemination effort. Because of the funding for CATCH dissemination, a modified set of materials was available for a discounted price to Texas schools. Page 92.</w:t>
            </w:r>
          </w:p>
        </w:tc>
        <w:tc>
          <w:tcPr>
            <w:tcW w:w="5386" w:type="dxa"/>
          </w:tcPr>
          <w:p w14:paraId="67B96426" w14:textId="77777777" w:rsidR="006A4B0A" w:rsidRDefault="006A4B0A" w:rsidP="0053428E"/>
          <w:p w14:paraId="4E43FE5D" w14:textId="77777777" w:rsidR="006A4B0A" w:rsidRDefault="006A4B0A" w:rsidP="0053428E"/>
          <w:p w14:paraId="21821998" w14:textId="77777777" w:rsidR="006A4B0A" w:rsidRDefault="006A4B0A" w:rsidP="0053428E"/>
          <w:p w14:paraId="171C8D99" w14:textId="77777777" w:rsidR="006A4B0A" w:rsidRDefault="006A4B0A" w:rsidP="0053428E">
            <w:r>
              <w:t>--</w:t>
            </w:r>
          </w:p>
        </w:tc>
      </w:tr>
    </w:tbl>
    <w:p w14:paraId="317234B2" w14:textId="77777777" w:rsidR="006A4B0A" w:rsidRDefault="006A4B0A" w:rsidP="006A4B0A">
      <w:pPr>
        <w:rPr>
          <w:i/>
        </w:rPr>
      </w:pPr>
    </w:p>
    <w:p w14:paraId="055C5467" w14:textId="77777777" w:rsidR="006A4B0A" w:rsidRDefault="006A4B0A" w:rsidP="006A4B0A">
      <w:pPr>
        <w:numPr>
          <w:ilvl w:val="0"/>
          <w:numId w:val="1"/>
        </w:numPr>
        <w:pBdr>
          <w:top w:val="nil"/>
          <w:left w:val="nil"/>
          <w:bottom w:val="nil"/>
          <w:right w:val="nil"/>
          <w:between w:val="nil"/>
        </w:pBdr>
        <w:rPr>
          <w:i/>
          <w:color w:val="000000"/>
        </w:rPr>
      </w:pPr>
      <w:r>
        <w:rPr>
          <w:i/>
          <w:color w:val="000000"/>
        </w:rPr>
        <w:t>The researcher-user relationship</w:t>
      </w:r>
    </w:p>
    <w:tbl>
      <w:tblPr>
        <w:tblW w:w="14804" w:type="dxa"/>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77"/>
        <w:gridCol w:w="12147"/>
        <w:gridCol w:w="1380"/>
      </w:tblGrid>
      <w:tr w:rsidR="006A4B0A" w14:paraId="2E20636A" w14:textId="77777777" w:rsidTr="0053428E">
        <w:tc>
          <w:tcPr>
            <w:tcW w:w="14804" w:type="dxa"/>
            <w:gridSpan w:val="3"/>
          </w:tcPr>
          <w:p w14:paraId="421EAEB0" w14:textId="77777777" w:rsidR="006A4B0A" w:rsidRDefault="006A4B0A" w:rsidP="0053428E">
            <w:pPr>
              <w:rPr>
                <w:b/>
                <w:i/>
              </w:rPr>
            </w:pPr>
            <w:r>
              <w:rPr>
                <w:b/>
                <w:i/>
              </w:rPr>
              <w:t>Not included in analysis due to low quality:</w:t>
            </w:r>
          </w:p>
        </w:tc>
      </w:tr>
      <w:tr w:rsidR="006A4B0A" w14:paraId="147DD148" w14:textId="77777777" w:rsidTr="0053428E">
        <w:tc>
          <w:tcPr>
            <w:tcW w:w="1277" w:type="dxa"/>
          </w:tcPr>
          <w:p w14:paraId="2B92AC4E" w14:textId="77777777" w:rsidR="006A4B0A" w:rsidRDefault="006A4B0A" w:rsidP="0053428E">
            <w:r>
              <w:t>Author</w:t>
            </w:r>
          </w:p>
        </w:tc>
        <w:tc>
          <w:tcPr>
            <w:tcW w:w="12147" w:type="dxa"/>
          </w:tcPr>
          <w:p w14:paraId="34E8FB29" w14:textId="77777777" w:rsidR="006A4B0A" w:rsidRDefault="006A4B0A" w:rsidP="0053428E">
            <w:r>
              <w:t>Facilitator</w:t>
            </w:r>
          </w:p>
        </w:tc>
        <w:tc>
          <w:tcPr>
            <w:tcW w:w="1380" w:type="dxa"/>
          </w:tcPr>
          <w:p w14:paraId="68F83107" w14:textId="77777777" w:rsidR="006A4B0A" w:rsidRDefault="006A4B0A" w:rsidP="0053428E">
            <w:r>
              <w:t>Barrier</w:t>
            </w:r>
          </w:p>
        </w:tc>
      </w:tr>
      <w:tr w:rsidR="006A4B0A" w14:paraId="100FDBF0" w14:textId="77777777" w:rsidTr="0053428E">
        <w:tc>
          <w:tcPr>
            <w:tcW w:w="1277" w:type="dxa"/>
            <w:vMerge w:val="restart"/>
          </w:tcPr>
          <w:p w14:paraId="39D274AC" w14:textId="25DE0DD3" w:rsidR="006A4B0A" w:rsidRDefault="006A4B0A" w:rsidP="0053428E">
            <w:r>
              <w:t>McBride et al, 2007</w:t>
            </w:r>
            <w:r>
              <w:fldChar w:fldCharType="begin" w:fldLock="1"/>
            </w:r>
            <w:r>
              <w:instrText>ADDIN CSL_CITATION {"citationItems":[{"id":"ITEM-1","itemData":{"DOI":"10.1080/09595230701613510","ISBN":"0959523070161","ISSN":"09595236","PMID":"17943527","abstract":"Introduction and Aims. This paper discusses the formal dissemination of the School Health and Alcohol Harm Reduction Project (National SHAHRP Dissemination Project) in Australia. The original SHAHRP research programme (SHAHRP study) was assessed previously for effectiveness during a longitudinal research study which followed the student participants over 32 months post-intervention. The SHAHRP study focused on evaluating the behavioural impact of the programme and the results indicated that wider dissemination would be of value. Design and Methods. The National SHAHRP Dissemination Project involved key decision makers of drug education in the Government, Catholic and Independent schools sectors, in targeted states, agreeing to disseminate the SHAHRP Project through teacher educators and teachers in their sector and regions. Process, reach and project satisfaction were assessed. Results. The Dissemination Project conducted two workshops for 35 teacher educators. Fifteen teacher educators subsequently conducted 21 workshops for teachers between August 2003 and June 2004. One hundred and seventy schools and nearly 300 (294) teachers were involved in this training. Discussion and Conclusions. The advantages and barriers of researcher-led dissemination, as illustrated in this study, suggest that methods other than publication in scientific journals and presentation at conferences may be useful for the transfer of effective intervention research programmes to practice. There may be some benefit to identifying and testing other research-initiated pathways leading to evidence-based policy and practice which, in combination with practitioner-led transfer, can help to bridge the gap between research and practice in the future. [McBride NT, Farringdon FH, Kennedy CA. Research to practice - formal dissemination of the School Health and Alcohol Harm Reduction Project (SHAHRP) in Australia. Drug Alcohol Rev 2007;26:665-672].","author":[{"dropping-particle":"","family":"McBride","given":"Nyanda T.","non-dropping-particle":"","parse-names":false,"suffix":""},{"dropping-particle":"","family":"Farringdon","given":"Fiona H.","non-dropping-particle":"","parse-names":false,"suffix":""},{"dropping-particle":"","family":"Kennedy","given":"Carol A.","non-dropping-particle":"","parse-names":false,"suffix":""}],"container-title":"Drug and Alcohol Review","id":"ITEM-1","issue":"6","issued":{"date-parts":[["2007"]]},"page":"665-672","title":"Research to practice - Formal dissemination of the School Health and Alcohol Harm Reduction Project (SHAHRP) in Australia","type":"article-journal","volume":"26"},"uris":["http://www.mendeley.com/documents/?uuid=2482ef7e-c8b0-473f-a2aa-709c062b0bb7"]}],"mendeley":{"formattedCitation":"(40)","plainTextFormattedCitation":"(40)","previouslyFormattedCitation":"(40)"},"properties":{"noteIndex":0},"schema":"https://github.com/citation-style-language/schema/raw/master/csl-citation.json"}</w:instrText>
            </w:r>
            <w:r>
              <w:fldChar w:fldCharType="separate"/>
            </w:r>
            <w:r w:rsidRPr="007036BA">
              <w:rPr>
                <w:noProof/>
              </w:rPr>
              <w:t>(</w:t>
            </w:r>
            <w:r w:rsidR="00ED6805">
              <w:rPr>
                <w:noProof/>
              </w:rPr>
              <w:t>55</w:t>
            </w:r>
            <w:r w:rsidRPr="007036BA">
              <w:rPr>
                <w:noProof/>
              </w:rPr>
              <w:t>)</w:t>
            </w:r>
            <w:r>
              <w:fldChar w:fldCharType="end"/>
            </w:r>
          </w:p>
        </w:tc>
        <w:tc>
          <w:tcPr>
            <w:tcW w:w="12147" w:type="dxa"/>
          </w:tcPr>
          <w:p w14:paraId="59D2C931" w14:textId="77777777" w:rsidR="006A4B0A" w:rsidRDefault="006A4B0A" w:rsidP="0053428E">
            <w:r>
              <w:t xml:space="preserve">When asked if the researchers at NDRI could do more to make the process of dissemination easier for their organisation, all respondents agreed that they had received a great deal of support from NDRI. One coordinator suggested that an official letter from NDRI to school Principals outlining details of the SHAHRP programme, study results and the National Dissemination Project may have increased the status of the programme, and therefore support, at the school level (page 670) </w:t>
            </w:r>
          </w:p>
        </w:tc>
        <w:tc>
          <w:tcPr>
            <w:tcW w:w="1380" w:type="dxa"/>
          </w:tcPr>
          <w:p w14:paraId="067D4D6C" w14:textId="77777777" w:rsidR="006A4B0A" w:rsidRDefault="006A4B0A" w:rsidP="0053428E">
            <w:r>
              <w:t>--</w:t>
            </w:r>
          </w:p>
        </w:tc>
      </w:tr>
      <w:tr w:rsidR="006A4B0A" w14:paraId="144F6E78" w14:textId="77777777" w:rsidTr="0053428E">
        <w:tc>
          <w:tcPr>
            <w:tcW w:w="1277" w:type="dxa"/>
            <w:vMerge/>
          </w:tcPr>
          <w:p w14:paraId="4B754667" w14:textId="77777777" w:rsidR="006A4B0A" w:rsidRDefault="006A4B0A" w:rsidP="0053428E">
            <w:pPr>
              <w:widowControl w:val="0"/>
              <w:pBdr>
                <w:top w:val="nil"/>
                <w:left w:val="nil"/>
                <w:bottom w:val="nil"/>
                <w:right w:val="nil"/>
                <w:between w:val="nil"/>
              </w:pBdr>
              <w:spacing w:line="276" w:lineRule="auto"/>
            </w:pPr>
          </w:p>
        </w:tc>
        <w:tc>
          <w:tcPr>
            <w:tcW w:w="12147" w:type="dxa"/>
          </w:tcPr>
          <w:p w14:paraId="6D1AAA71" w14:textId="77777777" w:rsidR="006A4B0A" w:rsidRDefault="006A4B0A" w:rsidP="0053428E">
            <w:r>
              <w:t>Some key stakeholders indicated that direct contact with NDRI and the professional and flexible manner of project staff was important. (page 669)</w:t>
            </w:r>
          </w:p>
        </w:tc>
        <w:tc>
          <w:tcPr>
            <w:tcW w:w="1380" w:type="dxa"/>
          </w:tcPr>
          <w:p w14:paraId="3309A6C4" w14:textId="77777777" w:rsidR="006A4B0A" w:rsidRDefault="006A4B0A" w:rsidP="0053428E">
            <w:r>
              <w:t>--</w:t>
            </w:r>
          </w:p>
        </w:tc>
      </w:tr>
      <w:tr w:rsidR="006A4B0A" w14:paraId="25630AA6" w14:textId="77777777" w:rsidTr="0053428E">
        <w:tc>
          <w:tcPr>
            <w:tcW w:w="1277" w:type="dxa"/>
            <w:vMerge w:val="restart"/>
          </w:tcPr>
          <w:p w14:paraId="464DAD16" w14:textId="7B99A7F6" w:rsidR="006A4B0A" w:rsidRDefault="006A4B0A" w:rsidP="0053428E">
            <w:r>
              <w:t>Hoelscher et al, 2001</w:t>
            </w:r>
            <w:r>
              <w:fldChar w:fldCharType="begin" w:fldLock="1"/>
            </w:r>
            <w:r>
              <w:instrText>ADDIN CSL_CITATION {"citationItems":[{"id":"ITEM-1","itemData":{"author":[{"dropping-particle":"","family":"Hoelscher","given":"Deanna M.;","non-dropping-particle":"","parse-names":false,"suffix":""},{"dropping-particle":"","family":"Kelder","given":"Steven H.;","non-dropping-particle":"","parse-names":false,"suffix":""},{"dropping-particle":"","family":"Murray","given":"Nancy;","non-dropping-particle":"","parse-names":false,"suffix":""},{"dropping-particle":"","family":"Cribb","given":"Peter W.;","non-dropping-particle":"","parse-names":false,"suffix":""},{"dropping-particle":"","family":"Conroy","given":"Jennifer;","non-dropping-particle":"","parse-names":false,"suffix":""},{"dropping-particle":"","family":"Parcel","given":"Guy S.","non-dropping-particle":"","parse-names":false,"suffix":""}],"container-title":"Journal of Public Health Management &amp; Practice","id":"ITEM-1","issue":"2","issued":{"date-parts":[["2001"]]},"page":"90-100","title":"Dissemination and adoption of the Child and Adolescent Trial for Cardiovascular Health (CATCH): a case study in Texas","type":"article-journal","volume":"7"},"uris":["http://www.mendeley.com/documents/?uuid=419bc5b4-98bb-454f-b394-bf52d18b9342"]}],"mendeley":{"formattedCitation":"(41)","plainTextFormattedCitation":"(41)","previouslyFormattedCitation":"(41)"},"properties":{"noteIndex":0},"schema":"https://github.com/citation-style-language/schema/raw/master/csl-citation.json"}</w:instrText>
            </w:r>
            <w:r>
              <w:fldChar w:fldCharType="separate"/>
            </w:r>
            <w:r w:rsidRPr="007036BA">
              <w:rPr>
                <w:noProof/>
              </w:rPr>
              <w:t>(</w:t>
            </w:r>
            <w:r w:rsidR="00ED6805">
              <w:rPr>
                <w:noProof/>
              </w:rPr>
              <w:t>56</w:t>
            </w:r>
            <w:r w:rsidRPr="007036BA">
              <w:rPr>
                <w:noProof/>
              </w:rPr>
              <w:t>)</w:t>
            </w:r>
            <w:r>
              <w:fldChar w:fldCharType="end"/>
            </w:r>
          </w:p>
        </w:tc>
        <w:tc>
          <w:tcPr>
            <w:tcW w:w="12147" w:type="dxa"/>
          </w:tcPr>
          <w:p w14:paraId="2CF60760" w14:textId="77777777" w:rsidR="006A4B0A" w:rsidRDefault="006A4B0A" w:rsidP="0053428E">
            <w:r>
              <w:t>When possible, partnerships were formed with various organizations including state health agencies, the state education agency, state and national organizations, and private health foundations. Networking with these organizations provided opportunities for funding of various components and dissemination activities, provided opportunities to present CATCH information to professional groups, and led to further networking possibilities. (Page 95)</w:t>
            </w:r>
          </w:p>
        </w:tc>
        <w:tc>
          <w:tcPr>
            <w:tcW w:w="1380" w:type="dxa"/>
          </w:tcPr>
          <w:p w14:paraId="7585B44E" w14:textId="77777777" w:rsidR="006A4B0A" w:rsidRDefault="006A4B0A" w:rsidP="0053428E">
            <w:r>
              <w:t>--</w:t>
            </w:r>
          </w:p>
        </w:tc>
      </w:tr>
      <w:tr w:rsidR="006A4B0A" w14:paraId="6218DCEE" w14:textId="77777777" w:rsidTr="0053428E">
        <w:tc>
          <w:tcPr>
            <w:tcW w:w="1277" w:type="dxa"/>
            <w:vMerge/>
          </w:tcPr>
          <w:p w14:paraId="639C54F3" w14:textId="77777777" w:rsidR="006A4B0A" w:rsidRDefault="006A4B0A" w:rsidP="0053428E">
            <w:pPr>
              <w:widowControl w:val="0"/>
              <w:pBdr>
                <w:top w:val="nil"/>
                <w:left w:val="nil"/>
                <w:bottom w:val="nil"/>
                <w:right w:val="nil"/>
                <w:between w:val="nil"/>
              </w:pBdr>
              <w:spacing w:line="276" w:lineRule="auto"/>
            </w:pPr>
          </w:p>
        </w:tc>
        <w:tc>
          <w:tcPr>
            <w:tcW w:w="12147" w:type="dxa"/>
          </w:tcPr>
          <w:p w14:paraId="7F73D586" w14:textId="77777777" w:rsidR="006A4B0A" w:rsidRDefault="006A4B0A" w:rsidP="0053428E">
            <w:r>
              <w:t xml:space="preserve">Networking efforts were focused on smaller areas: systematic targeting of smaller regions yielded better results than targeting the entire state of </w:t>
            </w:r>
            <w:proofErr w:type="gramStart"/>
            <w:r>
              <w:t>Texas  (</w:t>
            </w:r>
            <w:proofErr w:type="gramEnd"/>
            <w:r>
              <w:t xml:space="preserve">Page 97). </w:t>
            </w:r>
          </w:p>
        </w:tc>
        <w:tc>
          <w:tcPr>
            <w:tcW w:w="1380" w:type="dxa"/>
          </w:tcPr>
          <w:p w14:paraId="19D3816C" w14:textId="77777777" w:rsidR="006A4B0A" w:rsidRDefault="006A4B0A" w:rsidP="0053428E">
            <w:r>
              <w:t>--</w:t>
            </w:r>
          </w:p>
        </w:tc>
      </w:tr>
    </w:tbl>
    <w:p w14:paraId="6EE08859" w14:textId="77777777" w:rsidR="006A4B0A" w:rsidRDefault="006A4B0A" w:rsidP="006A4B0A">
      <w:pPr>
        <w:rPr>
          <w:i/>
        </w:rPr>
      </w:pPr>
    </w:p>
    <w:p w14:paraId="36DBC222" w14:textId="77777777" w:rsidR="006A4B0A" w:rsidRDefault="006A4B0A" w:rsidP="006A4B0A">
      <w:pPr>
        <w:numPr>
          <w:ilvl w:val="0"/>
          <w:numId w:val="1"/>
        </w:numPr>
        <w:pBdr>
          <w:top w:val="nil"/>
          <w:left w:val="nil"/>
          <w:bottom w:val="nil"/>
          <w:right w:val="nil"/>
          <w:between w:val="nil"/>
        </w:pBdr>
        <w:rPr>
          <w:i/>
          <w:color w:val="000000"/>
        </w:rPr>
      </w:pPr>
      <w:r>
        <w:rPr>
          <w:i/>
          <w:color w:val="000000"/>
        </w:rPr>
        <w:t>Dissemination strategies:</w:t>
      </w:r>
    </w:p>
    <w:tbl>
      <w:tblPr>
        <w:tblW w:w="15451" w:type="dxa"/>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18"/>
        <w:gridCol w:w="10347"/>
        <w:gridCol w:w="3686"/>
      </w:tblGrid>
      <w:tr w:rsidR="006A4B0A" w14:paraId="26760611" w14:textId="77777777" w:rsidTr="0053428E">
        <w:tc>
          <w:tcPr>
            <w:tcW w:w="15452" w:type="dxa"/>
            <w:gridSpan w:val="3"/>
          </w:tcPr>
          <w:p w14:paraId="27B3594F" w14:textId="77777777" w:rsidR="006A4B0A" w:rsidRDefault="006A4B0A" w:rsidP="0053428E">
            <w:pPr>
              <w:rPr>
                <w:b/>
              </w:rPr>
            </w:pPr>
            <w:r>
              <w:rPr>
                <w:b/>
              </w:rPr>
              <w:lastRenderedPageBreak/>
              <w:t>Not included in analysis due to low quality:</w:t>
            </w:r>
          </w:p>
        </w:tc>
      </w:tr>
      <w:tr w:rsidR="006A4B0A" w14:paraId="178F3DF3" w14:textId="77777777" w:rsidTr="0053428E">
        <w:tc>
          <w:tcPr>
            <w:tcW w:w="1418" w:type="dxa"/>
          </w:tcPr>
          <w:p w14:paraId="18D36FE7" w14:textId="77777777" w:rsidR="006A4B0A" w:rsidRDefault="006A4B0A" w:rsidP="0053428E">
            <w:r>
              <w:t>Author</w:t>
            </w:r>
          </w:p>
        </w:tc>
        <w:tc>
          <w:tcPr>
            <w:tcW w:w="10348" w:type="dxa"/>
          </w:tcPr>
          <w:p w14:paraId="0278AD77" w14:textId="77777777" w:rsidR="006A4B0A" w:rsidRDefault="006A4B0A" w:rsidP="0053428E">
            <w:r>
              <w:t>Facilitator</w:t>
            </w:r>
          </w:p>
        </w:tc>
        <w:tc>
          <w:tcPr>
            <w:tcW w:w="3686" w:type="dxa"/>
          </w:tcPr>
          <w:p w14:paraId="6AA358B6" w14:textId="77777777" w:rsidR="006A4B0A" w:rsidRDefault="006A4B0A" w:rsidP="0053428E">
            <w:r>
              <w:t>Barrier</w:t>
            </w:r>
          </w:p>
        </w:tc>
      </w:tr>
      <w:tr w:rsidR="006A4B0A" w14:paraId="74FC06EA" w14:textId="77777777" w:rsidTr="0053428E">
        <w:tc>
          <w:tcPr>
            <w:tcW w:w="1418" w:type="dxa"/>
            <w:vMerge w:val="restart"/>
          </w:tcPr>
          <w:p w14:paraId="6D48591C" w14:textId="045C465A" w:rsidR="006A4B0A" w:rsidRDefault="006A4B0A" w:rsidP="0053428E">
            <w:r>
              <w:t>Dagenais et al, 2015</w:t>
            </w:r>
            <w:r>
              <w:fldChar w:fldCharType="begin" w:fldLock="1"/>
            </w:r>
            <w:r>
              <w:instrText>ADDIN CSL_CITATION {"citationItems":[{"id":"ITEM-1","itemData":{"DOI":"10.1016/j.evalprogplan.2015.07.003","ISSN":"01497189","PMID":"26203522","abstract":"Empirical data on the processes underlying knowledge brokering (KB) interventions, including their determining factors and effects, remain scarce. Furthermore, these interventions are rarely built on explicit theoretical foundations, making their critical analysis difficult, even a posteriori. For these reasons, it appeared relevant to revisit the results of a qualitative evaluation undertaken in the province of Quebec in parallel with a Canada-wide randomized controlled trial (RCT) evaluating various KB strategies in public health. This paper looks critically at the theoretical foundations of the KB interventions in light of two conceptual models: (1) the dissemination model underlying the KB interventions used in the Canadian trial and (2) a systemic KB model developed later. This critical analysis sheds light on the processes involved in KB interventions and the factors influencing their implementation and effects. The conclusions of the critical analysis are consistent with the systemic model, in which interpersonal contact is an essential condition for effective KB interventions. This analysis may advance knowledge in the field by enhancing our understanding of the role of knowledge brokers as essential mediators in KB processes and outcomes.","author":[{"dropping-particle":"","family":"Dagenais","given":"Christian","non-dropping-particle":"","parse-names":false,"suffix":""},{"dropping-particle":"","family":"Laurendeau","given":"Marie Claire","non-dropping-particle":"","parse-names":false,"suffix":""},{"dropping-particle":"","family":"Briand-Lamarche","given":"Mélodie","non-dropping-particle":"","parse-names":false,"suffix":""}],"container-title":"Evaluation and Program Planning","id":"ITEM-1","issued":{"date-parts":[["2015"]]},"page":"10-17","title":"Knowledge brokering in public health: A critical analysis of the results of a qualitative evaluation","type":"article-journal","volume":"53"},"uris":["http://www.mendeley.com/documents/?uuid=54da593e-fb2c-4997-ad12-c659e1fc1f48"]}],"mendeley":{"formattedCitation":"(38)","plainTextFormattedCitation":"(38)","previouslyFormattedCitation":"(38)"},"properties":{"noteIndex":0},"schema":"https://github.com/citation-style-language/schema/raw/master/csl-citation.json"}</w:instrText>
            </w:r>
            <w:r>
              <w:fldChar w:fldCharType="separate"/>
            </w:r>
            <w:r w:rsidRPr="007036BA">
              <w:rPr>
                <w:noProof/>
              </w:rPr>
              <w:t>(</w:t>
            </w:r>
            <w:r w:rsidR="00ED6805">
              <w:rPr>
                <w:noProof/>
              </w:rPr>
              <w:t>57</w:t>
            </w:r>
            <w:r w:rsidRPr="007036BA">
              <w:rPr>
                <w:noProof/>
              </w:rPr>
              <w:t>)</w:t>
            </w:r>
            <w:r>
              <w:fldChar w:fldCharType="end"/>
            </w:r>
          </w:p>
        </w:tc>
        <w:tc>
          <w:tcPr>
            <w:tcW w:w="10348" w:type="dxa"/>
          </w:tcPr>
          <w:p w14:paraId="0B8F6C1B" w14:textId="77777777" w:rsidR="006A4B0A" w:rsidRDefault="006A4B0A" w:rsidP="0053428E">
            <w:r>
              <w:t xml:space="preserve">the KB intervention appeared to have facilitated the first of the five stages of the dissemination model (i.e., knowledge). </w:t>
            </w:r>
          </w:p>
        </w:tc>
        <w:tc>
          <w:tcPr>
            <w:tcW w:w="3686" w:type="dxa"/>
          </w:tcPr>
          <w:p w14:paraId="1832EEB3" w14:textId="77777777" w:rsidR="006A4B0A" w:rsidRDefault="006A4B0A" w:rsidP="0053428E">
            <w:r>
              <w:t xml:space="preserve">the content of the tailored messages was not sufficiently integrated with other available sources of information to enable them to fully grasp the implications of the new knowledge. </w:t>
            </w:r>
          </w:p>
        </w:tc>
      </w:tr>
      <w:tr w:rsidR="006A4B0A" w14:paraId="71235E2C" w14:textId="77777777" w:rsidTr="0053428E">
        <w:tc>
          <w:tcPr>
            <w:tcW w:w="1418" w:type="dxa"/>
            <w:vMerge/>
          </w:tcPr>
          <w:p w14:paraId="03A24090" w14:textId="77777777" w:rsidR="006A4B0A" w:rsidRDefault="006A4B0A" w:rsidP="0053428E">
            <w:pPr>
              <w:widowControl w:val="0"/>
              <w:pBdr>
                <w:top w:val="nil"/>
                <w:left w:val="nil"/>
                <w:bottom w:val="nil"/>
                <w:right w:val="nil"/>
                <w:between w:val="nil"/>
              </w:pBdr>
              <w:spacing w:line="276" w:lineRule="auto"/>
            </w:pPr>
          </w:p>
        </w:tc>
        <w:tc>
          <w:tcPr>
            <w:tcW w:w="14034" w:type="dxa"/>
            <w:gridSpan w:val="2"/>
          </w:tcPr>
          <w:p w14:paraId="02938A0A" w14:textId="77777777" w:rsidR="006A4B0A" w:rsidRDefault="006A4B0A" w:rsidP="0053428E">
            <w:r>
              <w:t>The research summaries in French were greatly appreciated, while respondents found the original English articles more difficult to understand</w:t>
            </w:r>
          </w:p>
        </w:tc>
      </w:tr>
      <w:tr w:rsidR="006A4B0A" w14:paraId="1DBD679E" w14:textId="77777777" w:rsidTr="0053428E">
        <w:tc>
          <w:tcPr>
            <w:tcW w:w="1418" w:type="dxa"/>
            <w:vMerge w:val="restart"/>
          </w:tcPr>
          <w:p w14:paraId="74E0B532" w14:textId="1D7E41C8" w:rsidR="006A4B0A" w:rsidRDefault="006A4B0A" w:rsidP="0053428E">
            <w:r>
              <w:t>Faulkner et al, 2017</w:t>
            </w:r>
            <w:r>
              <w:fldChar w:fldCharType="begin" w:fldLock="1"/>
            </w:r>
            <w:r>
              <w:instrText>ADDIN CSL_CITATION {"citationItems":[{"id":"ITEM-1","itemData":{"author":[{"dropping-particle":"","family":"Faulkner","given":"Guy","non-dropping-particle":"","parse-names":false,"suffix":""},{"dropping-particle":"","family":"White","given":"Lauren","non-dropping-particle":"","parse-names":false,"suffix":""},{"dropping-particle":"","family":"Riazi","given":"Negin","non-dropping-particle":"","parse-names":false,"suffix":""},{"dropping-particle":"","family":"Latimer-Cheung","given":"Amy E.","non-dropping-particle":"","parse-names":false,"suffix":""},{"dropping-particle":"","family":"Tremblay","given":"Mark S.","non-dropping-particle":"","parse-names":false,"suffix":""}],"container-title":"Appl. Physiol. Nutr. Metab","id":"ITEM-1","issued":{"date-parts":[["2016"]]},"page":"S303–S310","title":"Canadian 24-Hour Movement Guidelines for Children and Youth: Exploring the perceptions of stakeholders regarding their acceptability, barriers to uptake, and dissemination","type":"article-journal","volume":"41"},"uris":["http://www.mendeley.com/documents/?uuid=22ae79e3-27be-4830-bfc5-9f877d1ac803"]}],"mendeley":{"formattedCitation":"(30)","plainTextFormattedCitation":"(30)","previouslyFormattedCitation":"(30)"},"properties":{"noteIndex":0},"schema":"https://github.com/citation-style-language/schema/raw/master/csl-citation.json"}</w:instrText>
            </w:r>
            <w:r>
              <w:fldChar w:fldCharType="separate"/>
            </w:r>
            <w:r w:rsidRPr="007036BA">
              <w:rPr>
                <w:noProof/>
              </w:rPr>
              <w:t>(</w:t>
            </w:r>
            <w:r w:rsidR="00ED6805">
              <w:rPr>
                <w:noProof/>
              </w:rPr>
              <w:t>44</w:t>
            </w:r>
            <w:r w:rsidRPr="007036BA">
              <w:rPr>
                <w:noProof/>
              </w:rPr>
              <w:t>)</w:t>
            </w:r>
            <w:r>
              <w:fldChar w:fldCharType="end"/>
            </w:r>
          </w:p>
        </w:tc>
        <w:tc>
          <w:tcPr>
            <w:tcW w:w="10348" w:type="dxa"/>
          </w:tcPr>
          <w:p w14:paraId="6B942FA1" w14:textId="77777777" w:rsidR="006A4B0A" w:rsidRDefault="006A4B0A" w:rsidP="0053428E">
            <w:r>
              <w:t>It was noted by paediatricians that primary care providers would be more effective as a main source for disseminating the Movement Guidelines. Although stakeholders described a wide range of sources of information about the guidelines, a collaborative, multi-sectoral approach was recognized as essential.</w:t>
            </w:r>
          </w:p>
        </w:tc>
        <w:tc>
          <w:tcPr>
            <w:tcW w:w="3686" w:type="dxa"/>
          </w:tcPr>
          <w:p w14:paraId="2EF4260E" w14:textId="77777777" w:rsidR="006A4B0A" w:rsidRDefault="006A4B0A" w:rsidP="0053428E">
            <w:r>
              <w:t>--</w:t>
            </w:r>
          </w:p>
          <w:p w14:paraId="6764B695" w14:textId="77777777" w:rsidR="006A4B0A" w:rsidRDefault="006A4B0A" w:rsidP="0053428E"/>
        </w:tc>
      </w:tr>
      <w:tr w:rsidR="006A4B0A" w14:paraId="5F5BDA13" w14:textId="77777777" w:rsidTr="0053428E">
        <w:tc>
          <w:tcPr>
            <w:tcW w:w="1418" w:type="dxa"/>
            <w:vMerge/>
          </w:tcPr>
          <w:p w14:paraId="063CEB0C" w14:textId="77777777" w:rsidR="006A4B0A" w:rsidRDefault="006A4B0A" w:rsidP="0053428E">
            <w:pPr>
              <w:widowControl w:val="0"/>
              <w:pBdr>
                <w:top w:val="nil"/>
                <w:left w:val="nil"/>
                <w:bottom w:val="nil"/>
                <w:right w:val="nil"/>
                <w:between w:val="nil"/>
              </w:pBdr>
              <w:spacing w:line="276" w:lineRule="auto"/>
            </w:pPr>
          </w:p>
        </w:tc>
        <w:tc>
          <w:tcPr>
            <w:tcW w:w="10348" w:type="dxa"/>
          </w:tcPr>
          <w:p w14:paraId="6A11EC3F" w14:textId="77777777" w:rsidR="006A4B0A" w:rsidRDefault="006A4B0A" w:rsidP="0053428E">
            <w:r>
              <w:t xml:space="preserve">Participants described that the Movement Guidelines must first be distributed by credible sources (e.g., government and nongovernmental agencies, university, and health institutions) that have a broader public outreach. Overall, “the school” or “doctors” were seen as the most common and credible sources of information about the Movement Guidelines. </w:t>
            </w:r>
          </w:p>
        </w:tc>
        <w:tc>
          <w:tcPr>
            <w:tcW w:w="3686" w:type="dxa"/>
          </w:tcPr>
          <w:p w14:paraId="4CA11244" w14:textId="77777777" w:rsidR="006A4B0A" w:rsidRDefault="006A4B0A" w:rsidP="0053428E">
            <w:r>
              <w:t>--</w:t>
            </w:r>
          </w:p>
          <w:p w14:paraId="5A468B53" w14:textId="77777777" w:rsidR="006A4B0A" w:rsidRDefault="006A4B0A" w:rsidP="0053428E"/>
        </w:tc>
      </w:tr>
      <w:tr w:rsidR="006A4B0A" w14:paraId="22A726D3" w14:textId="77777777" w:rsidTr="0053428E">
        <w:tc>
          <w:tcPr>
            <w:tcW w:w="1418" w:type="dxa"/>
            <w:vMerge/>
          </w:tcPr>
          <w:p w14:paraId="61C9EC75" w14:textId="77777777" w:rsidR="006A4B0A" w:rsidRDefault="006A4B0A" w:rsidP="0053428E">
            <w:pPr>
              <w:widowControl w:val="0"/>
              <w:pBdr>
                <w:top w:val="nil"/>
                <w:left w:val="nil"/>
                <w:bottom w:val="nil"/>
                <w:right w:val="nil"/>
                <w:between w:val="nil"/>
              </w:pBdr>
              <w:spacing w:line="276" w:lineRule="auto"/>
            </w:pPr>
          </w:p>
        </w:tc>
        <w:tc>
          <w:tcPr>
            <w:tcW w:w="10348" w:type="dxa"/>
          </w:tcPr>
          <w:p w14:paraId="1A813161" w14:textId="025225E0" w:rsidR="006A4B0A" w:rsidRDefault="006A4B0A" w:rsidP="0053428E">
            <w:r>
              <w:t xml:space="preserve">pamphlets and/or posters and online media were the </w:t>
            </w:r>
            <w:proofErr w:type="gramStart"/>
            <w:r>
              <w:t>most commonly discussed</w:t>
            </w:r>
            <w:proofErr w:type="gramEnd"/>
            <w:r>
              <w:t xml:space="preserve"> forms of dissemination. (Page s308)</w:t>
            </w:r>
          </w:p>
        </w:tc>
        <w:tc>
          <w:tcPr>
            <w:tcW w:w="3686" w:type="dxa"/>
          </w:tcPr>
          <w:p w14:paraId="695006CA" w14:textId="77777777" w:rsidR="006A4B0A" w:rsidRDefault="006A4B0A" w:rsidP="0053428E">
            <w:r>
              <w:t>--</w:t>
            </w:r>
          </w:p>
          <w:p w14:paraId="3E216832" w14:textId="77777777" w:rsidR="006A4B0A" w:rsidRDefault="006A4B0A" w:rsidP="0053428E"/>
        </w:tc>
      </w:tr>
      <w:tr w:rsidR="006A4B0A" w14:paraId="6D56288E" w14:textId="77777777" w:rsidTr="0053428E">
        <w:tc>
          <w:tcPr>
            <w:tcW w:w="1418" w:type="dxa"/>
            <w:vMerge/>
          </w:tcPr>
          <w:p w14:paraId="01892C45" w14:textId="77777777" w:rsidR="006A4B0A" w:rsidRDefault="006A4B0A" w:rsidP="0053428E">
            <w:pPr>
              <w:widowControl w:val="0"/>
              <w:pBdr>
                <w:top w:val="nil"/>
                <w:left w:val="nil"/>
                <w:bottom w:val="nil"/>
                <w:right w:val="nil"/>
                <w:between w:val="nil"/>
              </w:pBdr>
              <w:spacing w:line="276" w:lineRule="auto"/>
            </w:pPr>
          </w:p>
        </w:tc>
        <w:tc>
          <w:tcPr>
            <w:tcW w:w="10348" w:type="dxa"/>
          </w:tcPr>
          <w:p w14:paraId="06740EB7" w14:textId="73B8BE92" w:rsidR="006A4B0A" w:rsidRDefault="006A4B0A" w:rsidP="0053428E">
            <w:r>
              <w:t>teachers, qualified exercise professionals, and paediatricians advocated for educational resources such as workshops and guidebooks to elaborate on how to adopt and implement the Movement Guidelines. (Page s308)</w:t>
            </w:r>
          </w:p>
        </w:tc>
        <w:tc>
          <w:tcPr>
            <w:tcW w:w="3686" w:type="dxa"/>
          </w:tcPr>
          <w:p w14:paraId="2D652613" w14:textId="77777777" w:rsidR="006A4B0A" w:rsidRDefault="006A4B0A" w:rsidP="0053428E">
            <w:r>
              <w:t>--</w:t>
            </w:r>
          </w:p>
          <w:p w14:paraId="1C727098" w14:textId="77777777" w:rsidR="006A4B0A" w:rsidRDefault="006A4B0A" w:rsidP="0053428E"/>
        </w:tc>
      </w:tr>
      <w:tr w:rsidR="006A4B0A" w14:paraId="46BBE910" w14:textId="77777777" w:rsidTr="0053428E">
        <w:tc>
          <w:tcPr>
            <w:tcW w:w="1418" w:type="dxa"/>
            <w:vMerge w:val="restart"/>
          </w:tcPr>
          <w:p w14:paraId="1D5ED406" w14:textId="31C2BD20" w:rsidR="006A4B0A" w:rsidRDefault="006A4B0A" w:rsidP="0053428E">
            <w:r>
              <w:t>Riazi et al, 2017</w:t>
            </w:r>
            <w:r>
              <w:fldChar w:fldCharType="begin" w:fldLock="1"/>
            </w:r>
            <w:r>
              <w:instrText>ADDIN CSL_CITATION {"citationItems":[{"id":"ITEM-1","itemData":{"DOI":"10.1186/s12889-017-4853-z","ISSN":"14712458","PMID":"29219087","abstract":"Background: It is important to engage stakeholders and end users in the development of guidelines for knowledge translation purposes. The aim of this study was to examine stakeholders' (experts in pediatric and family medicine, physical activity knowledge translation, and research) and end users' (parents and early childhood educators) perceptions of the Canadian 24-Hour Movement Guidelines for the Early Years (0-4 years). Methods: Stakeholders (n = 10) engaged in telephone interviews and end users (n = 92) participated in focus groups (n = 14) to discuss perceived clarity and need for the guidelines, potential barriers to implementation, identification of credible messengers, and methods for dissemination of the guidelines. A thematic analysis was conducted. Results: The proposed guidelines were very well received by both stakeholders and end users. A clear need for such guidelines was identified, and most believed the guidelines were achievable. Stakeholders and end users identified several potential barriers to uptake, including low awareness of current guidelines; 'daily challenges' such as allure of screen time, lack of time, and competing priorities; and challenges in the context of shifting social norms. A range of methods and messengers of dissemination were identified. Medical and child care settings were the most frequently cited places for dissemination, and physicians and early childhood educators were the most common suggestions for messengers. Conclusions: There was consistent support for the Canadian 24-Hour Movement Guidelines for the Early Years (0-4 years) from both stakeholders and end users. Moving forward, it is important to dedicate appropriate support and funding toward dissemination efforts in order to reach end users, particularly parents and early childhood educators.","author":[{"dropping-particle":"","family":"Riazi","given":"Negin","non-dropping-particle":"","parse-names":false,"suffix":""},{"dropping-particle":"","family":"Ramanathan","given":"Subha","non-dropping-particle":"","parse-names":false,"suffix":""},{"dropping-particle":"","family":"O'Neill","given":"Meghan","non-dropping-particle":"","parse-names":false,"suffix":""},{"dropping-particle":"","family":"Tremblay","given":"Mark S.","non-dropping-particle":"","parse-names":false,"suffix":""},{"dropping-particle":"","family":"Faulkner","given":"Guy","non-dropping-particle":"","parse-names":false,"suffix":""}],"container-title":"BMC Public Health","id":"ITEM-1","issue":"Suppl 5","issued":{"date-parts":[["2017"]]},"title":"Canadian 24-hour movement guidelines for the early years (0-4 years): Exploring the perceptions of stakeholders and end users regarding their acceptability, barriers to uptake, and dissemination","type":"article-journal","volume":"17"},"uris":["http://www.mendeley.com/documents/?uuid=1112c81e-380b-4430-a86c-2bbfb1da4eb4"]}],"mendeley":{"formattedCitation":"(32)","plainTextFormattedCitation":"(32)","previouslyFormattedCitation":"(32)"},"properties":{"noteIndex":0},"schema":"https://github.com/citation-style-language/schema/raw/master/csl-citation.json"}</w:instrText>
            </w:r>
            <w:r>
              <w:fldChar w:fldCharType="separate"/>
            </w:r>
            <w:r w:rsidRPr="007036BA">
              <w:rPr>
                <w:noProof/>
              </w:rPr>
              <w:t>(</w:t>
            </w:r>
            <w:r w:rsidR="00ED6805">
              <w:rPr>
                <w:noProof/>
              </w:rPr>
              <w:t>46</w:t>
            </w:r>
            <w:r w:rsidRPr="007036BA">
              <w:rPr>
                <w:noProof/>
              </w:rPr>
              <w:t>)</w:t>
            </w:r>
            <w:r>
              <w:fldChar w:fldCharType="end"/>
            </w:r>
          </w:p>
        </w:tc>
        <w:tc>
          <w:tcPr>
            <w:tcW w:w="10348" w:type="dxa"/>
          </w:tcPr>
          <w:p w14:paraId="59F8B2C9" w14:textId="77777777" w:rsidR="006A4B0A" w:rsidRDefault="006A4B0A" w:rsidP="0053428E">
            <w:r>
              <w:t xml:space="preserve">Medical settings (e.g., doctor’s offices, hospitals), </w:t>
            </w:r>
            <w:proofErr w:type="gramStart"/>
            <w:r>
              <w:t>child care</w:t>
            </w:r>
            <w:proofErr w:type="gramEnd"/>
            <w:r>
              <w:t xml:space="preserve"> settings (e.g., daycares, home care), community centres (e.g., libraries, community schools, early years centres), and schools (for four-year-olds) were cited across interviews and focus groups. </w:t>
            </w:r>
            <w:proofErr w:type="gramStart"/>
            <w:r>
              <w:t>Particular emphasis</w:t>
            </w:r>
            <w:proofErr w:type="gramEnd"/>
            <w:r>
              <w:t xml:space="preserve"> was placed on physician visits, partly because promotion of healthy behaviours (such as physical activity and adequate sleep) was viewed as the “business” of physicians, and </w:t>
            </w:r>
            <w:r>
              <w:lastRenderedPageBreak/>
              <w:t>partly due to the frequency of visits among Canadian infants and preschoolers to receive publicly funded immunizations (Page 140)</w:t>
            </w:r>
          </w:p>
        </w:tc>
        <w:tc>
          <w:tcPr>
            <w:tcW w:w="3686" w:type="dxa"/>
          </w:tcPr>
          <w:p w14:paraId="34EFA33C" w14:textId="77777777" w:rsidR="006A4B0A" w:rsidRDefault="006A4B0A" w:rsidP="0053428E">
            <w:r>
              <w:lastRenderedPageBreak/>
              <w:t>--</w:t>
            </w:r>
          </w:p>
          <w:p w14:paraId="685602F2" w14:textId="77777777" w:rsidR="006A4B0A" w:rsidRDefault="006A4B0A" w:rsidP="0053428E"/>
        </w:tc>
      </w:tr>
      <w:tr w:rsidR="006A4B0A" w14:paraId="4628CE11" w14:textId="77777777" w:rsidTr="0053428E">
        <w:tc>
          <w:tcPr>
            <w:tcW w:w="1418" w:type="dxa"/>
            <w:vMerge/>
          </w:tcPr>
          <w:p w14:paraId="31E8DAE9" w14:textId="77777777" w:rsidR="006A4B0A" w:rsidRDefault="006A4B0A" w:rsidP="0053428E">
            <w:pPr>
              <w:widowControl w:val="0"/>
              <w:pBdr>
                <w:top w:val="nil"/>
                <w:left w:val="nil"/>
                <w:bottom w:val="nil"/>
                <w:right w:val="nil"/>
                <w:between w:val="nil"/>
              </w:pBdr>
              <w:spacing w:line="276" w:lineRule="auto"/>
            </w:pPr>
          </w:p>
        </w:tc>
        <w:tc>
          <w:tcPr>
            <w:tcW w:w="10348" w:type="dxa"/>
          </w:tcPr>
          <w:p w14:paraId="4D22FD27" w14:textId="77777777" w:rsidR="006A4B0A" w:rsidRDefault="006A4B0A" w:rsidP="0053428E">
            <w:r>
              <w:t>Other mechanisms cited were educational programs for newcomers as a part of settlement services; government mail-outs and electronic notices (e.g., notifications about the Children’s Fitness Tax Credit); and listservs and newsletters (e.g., from daycares, community centres, health professional organizations).</w:t>
            </w:r>
          </w:p>
        </w:tc>
        <w:tc>
          <w:tcPr>
            <w:tcW w:w="3686" w:type="dxa"/>
          </w:tcPr>
          <w:p w14:paraId="52569935" w14:textId="77777777" w:rsidR="006A4B0A" w:rsidRDefault="006A4B0A" w:rsidP="0053428E">
            <w:r>
              <w:t>--</w:t>
            </w:r>
          </w:p>
          <w:p w14:paraId="5F407080" w14:textId="77777777" w:rsidR="006A4B0A" w:rsidRDefault="006A4B0A" w:rsidP="0053428E"/>
        </w:tc>
      </w:tr>
      <w:tr w:rsidR="006A4B0A" w14:paraId="1E684C6B" w14:textId="77777777" w:rsidTr="0053428E">
        <w:tc>
          <w:tcPr>
            <w:tcW w:w="1418" w:type="dxa"/>
            <w:vMerge/>
          </w:tcPr>
          <w:p w14:paraId="26764DC6" w14:textId="77777777" w:rsidR="006A4B0A" w:rsidRDefault="006A4B0A" w:rsidP="0053428E">
            <w:pPr>
              <w:widowControl w:val="0"/>
              <w:pBdr>
                <w:top w:val="nil"/>
                <w:left w:val="nil"/>
                <w:bottom w:val="nil"/>
                <w:right w:val="nil"/>
                <w:between w:val="nil"/>
              </w:pBdr>
              <w:spacing w:line="276" w:lineRule="auto"/>
            </w:pPr>
          </w:p>
        </w:tc>
        <w:tc>
          <w:tcPr>
            <w:tcW w:w="10348" w:type="dxa"/>
          </w:tcPr>
          <w:p w14:paraId="2392787A" w14:textId="77777777" w:rsidR="006A4B0A" w:rsidRDefault="006A4B0A" w:rsidP="0053428E">
            <w:r>
              <w:t xml:space="preserve">Non-electronic formats to disseminate the Movement Guidelines included printed pamphlets, posters, magnets, professional conference presentations and booths, peer-reviewed journal articles (and their electronic versions), and a telephone </w:t>
            </w:r>
            <w:proofErr w:type="gramStart"/>
            <w:r>
              <w:t>help-line</w:t>
            </w:r>
            <w:proofErr w:type="gramEnd"/>
            <w:r>
              <w:t xml:space="preserve">. Page 141. </w:t>
            </w:r>
          </w:p>
        </w:tc>
        <w:tc>
          <w:tcPr>
            <w:tcW w:w="3686" w:type="dxa"/>
          </w:tcPr>
          <w:p w14:paraId="4524A81A" w14:textId="77777777" w:rsidR="006A4B0A" w:rsidRDefault="006A4B0A" w:rsidP="0053428E">
            <w:r>
              <w:t>--</w:t>
            </w:r>
          </w:p>
          <w:p w14:paraId="2A51C7BC" w14:textId="77777777" w:rsidR="006A4B0A" w:rsidRDefault="006A4B0A" w:rsidP="0053428E"/>
        </w:tc>
      </w:tr>
      <w:tr w:rsidR="006A4B0A" w14:paraId="57244F4D" w14:textId="77777777" w:rsidTr="0053428E">
        <w:tc>
          <w:tcPr>
            <w:tcW w:w="1418" w:type="dxa"/>
            <w:vMerge/>
          </w:tcPr>
          <w:p w14:paraId="22486589" w14:textId="77777777" w:rsidR="006A4B0A" w:rsidRDefault="006A4B0A" w:rsidP="0053428E">
            <w:pPr>
              <w:widowControl w:val="0"/>
              <w:pBdr>
                <w:top w:val="nil"/>
                <w:left w:val="nil"/>
                <w:bottom w:val="nil"/>
                <w:right w:val="nil"/>
                <w:between w:val="nil"/>
              </w:pBdr>
              <w:spacing w:line="276" w:lineRule="auto"/>
            </w:pPr>
          </w:p>
        </w:tc>
        <w:tc>
          <w:tcPr>
            <w:tcW w:w="10348" w:type="dxa"/>
          </w:tcPr>
          <w:p w14:paraId="4E6C093E" w14:textId="77777777" w:rsidR="006A4B0A" w:rsidRDefault="006A4B0A" w:rsidP="0053428E">
            <w:r>
              <w:t xml:space="preserve">Messengers and methods of dissemination: Settings for dissemination -There was also a sense that </w:t>
            </w:r>
            <w:proofErr w:type="gramStart"/>
            <w:r>
              <w:t>in order to</w:t>
            </w:r>
            <w:proofErr w:type="gramEnd"/>
            <w:r>
              <w:t xml:space="preserve"> promote uptake, there would need to be an endorsement of the guidelines from professional societies, such as the College of Family Physicians of Canada, the Canadian Paediatric Society, and the Public Health Agency of Canada. These endorsements, which would ultimately enhance the credibility of the Movement Guidelines, could take the form of logos integrated within the Movement Guidelines, or web links to the guidelines posted on the websites of professional societies and government organizations. Page 140.</w:t>
            </w:r>
          </w:p>
        </w:tc>
        <w:tc>
          <w:tcPr>
            <w:tcW w:w="3686" w:type="dxa"/>
          </w:tcPr>
          <w:p w14:paraId="21AB6C83" w14:textId="77777777" w:rsidR="006A4B0A" w:rsidRDefault="006A4B0A" w:rsidP="0053428E">
            <w:r>
              <w:t>--</w:t>
            </w:r>
          </w:p>
          <w:p w14:paraId="486EA106" w14:textId="77777777" w:rsidR="006A4B0A" w:rsidRDefault="006A4B0A" w:rsidP="0053428E"/>
        </w:tc>
      </w:tr>
      <w:tr w:rsidR="006A4B0A" w14:paraId="1F51336C" w14:textId="77777777" w:rsidTr="0053428E">
        <w:tc>
          <w:tcPr>
            <w:tcW w:w="1418" w:type="dxa"/>
            <w:vMerge w:val="restart"/>
          </w:tcPr>
          <w:p w14:paraId="27031AEF" w14:textId="57D8872F" w:rsidR="006A4B0A" w:rsidRDefault="006A4B0A" w:rsidP="0053428E">
            <w:r>
              <w:t>Boydell et al, 2008</w:t>
            </w:r>
            <w:r>
              <w:fldChar w:fldCharType="begin" w:fldLock="1"/>
            </w:r>
            <w:r>
              <w:instrText>ADDIN CSL_CITATION {"citationItems":[{"id":"ITEM-1","itemData":{"DOI":"10.7870/cjcmh-2008-0004","ISSN":"07133936","abstract":"Qualitative focus group methods were used to examine the readiness of children's mental health organizations in rural communities to make use of research knowledge. A social construction perspective underpins this study, highlighting the significance of subjective interpretation in the actions and reactions of individuals in their everyday world. Knowledge translation was conceptualized by participants on a continuum, ranging from the provision of basic service information to more sophisticated evidence-based research on evidence-based practice. For rural and remote communities, strategies at the service-provisional level can play a role in addressing the challenges posed by the dire lack of resources in children's mental health.","author":[{"dropping-particle":"","family":"Boydell","given":"Katherine M.","non-dropping-particle":"","parse-names":false,"suffix":""},{"dropping-particle":"","family":"Stasiulis","given":"Elaine","non-dropping-particle":"","parse-names":false,"suffix":""},{"dropping-particle":"","family":"Barwick","given":"Melanie","non-dropping-particle":"","parse-names":false,"suffix":""},{"dropping-particle":"","family":"Greenberg","given":"Natasha","non-dropping-particle":"","parse-names":false,"suffix":""},{"dropping-particle":"","family":"Pong","given":"Raymond","non-dropping-particle":"","parse-names":false,"suffix":""}],"container-title":"Canadian Journal of Community Mental Health","id":"ITEM-1","issue":"1","issued":{"date-parts":[["2008"]]},"page":"49-63","title":"Challenges of knowledge translation in rural communities: The case of rural children's mental health","type":"article-journal","volume":"27"},"uris":["http://www.mendeley.com/documents/?uuid=09b8b280-7b93-4c2e-8964-09866a20c314"]}],"mendeley":{"formattedCitation":"(36)","plainTextFormattedCitation":"(36)","previouslyFormattedCitation":"(36)"},"properties":{"noteIndex":0},"schema":"https://github.com/citation-style-language/schema/raw/master/csl-citation.json"}</w:instrText>
            </w:r>
            <w:r>
              <w:fldChar w:fldCharType="separate"/>
            </w:r>
            <w:r w:rsidRPr="007036BA">
              <w:rPr>
                <w:noProof/>
              </w:rPr>
              <w:t>(</w:t>
            </w:r>
            <w:r w:rsidR="00ED6805">
              <w:rPr>
                <w:noProof/>
              </w:rPr>
              <w:t>50</w:t>
            </w:r>
            <w:r w:rsidRPr="007036BA">
              <w:rPr>
                <w:noProof/>
              </w:rPr>
              <w:t>)</w:t>
            </w:r>
            <w:r>
              <w:fldChar w:fldCharType="end"/>
            </w:r>
          </w:p>
        </w:tc>
        <w:tc>
          <w:tcPr>
            <w:tcW w:w="10348" w:type="dxa"/>
          </w:tcPr>
          <w:p w14:paraId="3D2D141F" w14:textId="77777777" w:rsidR="006A4B0A" w:rsidRDefault="006A4B0A" w:rsidP="0053428E">
            <w:r>
              <w:t>Reading Material (brochures, posters, newsletters): Placing brochures in locations where they can easily be picked up and read, such as in the classroom or school. Posting information in places where viewing cannot be observed by others, such as on the inside doors of washroom stalls, in elevators. Posters (particularly those listing contacts, telephone numbers for getting help) should be printed with large letters so they can be read from a distance. Information packages given at the beginning of each school year to every student so that no one is singled out. Page 59.</w:t>
            </w:r>
          </w:p>
        </w:tc>
        <w:tc>
          <w:tcPr>
            <w:tcW w:w="3686" w:type="dxa"/>
          </w:tcPr>
          <w:p w14:paraId="0569C62D" w14:textId="77777777" w:rsidR="006A4B0A" w:rsidRDefault="006A4B0A" w:rsidP="0053428E">
            <w:r>
              <w:t>--</w:t>
            </w:r>
          </w:p>
          <w:p w14:paraId="45E468D1" w14:textId="77777777" w:rsidR="006A4B0A" w:rsidRDefault="006A4B0A" w:rsidP="0053428E"/>
          <w:p w14:paraId="6695E3CE" w14:textId="77777777" w:rsidR="006A4B0A" w:rsidRDefault="006A4B0A" w:rsidP="0053428E"/>
        </w:tc>
      </w:tr>
      <w:tr w:rsidR="006A4B0A" w14:paraId="7317358F" w14:textId="77777777" w:rsidTr="0053428E">
        <w:tc>
          <w:tcPr>
            <w:tcW w:w="1418" w:type="dxa"/>
            <w:vMerge/>
          </w:tcPr>
          <w:p w14:paraId="092E8B0F" w14:textId="77777777" w:rsidR="006A4B0A" w:rsidRDefault="006A4B0A" w:rsidP="0053428E">
            <w:pPr>
              <w:widowControl w:val="0"/>
              <w:pBdr>
                <w:top w:val="nil"/>
                <w:left w:val="nil"/>
                <w:bottom w:val="nil"/>
                <w:right w:val="nil"/>
                <w:between w:val="nil"/>
              </w:pBdr>
              <w:spacing w:line="276" w:lineRule="auto"/>
            </w:pPr>
          </w:p>
        </w:tc>
        <w:tc>
          <w:tcPr>
            <w:tcW w:w="10348" w:type="dxa"/>
          </w:tcPr>
          <w:p w14:paraId="5999633D" w14:textId="77777777" w:rsidR="006A4B0A" w:rsidRDefault="006A4B0A" w:rsidP="0053428E">
            <w:r>
              <w:t>Newspapers: Include an annual insert of all the relevant community services and resources with contact information. Run a mental health column that highlights various issues with children’s mental health (</w:t>
            </w:r>
            <w:proofErr w:type="spellStart"/>
            <w:r>
              <w:t>eg.</w:t>
            </w:r>
            <w:proofErr w:type="spellEnd"/>
            <w:r>
              <w:t xml:space="preserve">, in a </w:t>
            </w:r>
            <w:proofErr w:type="gramStart"/>
            <w:r>
              <w:t>question and answer</w:t>
            </w:r>
            <w:proofErr w:type="gramEnd"/>
            <w:r>
              <w:t xml:space="preserve"> format). Page 59.</w:t>
            </w:r>
          </w:p>
        </w:tc>
        <w:tc>
          <w:tcPr>
            <w:tcW w:w="3686" w:type="dxa"/>
          </w:tcPr>
          <w:p w14:paraId="6C80FC1D" w14:textId="77777777" w:rsidR="006A4B0A" w:rsidRDefault="006A4B0A" w:rsidP="0053428E">
            <w:r>
              <w:t>--</w:t>
            </w:r>
          </w:p>
          <w:p w14:paraId="2B54E663" w14:textId="77777777" w:rsidR="006A4B0A" w:rsidRDefault="006A4B0A" w:rsidP="0053428E"/>
        </w:tc>
      </w:tr>
      <w:tr w:rsidR="006A4B0A" w14:paraId="2F56B515" w14:textId="77777777" w:rsidTr="0053428E">
        <w:tc>
          <w:tcPr>
            <w:tcW w:w="1418" w:type="dxa"/>
            <w:vMerge/>
          </w:tcPr>
          <w:p w14:paraId="5C6EA7BB" w14:textId="77777777" w:rsidR="006A4B0A" w:rsidRDefault="006A4B0A" w:rsidP="0053428E">
            <w:pPr>
              <w:widowControl w:val="0"/>
              <w:pBdr>
                <w:top w:val="nil"/>
                <w:left w:val="nil"/>
                <w:bottom w:val="nil"/>
                <w:right w:val="nil"/>
                <w:between w:val="nil"/>
              </w:pBdr>
              <w:spacing w:line="276" w:lineRule="auto"/>
            </w:pPr>
          </w:p>
        </w:tc>
        <w:tc>
          <w:tcPr>
            <w:tcW w:w="10348" w:type="dxa"/>
          </w:tcPr>
          <w:p w14:paraId="1C25A9A5" w14:textId="77777777" w:rsidR="006A4B0A" w:rsidRDefault="006A4B0A" w:rsidP="0053428E">
            <w:r>
              <w:t xml:space="preserve">Television and Radio: Public announcement ads that provide general information about children’s mental health. Page 59. </w:t>
            </w:r>
          </w:p>
        </w:tc>
        <w:tc>
          <w:tcPr>
            <w:tcW w:w="3686" w:type="dxa"/>
          </w:tcPr>
          <w:p w14:paraId="6BE9EA51" w14:textId="77777777" w:rsidR="006A4B0A" w:rsidRDefault="006A4B0A" w:rsidP="0053428E">
            <w:r>
              <w:t>--</w:t>
            </w:r>
          </w:p>
          <w:p w14:paraId="07CF1B4B" w14:textId="77777777" w:rsidR="006A4B0A" w:rsidRDefault="006A4B0A" w:rsidP="0053428E"/>
        </w:tc>
      </w:tr>
      <w:tr w:rsidR="006A4B0A" w14:paraId="057C3290" w14:textId="77777777" w:rsidTr="0053428E">
        <w:tc>
          <w:tcPr>
            <w:tcW w:w="1418" w:type="dxa"/>
            <w:vMerge/>
          </w:tcPr>
          <w:p w14:paraId="2C6DC03F" w14:textId="77777777" w:rsidR="006A4B0A" w:rsidRDefault="006A4B0A" w:rsidP="0053428E">
            <w:pPr>
              <w:widowControl w:val="0"/>
              <w:pBdr>
                <w:top w:val="nil"/>
                <w:left w:val="nil"/>
                <w:bottom w:val="nil"/>
                <w:right w:val="nil"/>
                <w:between w:val="nil"/>
              </w:pBdr>
              <w:spacing w:line="276" w:lineRule="auto"/>
            </w:pPr>
          </w:p>
        </w:tc>
        <w:tc>
          <w:tcPr>
            <w:tcW w:w="10348" w:type="dxa"/>
          </w:tcPr>
          <w:p w14:paraId="0974EDA8" w14:textId="77777777" w:rsidR="006A4B0A" w:rsidRDefault="006A4B0A" w:rsidP="0053428E">
            <w:r>
              <w:t>Face to Face Presentations/Meetings/Workshops: Workshops and courses for teachers offered during PD days. Workshops and courses for parents on topics that are more general and non-stigmatizing (</w:t>
            </w:r>
            <w:proofErr w:type="spellStart"/>
            <w:r>
              <w:t>eg.</w:t>
            </w:r>
            <w:proofErr w:type="spellEnd"/>
            <w:r>
              <w:t>, better nutrition for your children). These types of sessions might attract more parents and provide a venue to give families specific information about children’s mental health. Presentations and assemblies within schools, with invitations for parents to attend as well. Page 59</w:t>
            </w:r>
          </w:p>
        </w:tc>
        <w:tc>
          <w:tcPr>
            <w:tcW w:w="3686" w:type="dxa"/>
          </w:tcPr>
          <w:p w14:paraId="65CE056B" w14:textId="77777777" w:rsidR="006A4B0A" w:rsidRDefault="006A4B0A" w:rsidP="0053428E">
            <w:r>
              <w:t>--</w:t>
            </w:r>
          </w:p>
          <w:p w14:paraId="2BB2CD56" w14:textId="77777777" w:rsidR="006A4B0A" w:rsidRDefault="006A4B0A" w:rsidP="0053428E"/>
        </w:tc>
      </w:tr>
      <w:tr w:rsidR="006A4B0A" w14:paraId="22175E80" w14:textId="77777777" w:rsidTr="0053428E">
        <w:tc>
          <w:tcPr>
            <w:tcW w:w="1418" w:type="dxa"/>
          </w:tcPr>
          <w:p w14:paraId="08AC7B62" w14:textId="39215963" w:rsidR="006A4B0A" w:rsidRDefault="006A4B0A" w:rsidP="0053428E">
            <w:r>
              <w:t>McBride et al, 2007</w:t>
            </w:r>
            <w:r>
              <w:fldChar w:fldCharType="begin" w:fldLock="1"/>
            </w:r>
            <w:r>
              <w:instrText>ADDIN CSL_CITATION {"citationItems":[{"id":"ITEM-1","itemData":{"DOI":"10.1080/09595230701613510","ISBN":"0959523070161","ISSN":"09595236","PMID":"17943527","abstract":"Introduction and Aims. This paper discusses the formal dissemination of the School Health and Alcohol Harm Reduction Project (National SHAHRP Dissemination Project) in Australia. The original SHAHRP research programme (SHAHRP study) was assessed previously for effectiveness during a longitudinal research study which followed the student participants over 32 months post-intervention. The SHAHRP study focused on evaluating the behavioural impact of the programme and the results indicated that wider dissemination would be of value. Design and Methods. The National SHAHRP Dissemination Project involved key decision makers of drug education in the Government, Catholic and Independent schools sectors, in targeted states, agreeing to disseminate the SHAHRP Project through teacher educators and teachers in their sector and regions. Process, reach and project satisfaction were assessed. Results. The Dissemination Project conducted two workshops for 35 teacher educators. Fifteen teacher educators subsequently conducted 21 workshops for teachers between August 2003 and June 2004. One hundred and seventy schools and nearly 300 (294) teachers were involved in this training. Discussion and Conclusions. The advantages and barriers of researcher-led dissemination, as illustrated in this study, suggest that methods other than publication in scientific journals and presentation at conferences may be useful for the transfer of effective intervention research programmes to practice. There may be some benefit to identifying and testing other research-initiated pathways leading to evidence-based policy and practice which, in combination with practitioner-led transfer, can help to bridge the gap between research and practice in the future. [McBride NT, Farringdon FH, Kennedy CA. Research to practice - formal dissemination of the School Health and Alcohol Harm Reduction Project (SHAHRP) in Australia. Drug Alcohol Rev 2007;26:665-672].","author":[{"dropping-particle":"","family":"McBride","given":"Nyanda T.","non-dropping-particle":"","parse-names":false,"suffix":""},{"dropping-particle":"","family":"Farringdon","given":"Fiona H.","non-dropping-particle":"","parse-names":false,"suffix":""},{"dropping-particle":"","family":"Kennedy","given":"Carol A.","non-dropping-particle":"","parse-names":false,"suffix":""}],"container-title":"Drug and Alcohol Review","id":"ITEM-1","issue":"6","issued":{"date-parts":[["2007"]]},"page":"665-672","title":"Research to practice - Formal dissemination of the School Health and Alcohol Harm Reduction Project (SHAHRP) in Australia","type":"article-journal","volume":"26"},"uris":["http://www.mendeley.com/documents/?uuid=2482ef7e-c8b0-473f-a2aa-709c062b0bb7"]}],"mendeley":{"formattedCitation":"(40)","plainTextFormattedCitation":"(40)","previouslyFormattedCitation":"(40)"},"properties":{"noteIndex":0},"schema":"https://github.com/citation-style-language/schema/raw/master/csl-citation.json"}</w:instrText>
            </w:r>
            <w:r>
              <w:fldChar w:fldCharType="separate"/>
            </w:r>
            <w:r w:rsidRPr="007036BA">
              <w:rPr>
                <w:noProof/>
              </w:rPr>
              <w:t>(</w:t>
            </w:r>
            <w:r w:rsidR="00ED6805">
              <w:rPr>
                <w:noProof/>
              </w:rPr>
              <w:t>55</w:t>
            </w:r>
            <w:r w:rsidRPr="007036BA">
              <w:rPr>
                <w:noProof/>
              </w:rPr>
              <w:t>)</w:t>
            </w:r>
            <w:r>
              <w:fldChar w:fldCharType="end"/>
            </w:r>
          </w:p>
        </w:tc>
        <w:tc>
          <w:tcPr>
            <w:tcW w:w="10348" w:type="dxa"/>
          </w:tcPr>
          <w:p w14:paraId="5C061380" w14:textId="77777777" w:rsidR="006A4B0A" w:rsidRDefault="006A4B0A" w:rsidP="0053428E">
            <w:r>
              <w:t>--</w:t>
            </w:r>
          </w:p>
        </w:tc>
        <w:tc>
          <w:tcPr>
            <w:tcW w:w="3686" w:type="dxa"/>
          </w:tcPr>
          <w:p w14:paraId="7026F87A" w14:textId="77777777" w:rsidR="006A4B0A" w:rsidRDefault="006A4B0A" w:rsidP="0053428E">
            <w:r>
              <w:t xml:space="preserve">All key stakeholders commented that the project would have been more successful in attracting teachers to workshops if the project had run in a single </w:t>
            </w:r>
            <w:proofErr w:type="spellStart"/>
            <w:r>
              <w:t>calender</w:t>
            </w:r>
            <w:proofErr w:type="spellEnd"/>
            <w:r>
              <w:t xml:space="preserve"> year with a planning phase towards the end of the preceding year. (Page 669-670)</w:t>
            </w:r>
          </w:p>
        </w:tc>
      </w:tr>
      <w:tr w:rsidR="006A4B0A" w14:paraId="72BA7E5D" w14:textId="77777777" w:rsidTr="0053428E">
        <w:tc>
          <w:tcPr>
            <w:tcW w:w="1418" w:type="dxa"/>
            <w:vMerge w:val="restart"/>
          </w:tcPr>
          <w:p w14:paraId="759129D7" w14:textId="751FCFBB" w:rsidR="006A4B0A" w:rsidRDefault="006A4B0A" w:rsidP="0053428E">
            <w:r>
              <w:t>Williams et al, 2016</w:t>
            </w:r>
            <w:r>
              <w:fldChar w:fldCharType="begin" w:fldLock="1"/>
            </w:r>
            <w:r>
              <w:instrText>ADDIN CSL_CITATION {"citationItems":[{"id":"ITEM-1","itemData":{"DOI":"10.1097/XEB.0000000000000072","ISBN":"0000000000000","ISSN":"17441609","PMID":"26735568","abstract":"Aim: Printed educational materials (PEMs) are one of the most common dissemination strategies for communicating information about evidence-based practices (EBPs) to healthcare professionals and organizations; however, evidence is conflicting regarding the conditions and circumstances in which PEMs are effective in achieving desired outcomes. The effectiveness of PEMs is largely dependent on the manner in which they are developed. This article reports on the findings from a comprehensive review of the literature regarding best practices for creating PEMs for health professionals and illustrates how these practices were used to design, develop, and evaluate an informational packet to disseminate information about motivational interviewing. Methods: The informational packet was disseminated to 92 community health organizations not currently implementing motivational interviewing. Evaluation surveys were completed by 212 healthcare directors and providers to examine quality and perceived helpfulness of the packets, intention to use information from the packet, and sharing of the packet with others. Associations between these and individual and organizational characteristics were also assessed. Results: Overall, the packet was perceived as appropriate and helpful in making a decision to implement motivational interviewing. For example, 84.9% of participants stated that the content was 'about right'. Threequarters (75.9%) of participants reported plans to use the information in the packet and almost half (46.7%) reported talking about the packet with others in the organizations. Higher levels of baseline interest in motivational interviewing adoption were significantly related to packet use and wanting to utilize additional resources presented in the packet. Positive attitudes toward EBPs were also significantly related to the desire to obtain resources in the packet. Perceptions of the packet did not differ by type of community health organization (i.e., community health center, community behavioral health organization) or whether the individual was a director or provider. Conclusion: Results indicated that PEMs can be a useful tool to disseminate EBP information to healthcare professionals particularly if they have a prior interest in the EBP and have general attitudes supportive of EBPs. Recommendations for the improvement of future PEMs are discussed.","author":[{"dropping-particle":"","family":"Williams","given":"Jessica R.","non-dropping-particle":"","parse-names":false,"suffix":""},{"dropping-particle":"","family":"Caceda-Castro","given":"Lizbeth E.","non-dropping-particle":"","parse-names":false,"suffix":""},{"dropping-particle":"","family":"Dusablon","given":"Tracy","non-dropping-particle":"","parse-names":false,"suffix":""},{"dropping-particle":"","family":"Stipa","given":"Melissa","non-dropping-particle":"","parse-names":false,"suffix":""}],"container-title":"International Journal of Evidence-Based Healthcare","id":"ITEM-1","issue":"2","issued":{"date-parts":[["2016"]]},"page":"84-94","title":"Design, development, and evaluation of printed educational materials for evidence-based practice dissemination","type":"article-journal","volume":"14"},"uris":["http://www.mendeley.com/documents/?uuid=2fdd016a-f614-45e0-bfa5-7e0fab445e0d"]}],"mendeley":{"formattedCitation":"(37)","plainTextFormattedCitation":"(37)","previouslyFormattedCitation":"(37)"},"properties":{"noteIndex":0},"schema":"https://github.com/citation-style-language/schema/raw/master/csl-citation.json"}</w:instrText>
            </w:r>
            <w:r>
              <w:fldChar w:fldCharType="separate"/>
            </w:r>
            <w:r w:rsidRPr="007036BA">
              <w:rPr>
                <w:noProof/>
              </w:rPr>
              <w:t>(</w:t>
            </w:r>
            <w:r w:rsidR="00ED6805">
              <w:rPr>
                <w:noProof/>
              </w:rPr>
              <w:t>51</w:t>
            </w:r>
            <w:r w:rsidRPr="007036BA">
              <w:rPr>
                <w:noProof/>
              </w:rPr>
              <w:t>)</w:t>
            </w:r>
            <w:r>
              <w:fldChar w:fldCharType="end"/>
            </w:r>
          </w:p>
        </w:tc>
        <w:tc>
          <w:tcPr>
            <w:tcW w:w="10348" w:type="dxa"/>
          </w:tcPr>
          <w:p w14:paraId="5CFF1909" w14:textId="77777777" w:rsidR="006A4B0A" w:rsidRDefault="006A4B0A" w:rsidP="0053428E">
            <w:r>
              <w:t xml:space="preserve">Some participants reported that the font, </w:t>
            </w:r>
            <w:proofErr w:type="spellStart"/>
            <w:r>
              <w:t>colors</w:t>
            </w:r>
            <w:proofErr w:type="spellEnd"/>
            <w:r>
              <w:t>, graphs, and presentation of information were what they liked most about the packet. Page 91</w:t>
            </w:r>
          </w:p>
        </w:tc>
        <w:tc>
          <w:tcPr>
            <w:tcW w:w="3686" w:type="dxa"/>
          </w:tcPr>
          <w:p w14:paraId="417058E5" w14:textId="77777777" w:rsidR="006A4B0A" w:rsidRDefault="006A4B0A" w:rsidP="0053428E">
            <w:r>
              <w:t>--</w:t>
            </w:r>
          </w:p>
          <w:p w14:paraId="0E0F0EE1" w14:textId="77777777" w:rsidR="006A4B0A" w:rsidRDefault="006A4B0A" w:rsidP="0053428E"/>
        </w:tc>
      </w:tr>
      <w:tr w:rsidR="006A4B0A" w14:paraId="0464745F" w14:textId="77777777" w:rsidTr="0053428E">
        <w:tc>
          <w:tcPr>
            <w:tcW w:w="1418" w:type="dxa"/>
            <w:vMerge/>
          </w:tcPr>
          <w:p w14:paraId="778EB190" w14:textId="77777777" w:rsidR="006A4B0A" w:rsidRDefault="006A4B0A" w:rsidP="0053428E">
            <w:pPr>
              <w:widowControl w:val="0"/>
              <w:pBdr>
                <w:top w:val="nil"/>
                <w:left w:val="nil"/>
                <w:bottom w:val="nil"/>
                <w:right w:val="nil"/>
                <w:between w:val="nil"/>
              </w:pBdr>
              <w:spacing w:line="276" w:lineRule="auto"/>
            </w:pPr>
          </w:p>
        </w:tc>
        <w:tc>
          <w:tcPr>
            <w:tcW w:w="10348" w:type="dxa"/>
          </w:tcPr>
          <w:p w14:paraId="383EE437" w14:textId="77777777" w:rsidR="006A4B0A" w:rsidRDefault="006A4B0A" w:rsidP="0053428E">
            <w:r>
              <w:t>Participants also suggested targeting the packet for specific decision makers within the organization (</w:t>
            </w:r>
            <w:proofErr w:type="spellStart"/>
            <w:proofErr w:type="gramStart"/>
            <w:r>
              <w:t>e.g.,providers</w:t>
            </w:r>
            <w:proofErr w:type="spellEnd"/>
            <w:proofErr w:type="gramEnd"/>
            <w:r>
              <w:t xml:space="preserve">, policymakers, directors), and creating different versions of the packet to show how the practice of motivational interviewing may work for specific treatment populations (i.e., children, severely mentally ill, chronically ill). Page 91 </w:t>
            </w:r>
          </w:p>
        </w:tc>
        <w:tc>
          <w:tcPr>
            <w:tcW w:w="3686" w:type="dxa"/>
          </w:tcPr>
          <w:p w14:paraId="5FC5D20B" w14:textId="77777777" w:rsidR="006A4B0A" w:rsidRDefault="006A4B0A" w:rsidP="0053428E">
            <w:r>
              <w:t>--</w:t>
            </w:r>
          </w:p>
          <w:p w14:paraId="4317D573" w14:textId="77777777" w:rsidR="006A4B0A" w:rsidRDefault="006A4B0A" w:rsidP="0053428E"/>
        </w:tc>
      </w:tr>
      <w:tr w:rsidR="006A4B0A" w14:paraId="76E1F615" w14:textId="77777777" w:rsidTr="0053428E">
        <w:tc>
          <w:tcPr>
            <w:tcW w:w="1418" w:type="dxa"/>
            <w:vMerge w:val="restart"/>
          </w:tcPr>
          <w:p w14:paraId="1CD120F4" w14:textId="7C3D68D8" w:rsidR="006A4B0A" w:rsidRDefault="006A4B0A" w:rsidP="0053428E">
            <w:r>
              <w:t>Hoelscher et al, 2001</w:t>
            </w:r>
            <w:r>
              <w:fldChar w:fldCharType="begin" w:fldLock="1"/>
            </w:r>
            <w:r>
              <w:instrText>ADDIN CSL_CITATION {"citationItems":[{"id":"ITEM-1","itemData":{"author":[{"dropping-particle":"","family":"Hoelscher","given":"Deanna M.;","non-dropping-particle":"","parse-names":false,"suffix":""},{"dropping-particle":"","family":"Kelder","given":"Steven H.;","non-dropping-particle":"","parse-names":false,"suffix":""},{"dropping-particle":"","family":"Murray","given":"Nancy;","non-dropping-particle":"","parse-names":false,"suffix":""},{"dropping-particle":"","family":"Cribb","given":"Peter W.;","non-dropping-particle":"","parse-names":false,"suffix":""},{"dropping-particle":"","family":"Conroy","given":"Jennifer;","non-dropping-particle":"","parse-names":false,"suffix":""},{"dropping-particle":"","family":"Parcel","given":"Guy S.","non-dropping-particle":"","parse-names":false,"suffix":""}],"container-title":"Journal of Public Health Management &amp; Practice","id":"ITEM-1","issue":"2","issued":{"date-parts":[["2001"]]},"page":"90-100","title":"Dissemination and adoption of the Child and Adolescent Trial for Cardiovascular Health (CATCH): a case study in Texas","type":"article-journal","volume":"7"},"uris":["http://www.mendeley.com/documents/?uuid=419bc5b4-98bb-454f-b394-bf52d18b9342"]}],"mendeley":{"formattedCitation":"(41)","plainTextFormattedCitation":"(41)","previouslyFormattedCitation":"(41)"},"properties":{"noteIndex":0},"schema":"https://github.com/citation-style-language/schema/raw/master/csl-citation.json"}</w:instrText>
            </w:r>
            <w:r>
              <w:fldChar w:fldCharType="separate"/>
            </w:r>
            <w:r w:rsidRPr="007036BA">
              <w:rPr>
                <w:noProof/>
              </w:rPr>
              <w:t>(</w:t>
            </w:r>
            <w:r w:rsidR="00ED6805">
              <w:rPr>
                <w:noProof/>
              </w:rPr>
              <w:t>56</w:t>
            </w:r>
            <w:r w:rsidRPr="007036BA">
              <w:rPr>
                <w:noProof/>
              </w:rPr>
              <w:t>)</w:t>
            </w:r>
            <w:r>
              <w:fldChar w:fldCharType="end"/>
            </w:r>
          </w:p>
        </w:tc>
        <w:tc>
          <w:tcPr>
            <w:tcW w:w="10348" w:type="dxa"/>
          </w:tcPr>
          <w:p w14:paraId="1DE9EC36" w14:textId="77777777" w:rsidR="006A4B0A" w:rsidRDefault="006A4B0A" w:rsidP="0053428E">
            <w:r>
              <w:t>Training sessions are crucial - The training session provided direct interpersonal channels to present the CATCH program and to make contacts for future networking. Page 98</w:t>
            </w:r>
          </w:p>
        </w:tc>
        <w:tc>
          <w:tcPr>
            <w:tcW w:w="3686" w:type="dxa"/>
          </w:tcPr>
          <w:p w14:paraId="3217969B" w14:textId="77777777" w:rsidR="006A4B0A" w:rsidRDefault="006A4B0A" w:rsidP="0053428E">
            <w:r>
              <w:t>--</w:t>
            </w:r>
          </w:p>
          <w:p w14:paraId="4DF97A9F" w14:textId="77777777" w:rsidR="006A4B0A" w:rsidRDefault="006A4B0A" w:rsidP="0053428E"/>
        </w:tc>
      </w:tr>
      <w:tr w:rsidR="006A4B0A" w14:paraId="5187CDBC" w14:textId="77777777" w:rsidTr="0053428E">
        <w:tc>
          <w:tcPr>
            <w:tcW w:w="1418" w:type="dxa"/>
            <w:vMerge/>
          </w:tcPr>
          <w:p w14:paraId="55AA790A" w14:textId="77777777" w:rsidR="006A4B0A" w:rsidRDefault="006A4B0A" w:rsidP="0053428E">
            <w:pPr>
              <w:widowControl w:val="0"/>
              <w:pBdr>
                <w:top w:val="nil"/>
                <w:left w:val="nil"/>
                <w:bottom w:val="nil"/>
                <w:right w:val="nil"/>
                <w:between w:val="nil"/>
              </w:pBdr>
              <w:spacing w:line="276" w:lineRule="auto"/>
            </w:pPr>
          </w:p>
        </w:tc>
        <w:tc>
          <w:tcPr>
            <w:tcW w:w="10348" w:type="dxa"/>
          </w:tcPr>
          <w:p w14:paraId="07F266C1" w14:textId="77777777" w:rsidR="006A4B0A" w:rsidRDefault="006A4B0A" w:rsidP="0053428E">
            <w:r>
              <w:t>Interpersonal channels were facilitators of dissemination. Interpersonal channels such as support of opinion leaders and networking appeared to be much more effective than print media. Page 97</w:t>
            </w:r>
          </w:p>
        </w:tc>
        <w:tc>
          <w:tcPr>
            <w:tcW w:w="3686" w:type="dxa"/>
          </w:tcPr>
          <w:p w14:paraId="795C9FB9" w14:textId="77777777" w:rsidR="006A4B0A" w:rsidRDefault="006A4B0A" w:rsidP="0053428E">
            <w:r>
              <w:t>--</w:t>
            </w:r>
          </w:p>
          <w:p w14:paraId="71688373" w14:textId="77777777" w:rsidR="006A4B0A" w:rsidRDefault="006A4B0A" w:rsidP="0053428E"/>
        </w:tc>
      </w:tr>
      <w:tr w:rsidR="006A4B0A" w14:paraId="734F274B" w14:textId="77777777" w:rsidTr="0053428E">
        <w:tc>
          <w:tcPr>
            <w:tcW w:w="1418" w:type="dxa"/>
            <w:vMerge/>
          </w:tcPr>
          <w:p w14:paraId="61EC81FB" w14:textId="77777777" w:rsidR="006A4B0A" w:rsidRDefault="006A4B0A" w:rsidP="0053428E">
            <w:pPr>
              <w:widowControl w:val="0"/>
              <w:pBdr>
                <w:top w:val="nil"/>
                <w:left w:val="nil"/>
                <w:bottom w:val="nil"/>
                <w:right w:val="nil"/>
                <w:between w:val="nil"/>
              </w:pBdr>
              <w:spacing w:line="276" w:lineRule="auto"/>
            </w:pPr>
          </w:p>
        </w:tc>
        <w:tc>
          <w:tcPr>
            <w:tcW w:w="10348" w:type="dxa"/>
          </w:tcPr>
          <w:p w14:paraId="49436E79" w14:textId="77777777" w:rsidR="006A4B0A" w:rsidRDefault="006A4B0A" w:rsidP="0053428E">
            <w:r>
              <w:t>Although print media was necessary, this mode of communication without interpersonal networking seemed to have little effect on program dissemination. Page 98.</w:t>
            </w:r>
          </w:p>
        </w:tc>
        <w:tc>
          <w:tcPr>
            <w:tcW w:w="3686" w:type="dxa"/>
          </w:tcPr>
          <w:p w14:paraId="3AF1EE33" w14:textId="77777777" w:rsidR="006A4B0A" w:rsidRDefault="006A4B0A" w:rsidP="0053428E">
            <w:r>
              <w:t>--</w:t>
            </w:r>
          </w:p>
          <w:p w14:paraId="6E4BF6FD" w14:textId="77777777" w:rsidR="006A4B0A" w:rsidRDefault="006A4B0A" w:rsidP="0053428E"/>
        </w:tc>
      </w:tr>
      <w:tr w:rsidR="006A4B0A" w14:paraId="6263B267" w14:textId="77777777" w:rsidTr="0053428E">
        <w:tc>
          <w:tcPr>
            <w:tcW w:w="1418" w:type="dxa"/>
            <w:vMerge/>
          </w:tcPr>
          <w:p w14:paraId="3EA34AED" w14:textId="77777777" w:rsidR="006A4B0A" w:rsidRDefault="006A4B0A" w:rsidP="0053428E">
            <w:pPr>
              <w:widowControl w:val="0"/>
              <w:pBdr>
                <w:top w:val="nil"/>
                <w:left w:val="nil"/>
                <w:bottom w:val="nil"/>
                <w:right w:val="nil"/>
                <w:between w:val="nil"/>
              </w:pBdr>
              <w:spacing w:line="276" w:lineRule="auto"/>
            </w:pPr>
          </w:p>
        </w:tc>
        <w:tc>
          <w:tcPr>
            <w:tcW w:w="10348" w:type="dxa"/>
          </w:tcPr>
          <w:p w14:paraId="197E487B" w14:textId="77777777" w:rsidR="006A4B0A" w:rsidRDefault="006A4B0A" w:rsidP="0053428E">
            <w:r>
              <w:t>Not only were multiple channels targeted so that messages were triangulated back to the targeted population, but these channels had credibility and accessibility. Page 98.</w:t>
            </w:r>
          </w:p>
        </w:tc>
        <w:tc>
          <w:tcPr>
            <w:tcW w:w="3686" w:type="dxa"/>
          </w:tcPr>
          <w:p w14:paraId="1CAF5D1E" w14:textId="77777777" w:rsidR="006A4B0A" w:rsidRDefault="006A4B0A" w:rsidP="0053428E">
            <w:r>
              <w:t>--</w:t>
            </w:r>
          </w:p>
          <w:p w14:paraId="0E9417DA" w14:textId="77777777" w:rsidR="006A4B0A" w:rsidRDefault="006A4B0A" w:rsidP="0053428E"/>
        </w:tc>
      </w:tr>
      <w:tr w:rsidR="006A4B0A" w14:paraId="2031CF51" w14:textId="77777777" w:rsidTr="0053428E">
        <w:tc>
          <w:tcPr>
            <w:tcW w:w="1418" w:type="dxa"/>
            <w:vMerge/>
          </w:tcPr>
          <w:p w14:paraId="25BFF9B4" w14:textId="77777777" w:rsidR="006A4B0A" w:rsidRDefault="006A4B0A" w:rsidP="0053428E">
            <w:pPr>
              <w:widowControl w:val="0"/>
              <w:pBdr>
                <w:top w:val="nil"/>
                <w:left w:val="nil"/>
                <w:bottom w:val="nil"/>
                <w:right w:val="nil"/>
                <w:between w:val="nil"/>
              </w:pBdr>
              <w:spacing w:line="276" w:lineRule="auto"/>
            </w:pPr>
          </w:p>
        </w:tc>
        <w:tc>
          <w:tcPr>
            <w:tcW w:w="10348" w:type="dxa"/>
          </w:tcPr>
          <w:p w14:paraId="50DB3187" w14:textId="77777777" w:rsidR="006A4B0A" w:rsidRDefault="006A4B0A" w:rsidP="0053428E">
            <w:r>
              <w:t>Budget constraints also limited the ability to conduct an effective media campaign without the support of interpersonal channels. Page 98.</w:t>
            </w:r>
          </w:p>
        </w:tc>
        <w:tc>
          <w:tcPr>
            <w:tcW w:w="3686" w:type="dxa"/>
          </w:tcPr>
          <w:p w14:paraId="0407D84C" w14:textId="77777777" w:rsidR="006A4B0A" w:rsidRDefault="006A4B0A" w:rsidP="0053428E">
            <w:r>
              <w:t>--</w:t>
            </w:r>
          </w:p>
          <w:p w14:paraId="3C017D54" w14:textId="77777777" w:rsidR="006A4B0A" w:rsidRDefault="006A4B0A" w:rsidP="0053428E"/>
        </w:tc>
      </w:tr>
      <w:tr w:rsidR="006A4B0A" w14:paraId="3873FCCA" w14:textId="77777777" w:rsidTr="0053428E">
        <w:tc>
          <w:tcPr>
            <w:tcW w:w="1418" w:type="dxa"/>
            <w:vMerge/>
          </w:tcPr>
          <w:p w14:paraId="31EB1B10" w14:textId="77777777" w:rsidR="006A4B0A" w:rsidRDefault="006A4B0A" w:rsidP="0053428E">
            <w:pPr>
              <w:widowControl w:val="0"/>
              <w:pBdr>
                <w:top w:val="nil"/>
                <w:left w:val="nil"/>
                <w:bottom w:val="nil"/>
                <w:right w:val="nil"/>
                <w:between w:val="nil"/>
              </w:pBdr>
              <w:spacing w:line="276" w:lineRule="auto"/>
            </w:pPr>
          </w:p>
        </w:tc>
        <w:tc>
          <w:tcPr>
            <w:tcW w:w="10348" w:type="dxa"/>
          </w:tcPr>
          <w:p w14:paraId="2379F6FA" w14:textId="77777777" w:rsidR="006A4B0A" w:rsidRDefault="006A4B0A" w:rsidP="0053428E">
            <w:r>
              <w:t>Networking was especially crucial because the efforts of change agents can be synergistic with the dissemination team, thus leading to increased visibility of the program without additional effort on the part of the dissemination team. Page 97.</w:t>
            </w:r>
          </w:p>
        </w:tc>
        <w:tc>
          <w:tcPr>
            <w:tcW w:w="3686" w:type="dxa"/>
          </w:tcPr>
          <w:p w14:paraId="19049736" w14:textId="77777777" w:rsidR="006A4B0A" w:rsidRDefault="006A4B0A" w:rsidP="0053428E">
            <w:r>
              <w:t>--</w:t>
            </w:r>
          </w:p>
          <w:p w14:paraId="6029A38B" w14:textId="77777777" w:rsidR="006A4B0A" w:rsidRDefault="006A4B0A" w:rsidP="0053428E"/>
        </w:tc>
      </w:tr>
      <w:tr w:rsidR="006A4B0A" w14:paraId="788E3B56" w14:textId="77777777" w:rsidTr="0053428E">
        <w:tc>
          <w:tcPr>
            <w:tcW w:w="1418" w:type="dxa"/>
            <w:vMerge/>
          </w:tcPr>
          <w:p w14:paraId="54B59D6F" w14:textId="77777777" w:rsidR="006A4B0A" w:rsidRDefault="006A4B0A" w:rsidP="0053428E">
            <w:pPr>
              <w:widowControl w:val="0"/>
              <w:pBdr>
                <w:top w:val="nil"/>
                <w:left w:val="nil"/>
                <w:bottom w:val="nil"/>
                <w:right w:val="nil"/>
                <w:between w:val="nil"/>
              </w:pBdr>
              <w:spacing w:line="276" w:lineRule="auto"/>
            </w:pPr>
          </w:p>
        </w:tc>
        <w:tc>
          <w:tcPr>
            <w:tcW w:w="10348" w:type="dxa"/>
          </w:tcPr>
          <w:p w14:paraId="5665932C" w14:textId="77777777" w:rsidR="006A4B0A" w:rsidRDefault="006A4B0A" w:rsidP="0053428E">
            <w:r>
              <w:t xml:space="preserve">Complexity - refers to the ease of implementing an innovation. CATCH curriculum and physical education materials were designed to be 'teacher friendly' and fun. </w:t>
            </w:r>
          </w:p>
        </w:tc>
        <w:tc>
          <w:tcPr>
            <w:tcW w:w="3686" w:type="dxa"/>
          </w:tcPr>
          <w:p w14:paraId="11CBF5C0" w14:textId="77777777" w:rsidR="006A4B0A" w:rsidRDefault="006A4B0A" w:rsidP="0053428E">
            <w:r>
              <w:t>--</w:t>
            </w:r>
          </w:p>
          <w:p w14:paraId="589F7667" w14:textId="77777777" w:rsidR="006A4B0A" w:rsidRDefault="006A4B0A" w:rsidP="0053428E"/>
        </w:tc>
      </w:tr>
      <w:tr w:rsidR="006A4B0A" w14:paraId="2053302E" w14:textId="77777777" w:rsidTr="0053428E">
        <w:tc>
          <w:tcPr>
            <w:tcW w:w="1418" w:type="dxa"/>
            <w:vMerge/>
          </w:tcPr>
          <w:p w14:paraId="03873DFE" w14:textId="77777777" w:rsidR="006A4B0A" w:rsidRDefault="006A4B0A" w:rsidP="0053428E">
            <w:pPr>
              <w:widowControl w:val="0"/>
              <w:pBdr>
                <w:top w:val="nil"/>
                <w:left w:val="nil"/>
                <w:bottom w:val="nil"/>
                <w:right w:val="nil"/>
                <w:between w:val="nil"/>
              </w:pBdr>
              <w:spacing w:line="276" w:lineRule="auto"/>
            </w:pPr>
          </w:p>
        </w:tc>
        <w:tc>
          <w:tcPr>
            <w:tcW w:w="10348" w:type="dxa"/>
          </w:tcPr>
          <w:p w14:paraId="7661F48A" w14:textId="77777777" w:rsidR="006A4B0A" w:rsidRDefault="006A4B0A" w:rsidP="0053428E">
            <w:proofErr w:type="spellStart"/>
            <w:proofErr w:type="gramStart"/>
            <w:r>
              <w:t>Triability</w:t>
            </w:r>
            <w:proofErr w:type="spellEnd"/>
            <w:r>
              <w:t xml:space="preserve">  refers</w:t>
            </w:r>
            <w:proofErr w:type="gramEnd"/>
            <w:r>
              <w:t xml:space="preserve"> to the ability to experiment with a portion of the innovation before adopting it. CATCH materials were available during the dissemination phase through distribution of loaner copies of the CATCH package, and through lessons and recipes available on the CATCH web site. Page 95.</w:t>
            </w:r>
          </w:p>
        </w:tc>
        <w:tc>
          <w:tcPr>
            <w:tcW w:w="3686" w:type="dxa"/>
          </w:tcPr>
          <w:p w14:paraId="26EF45F9" w14:textId="77777777" w:rsidR="006A4B0A" w:rsidRDefault="006A4B0A" w:rsidP="0053428E">
            <w:r>
              <w:t>--</w:t>
            </w:r>
          </w:p>
          <w:p w14:paraId="445C3467" w14:textId="77777777" w:rsidR="006A4B0A" w:rsidRDefault="006A4B0A" w:rsidP="0053428E"/>
        </w:tc>
      </w:tr>
      <w:tr w:rsidR="006A4B0A" w14:paraId="6C0C6453" w14:textId="77777777" w:rsidTr="0053428E">
        <w:tc>
          <w:tcPr>
            <w:tcW w:w="1418" w:type="dxa"/>
            <w:vMerge/>
          </w:tcPr>
          <w:p w14:paraId="326C299B" w14:textId="77777777" w:rsidR="006A4B0A" w:rsidRDefault="006A4B0A" w:rsidP="0053428E">
            <w:pPr>
              <w:widowControl w:val="0"/>
              <w:pBdr>
                <w:top w:val="nil"/>
                <w:left w:val="nil"/>
                <w:bottom w:val="nil"/>
                <w:right w:val="nil"/>
                <w:between w:val="nil"/>
              </w:pBdr>
              <w:spacing w:line="276" w:lineRule="auto"/>
            </w:pPr>
          </w:p>
        </w:tc>
        <w:tc>
          <w:tcPr>
            <w:tcW w:w="10348" w:type="dxa"/>
          </w:tcPr>
          <w:p w14:paraId="7A84F16D" w14:textId="77777777" w:rsidR="006A4B0A" w:rsidRDefault="006A4B0A" w:rsidP="0053428E">
            <w:r>
              <w:t xml:space="preserve">CATCH training sessions were personalized to the targeted audience and component and varied in length (4-6 hours) depending on the topic and time available. </w:t>
            </w:r>
          </w:p>
        </w:tc>
        <w:tc>
          <w:tcPr>
            <w:tcW w:w="3686" w:type="dxa"/>
          </w:tcPr>
          <w:p w14:paraId="592EE5CC" w14:textId="77777777" w:rsidR="006A4B0A" w:rsidRDefault="006A4B0A" w:rsidP="0053428E">
            <w:r>
              <w:t>--</w:t>
            </w:r>
          </w:p>
          <w:p w14:paraId="77329F0B" w14:textId="77777777" w:rsidR="006A4B0A" w:rsidRDefault="006A4B0A" w:rsidP="0053428E"/>
        </w:tc>
      </w:tr>
      <w:tr w:rsidR="006A4B0A" w14:paraId="245BCF3E" w14:textId="77777777" w:rsidTr="0053428E">
        <w:tc>
          <w:tcPr>
            <w:tcW w:w="1418" w:type="dxa"/>
            <w:vMerge/>
          </w:tcPr>
          <w:p w14:paraId="3271C3C2" w14:textId="77777777" w:rsidR="006A4B0A" w:rsidRDefault="006A4B0A" w:rsidP="0053428E">
            <w:pPr>
              <w:widowControl w:val="0"/>
              <w:pBdr>
                <w:top w:val="nil"/>
                <w:left w:val="nil"/>
                <w:bottom w:val="nil"/>
                <w:right w:val="nil"/>
                <w:between w:val="nil"/>
              </w:pBdr>
              <w:spacing w:line="276" w:lineRule="auto"/>
            </w:pPr>
          </w:p>
        </w:tc>
        <w:tc>
          <w:tcPr>
            <w:tcW w:w="10348" w:type="dxa"/>
          </w:tcPr>
          <w:p w14:paraId="516FA9D7" w14:textId="77777777" w:rsidR="006A4B0A" w:rsidRDefault="006A4B0A" w:rsidP="0053428E">
            <w:r>
              <w:t xml:space="preserve">Physical education teachers in Texas have a strong network through professional organizations, and efforts to disseminate through these channels proved to be very effective. </w:t>
            </w:r>
          </w:p>
        </w:tc>
        <w:tc>
          <w:tcPr>
            <w:tcW w:w="3686" w:type="dxa"/>
          </w:tcPr>
          <w:p w14:paraId="43D37812" w14:textId="77777777" w:rsidR="006A4B0A" w:rsidRDefault="006A4B0A" w:rsidP="0053428E">
            <w:r>
              <w:t>--</w:t>
            </w:r>
          </w:p>
          <w:p w14:paraId="22B211A6" w14:textId="77777777" w:rsidR="006A4B0A" w:rsidRDefault="006A4B0A" w:rsidP="0053428E"/>
        </w:tc>
      </w:tr>
    </w:tbl>
    <w:p w14:paraId="131EFA5A" w14:textId="2E5E1FC9" w:rsidR="006A4B0A" w:rsidRPr="00ED6805" w:rsidRDefault="006A4B0A">
      <w:pPr>
        <w:rPr>
          <w:i/>
        </w:rPr>
      </w:pPr>
    </w:p>
    <w:sectPr w:rsidR="006A4B0A" w:rsidRPr="00ED6805" w:rsidSect="006A4B0A">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965255"/>
    <w:multiLevelType w:val="multilevel"/>
    <w:tmpl w:val="8F6A55A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21390612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4B0A"/>
    <w:rsid w:val="0022497B"/>
    <w:rsid w:val="0042407A"/>
    <w:rsid w:val="00662DC9"/>
    <w:rsid w:val="006640B4"/>
    <w:rsid w:val="006A4B0A"/>
    <w:rsid w:val="00B8321E"/>
    <w:rsid w:val="00BC17DC"/>
    <w:rsid w:val="00BE6C7F"/>
    <w:rsid w:val="00C73EB7"/>
    <w:rsid w:val="00ED680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E3D6A6"/>
  <w15:chartTrackingRefBased/>
  <w15:docId w15:val="{4546C3C9-1399-4AFF-960A-3F52EB80B7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B3BC8B-886D-4495-B395-11C5654AF9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8500</Words>
  <Characters>48452</Characters>
  <Application>Microsoft Office Word</Application>
  <DocSecurity>0</DocSecurity>
  <Lines>403</Lines>
  <Paragraphs>113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 Renda</dc:creator>
  <cp:keywords/>
  <dc:description/>
  <cp:lastModifiedBy>Ana Renda</cp:lastModifiedBy>
  <cp:revision>2</cp:revision>
  <dcterms:created xsi:type="dcterms:W3CDTF">2024-09-25T08:56:00Z</dcterms:created>
  <dcterms:modified xsi:type="dcterms:W3CDTF">2024-09-25T08:56:00Z</dcterms:modified>
</cp:coreProperties>
</file>