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BA900" w14:textId="77777777" w:rsidR="006B4A3B" w:rsidRPr="006B4A3B" w:rsidRDefault="006B4A3B" w:rsidP="006B4A3B">
      <w:pPr>
        <w:pStyle w:val="Title"/>
        <w:rPr>
          <w:sz w:val="28"/>
          <w:szCs w:val="28"/>
        </w:rPr>
      </w:pPr>
      <w:r w:rsidRPr="006B4A3B">
        <w:rPr>
          <w:sz w:val="28"/>
          <w:szCs w:val="28"/>
        </w:rPr>
        <w:t xml:space="preserve">Spent brewer’s yeast as a selective </w:t>
      </w:r>
      <w:proofErr w:type="spellStart"/>
      <w:r w:rsidRPr="006B4A3B">
        <w:rPr>
          <w:sz w:val="28"/>
          <w:szCs w:val="28"/>
        </w:rPr>
        <w:t>biosorbent</w:t>
      </w:r>
      <w:proofErr w:type="spellEnd"/>
      <w:r w:rsidRPr="006B4A3B">
        <w:rPr>
          <w:sz w:val="28"/>
          <w:szCs w:val="28"/>
        </w:rPr>
        <w:t xml:space="preserve"> for metal recovery from polymetallic waste streams</w:t>
      </w:r>
    </w:p>
    <w:p w14:paraId="61631078" w14:textId="77777777" w:rsidR="006B4A3B" w:rsidRPr="006B4A3B" w:rsidRDefault="000A1369" w:rsidP="006B4A3B">
      <w:pPr>
        <w:ind w:firstLine="0"/>
        <w:rPr>
          <w:b/>
          <w:bCs/>
          <w:vertAlign w:val="superscript"/>
          <w:lang w:val="de-AT"/>
        </w:rPr>
      </w:pPr>
      <w:r w:rsidRPr="006B4A3B">
        <w:rPr>
          <w:b/>
          <w:bCs/>
          <w:lang w:val="de-AT"/>
        </w:rPr>
        <w:t>Anna Sieber</w:t>
      </w:r>
      <w:r w:rsidR="006B4A3B" w:rsidRPr="006B4A3B">
        <w:rPr>
          <w:b/>
          <w:bCs/>
          <w:vertAlign w:val="superscript"/>
          <w:lang w:val="de-AT"/>
        </w:rPr>
        <w:t>1</w:t>
      </w:r>
      <w:r w:rsidRPr="006B4A3B">
        <w:rPr>
          <w:b/>
          <w:bCs/>
          <w:lang w:val="de-AT"/>
        </w:rPr>
        <w:t>, Leon Robert Jelic</w:t>
      </w:r>
      <w:r w:rsidR="006B4A3B" w:rsidRPr="006B4A3B">
        <w:rPr>
          <w:b/>
          <w:bCs/>
          <w:vertAlign w:val="superscript"/>
          <w:lang w:val="de-AT"/>
        </w:rPr>
        <w:t>2</w:t>
      </w:r>
      <w:r w:rsidRPr="006B4A3B">
        <w:rPr>
          <w:b/>
          <w:bCs/>
          <w:lang w:val="de-AT"/>
        </w:rPr>
        <w:t>, Klemens Kremser</w:t>
      </w:r>
      <w:r w:rsidR="006B4A3B" w:rsidRPr="006B4A3B">
        <w:rPr>
          <w:b/>
          <w:bCs/>
          <w:vertAlign w:val="superscript"/>
          <w:lang w:val="de-AT"/>
        </w:rPr>
        <w:t>2</w:t>
      </w:r>
      <w:r w:rsidRPr="006B4A3B">
        <w:rPr>
          <w:b/>
          <w:bCs/>
          <w:vertAlign w:val="superscript"/>
          <w:lang w:val="de-AT"/>
        </w:rPr>
        <w:t>,</w:t>
      </w:r>
      <w:r w:rsidR="006B4A3B" w:rsidRPr="006B4A3B">
        <w:rPr>
          <w:b/>
          <w:bCs/>
          <w:vertAlign w:val="superscript"/>
          <w:lang w:val="de-AT"/>
        </w:rPr>
        <w:t>3</w:t>
      </w:r>
      <w:r w:rsidRPr="006B4A3B">
        <w:rPr>
          <w:b/>
          <w:bCs/>
          <w:vertAlign w:val="superscript"/>
          <w:lang w:val="de-AT"/>
        </w:rPr>
        <w:t>*</w:t>
      </w:r>
      <w:r w:rsidRPr="006B4A3B">
        <w:rPr>
          <w:b/>
          <w:bCs/>
          <w:lang w:val="de-AT"/>
        </w:rPr>
        <w:t>, Georg M. Guebitz</w:t>
      </w:r>
      <w:r w:rsidR="006B4A3B" w:rsidRPr="006B4A3B">
        <w:rPr>
          <w:b/>
          <w:bCs/>
          <w:vertAlign w:val="superscript"/>
          <w:lang w:val="de-AT"/>
        </w:rPr>
        <w:t>2</w:t>
      </w:r>
      <w:r w:rsidRPr="006B4A3B">
        <w:rPr>
          <w:b/>
          <w:bCs/>
          <w:vertAlign w:val="superscript"/>
          <w:lang w:val="de-AT"/>
        </w:rPr>
        <w:t>,</w:t>
      </w:r>
      <w:r w:rsidR="006B4A3B" w:rsidRPr="006B4A3B">
        <w:rPr>
          <w:b/>
          <w:bCs/>
          <w:vertAlign w:val="superscript"/>
          <w:lang w:val="de-AT"/>
        </w:rPr>
        <w:t>3</w:t>
      </w:r>
    </w:p>
    <w:p w14:paraId="640BAF43" w14:textId="0E795FF6" w:rsidR="006B4A3B" w:rsidRPr="00DE75B1" w:rsidRDefault="006B4A3B" w:rsidP="006B4A3B">
      <w:pPr>
        <w:ind w:firstLine="0"/>
        <w:rPr>
          <w:vertAlign w:val="superscript"/>
        </w:rPr>
      </w:pPr>
      <w:r w:rsidRPr="00376CC5">
        <w:rPr>
          <w:rFonts w:cs="Times New Roman"/>
          <w:szCs w:val="24"/>
          <w:vertAlign w:val="superscript"/>
        </w:rPr>
        <w:t>1</w:t>
      </w:r>
      <w:r>
        <w:rPr>
          <w:rFonts w:cs="Times New Roman"/>
          <w:szCs w:val="24"/>
        </w:rPr>
        <w:t xml:space="preserve">K1-MET GmbH, 4020 Linz, Austria </w:t>
      </w:r>
    </w:p>
    <w:p w14:paraId="2F4F9886" w14:textId="77777777" w:rsidR="006B4A3B" w:rsidRDefault="006B4A3B" w:rsidP="006B4A3B">
      <w:pPr>
        <w:spacing w:after="0"/>
        <w:ind w:firstLine="0"/>
        <w:jc w:val="left"/>
        <w:rPr>
          <w:rFonts w:cstheme="minorHAnsi"/>
        </w:rPr>
      </w:pPr>
      <w:r w:rsidRPr="00376CC5">
        <w:rPr>
          <w:rFonts w:cs="Times New Roman"/>
          <w:szCs w:val="24"/>
          <w:vertAlign w:val="superscript"/>
        </w:rPr>
        <w:t>2</w:t>
      </w:r>
      <w:r>
        <w:rPr>
          <w:rFonts w:cs="Times New Roman"/>
          <w:szCs w:val="24"/>
        </w:rPr>
        <w:t>Univ</w:t>
      </w:r>
      <w:r w:rsidRPr="006A1F82">
        <w:rPr>
          <w:rFonts w:cstheme="minorHAnsi"/>
        </w:rPr>
        <w:t>ersity of Natural Resources and Life Sciences, Vienna, Department of Agrobiotechnology, IFA-</w:t>
      </w:r>
      <w:proofErr w:type="spellStart"/>
      <w:r w:rsidRPr="006A1F82">
        <w:rPr>
          <w:rFonts w:cstheme="minorHAnsi"/>
        </w:rPr>
        <w:t>Tulln</w:t>
      </w:r>
      <w:proofErr w:type="spellEnd"/>
      <w:r w:rsidRPr="006A1F82">
        <w:rPr>
          <w:rFonts w:cstheme="minorHAnsi"/>
        </w:rPr>
        <w:t xml:space="preserve">, Institute of Environmental Biotechnology, 3430 </w:t>
      </w:r>
      <w:proofErr w:type="spellStart"/>
      <w:r w:rsidRPr="006A1F82">
        <w:rPr>
          <w:rFonts w:cstheme="minorHAnsi"/>
        </w:rPr>
        <w:t>Tulln</w:t>
      </w:r>
      <w:proofErr w:type="spellEnd"/>
      <w:r w:rsidRPr="006A1F82">
        <w:rPr>
          <w:rFonts w:cstheme="minorHAnsi"/>
        </w:rPr>
        <w:t xml:space="preserve"> an der Donau, Austria</w:t>
      </w:r>
    </w:p>
    <w:p w14:paraId="1B9B17D6" w14:textId="77777777" w:rsidR="006B4A3B" w:rsidRDefault="006B4A3B" w:rsidP="006B4A3B">
      <w:pPr>
        <w:spacing w:after="0"/>
        <w:ind w:firstLine="0"/>
        <w:jc w:val="left"/>
        <w:rPr>
          <w:rFonts w:cs="Times New Roman"/>
          <w:b/>
          <w:szCs w:val="24"/>
        </w:rPr>
      </w:pPr>
      <w:r>
        <w:rPr>
          <w:rFonts w:cs="Times New Roman"/>
          <w:szCs w:val="24"/>
          <w:vertAlign w:val="superscript"/>
        </w:rPr>
        <w:t>3</w:t>
      </w:r>
      <w:r w:rsidRPr="00D13C21">
        <w:rPr>
          <w:rFonts w:cstheme="minorHAnsi"/>
        </w:rPr>
        <w:t xml:space="preserve">Austrian Centre of Industrial Biotechnology, 3430 </w:t>
      </w:r>
      <w:proofErr w:type="spellStart"/>
      <w:r w:rsidRPr="00D13C21">
        <w:rPr>
          <w:rFonts w:cstheme="minorHAnsi"/>
        </w:rPr>
        <w:t>Tulln</w:t>
      </w:r>
      <w:proofErr w:type="spellEnd"/>
      <w:r w:rsidRPr="00D13C21">
        <w:rPr>
          <w:rFonts w:cstheme="minorHAnsi"/>
        </w:rPr>
        <w:t xml:space="preserve"> an der Donau, Austria</w:t>
      </w:r>
      <w:r w:rsidRPr="00376CC5">
        <w:rPr>
          <w:rFonts w:cs="Times New Roman"/>
          <w:b/>
          <w:szCs w:val="24"/>
        </w:rPr>
        <w:t xml:space="preserve"> </w:t>
      </w:r>
    </w:p>
    <w:p w14:paraId="0CD58F49" w14:textId="77777777" w:rsidR="000A1369" w:rsidRPr="00352C6E" w:rsidRDefault="000A1369" w:rsidP="000A1369">
      <w:pPr>
        <w:rPr>
          <w:b/>
          <w:bCs/>
        </w:rPr>
      </w:pPr>
    </w:p>
    <w:p w14:paraId="715D33D8" w14:textId="0BF7E867" w:rsidR="008303D6" w:rsidRPr="00352C6E" w:rsidRDefault="009656BF" w:rsidP="003B227B">
      <w:pPr>
        <w:spacing w:line="259" w:lineRule="auto"/>
        <w:ind w:firstLine="0"/>
        <w:jc w:val="left"/>
      </w:pPr>
      <w:r w:rsidRPr="00352C6E">
        <w:br w:type="page"/>
      </w:r>
    </w:p>
    <w:p w14:paraId="55B6D143" w14:textId="667A3C7A" w:rsidR="00882271" w:rsidRPr="00352C6E" w:rsidRDefault="00BB1DB1" w:rsidP="00882271">
      <w:pPr>
        <w:keepNext/>
      </w:pPr>
      <w:r w:rsidRPr="00352C6E">
        <w:rPr>
          <w:noProof/>
        </w:rPr>
        <w:lastRenderedPageBreak/>
        <w:drawing>
          <wp:inline distT="0" distB="0" distL="0" distR="0" wp14:anchorId="7A6F09F4" wp14:editId="63CE057F">
            <wp:extent cx="4572044" cy="285683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44" cy="2856835"/>
                    </a:xfrm>
                    <a:prstGeom prst="rect">
                      <a:avLst/>
                    </a:prstGeom>
                  </pic:spPr>
                </pic:pic>
              </a:graphicData>
            </a:graphic>
          </wp:inline>
        </w:drawing>
      </w:r>
    </w:p>
    <w:p w14:paraId="050AB365" w14:textId="4FC2C79C" w:rsidR="00882271" w:rsidRPr="00352C6E" w:rsidRDefault="0079478E" w:rsidP="00352C6E">
      <w:pPr>
        <w:pStyle w:val="Caption"/>
        <w:ind w:firstLine="0"/>
        <w:rPr>
          <w:i w:val="0"/>
          <w:iCs w:val="0"/>
        </w:rPr>
      </w:pPr>
      <w:r>
        <w:rPr>
          <w:b/>
          <w:bCs/>
          <w:i w:val="0"/>
          <w:iCs w:val="0"/>
        </w:rPr>
        <w:t>Supplementary Figure</w:t>
      </w:r>
      <w:r w:rsidR="00882271" w:rsidRPr="00352C6E">
        <w:rPr>
          <w:b/>
          <w:bCs/>
          <w:i w:val="0"/>
          <w:iCs w:val="0"/>
        </w:rPr>
        <w:t xml:space="preserve"> </w:t>
      </w:r>
      <w:r w:rsidR="00882271" w:rsidRPr="00352C6E">
        <w:rPr>
          <w:b/>
          <w:bCs/>
          <w:i w:val="0"/>
          <w:iCs w:val="0"/>
        </w:rPr>
        <w:fldChar w:fldCharType="begin"/>
      </w:r>
      <w:r w:rsidR="00882271" w:rsidRPr="00352C6E">
        <w:rPr>
          <w:b/>
          <w:bCs/>
          <w:i w:val="0"/>
          <w:iCs w:val="0"/>
        </w:rPr>
        <w:instrText xml:space="preserve"> SEQ Figure_S \* ARABIC </w:instrText>
      </w:r>
      <w:r w:rsidR="00882271" w:rsidRPr="00352C6E">
        <w:rPr>
          <w:b/>
          <w:bCs/>
          <w:i w:val="0"/>
          <w:iCs w:val="0"/>
        </w:rPr>
        <w:fldChar w:fldCharType="separate"/>
      </w:r>
      <w:r w:rsidR="00BB1DB1" w:rsidRPr="00352C6E">
        <w:rPr>
          <w:b/>
          <w:bCs/>
          <w:i w:val="0"/>
          <w:iCs w:val="0"/>
          <w:noProof/>
        </w:rPr>
        <w:t>1</w:t>
      </w:r>
      <w:r w:rsidR="00882271" w:rsidRPr="00352C6E">
        <w:rPr>
          <w:b/>
          <w:bCs/>
          <w:i w:val="0"/>
          <w:iCs w:val="0"/>
        </w:rPr>
        <w:fldChar w:fldCharType="end"/>
      </w:r>
      <w:r w:rsidR="00882271" w:rsidRPr="00352C6E">
        <w:rPr>
          <w:i w:val="0"/>
          <w:iCs w:val="0"/>
        </w:rPr>
        <w:t>. Contour plot showing the DoE results for the aluminum biosorption at pH 2.5, 3.0 and 4.0. The color gradient symbolizes the recovery rate [%]</w:t>
      </w:r>
      <w:r w:rsidR="00BB1DB1" w:rsidRPr="00352C6E">
        <w:rPr>
          <w:i w:val="0"/>
          <w:iCs w:val="0"/>
        </w:rPr>
        <w:t>.</w:t>
      </w:r>
    </w:p>
    <w:p w14:paraId="2765E710" w14:textId="0B5E0C62" w:rsidR="00BB1DB1" w:rsidRPr="00352C6E" w:rsidRDefault="00BB1DB1" w:rsidP="00BB1DB1"/>
    <w:p w14:paraId="51520833" w14:textId="7263B494" w:rsidR="00BB1DB1" w:rsidRPr="00352C6E" w:rsidRDefault="00BB1DB1" w:rsidP="00BB1DB1">
      <w:pPr>
        <w:keepNext/>
      </w:pPr>
      <w:r w:rsidRPr="00352C6E">
        <w:rPr>
          <w:noProof/>
        </w:rPr>
        <w:drawing>
          <wp:inline distT="0" distB="0" distL="0" distR="0" wp14:anchorId="76137D82" wp14:editId="3C126D88">
            <wp:extent cx="4572000" cy="2856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r="10454"/>
                    <a:stretch/>
                  </pic:blipFill>
                  <pic:spPr bwMode="auto">
                    <a:xfrm>
                      <a:off x="0" y="0"/>
                      <a:ext cx="4572968" cy="2856835"/>
                    </a:xfrm>
                    <a:prstGeom prst="rect">
                      <a:avLst/>
                    </a:prstGeom>
                    <a:ln>
                      <a:noFill/>
                    </a:ln>
                    <a:extLst>
                      <a:ext uri="{53640926-AAD7-44D8-BBD7-CCE9431645EC}">
                        <a14:shadowObscured xmlns:a14="http://schemas.microsoft.com/office/drawing/2010/main"/>
                      </a:ext>
                    </a:extLst>
                  </pic:spPr>
                </pic:pic>
              </a:graphicData>
            </a:graphic>
          </wp:inline>
        </w:drawing>
      </w:r>
    </w:p>
    <w:p w14:paraId="320DCE97" w14:textId="0440E84B" w:rsidR="00BB1DB1" w:rsidRPr="00352C6E" w:rsidRDefault="0079478E" w:rsidP="00352C6E">
      <w:pPr>
        <w:pStyle w:val="Caption"/>
        <w:ind w:firstLine="0"/>
        <w:rPr>
          <w:i w:val="0"/>
          <w:iCs w:val="0"/>
        </w:rPr>
      </w:pPr>
      <w:r>
        <w:rPr>
          <w:b/>
          <w:bCs/>
          <w:i w:val="0"/>
          <w:iCs w:val="0"/>
        </w:rPr>
        <w:t xml:space="preserve">Supplementary Figure </w:t>
      </w:r>
      <w:r w:rsidR="00BB1DB1" w:rsidRPr="00352C6E">
        <w:rPr>
          <w:b/>
          <w:bCs/>
          <w:i w:val="0"/>
          <w:iCs w:val="0"/>
        </w:rPr>
        <w:fldChar w:fldCharType="begin"/>
      </w:r>
      <w:r w:rsidR="00BB1DB1" w:rsidRPr="00352C6E">
        <w:rPr>
          <w:b/>
          <w:bCs/>
          <w:i w:val="0"/>
          <w:iCs w:val="0"/>
        </w:rPr>
        <w:instrText xml:space="preserve"> SEQ Figure_S \* ARABIC </w:instrText>
      </w:r>
      <w:r w:rsidR="00BB1DB1" w:rsidRPr="00352C6E">
        <w:rPr>
          <w:b/>
          <w:bCs/>
          <w:i w:val="0"/>
          <w:iCs w:val="0"/>
        </w:rPr>
        <w:fldChar w:fldCharType="separate"/>
      </w:r>
      <w:r w:rsidR="00BB1DB1" w:rsidRPr="00352C6E">
        <w:rPr>
          <w:b/>
          <w:bCs/>
          <w:i w:val="0"/>
          <w:iCs w:val="0"/>
          <w:noProof/>
        </w:rPr>
        <w:t>2</w:t>
      </w:r>
      <w:r w:rsidR="00BB1DB1" w:rsidRPr="00352C6E">
        <w:rPr>
          <w:b/>
          <w:bCs/>
          <w:i w:val="0"/>
          <w:iCs w:val="0"/>
        </w:rPr>
        <w:fldChar w:fldCharType="end"/>
      </w:r>
      <w:r w:rsidR="00BB1DB1" w:rsidRPr="00352C6E">
        <w:rPr>
          <w:b/>
          <w:bCs/>
          <w:i w:val="0"/>
          <w:iCs w:val="0"/>
        </w:rPr>
        <w:t>.</w:t>
      </w:r>
      <w:r w:rsidR="00BB1DB1" w:rsidRPr="00352C6E">
        <w:rPr>
          <w:i w:val="0"/>
          <w:iCs w:val="0"/>
        </w:rPr>
        <w:t xml:space="preserve"> </w:t>
      </w:r>
      <w:r w:rsidR="003B227B" w:rsidRPr="00352C6E">
        <w:rPr>
          <w:i w:val="0"/>
          <w:iCs w:val="0"/>
        </w:rPr>
        <w:t xml:space="preserve">Contour plot showing the DoE results for the copper biosorption at pH 2.5, </w:t>
      </w:r>
      <w:r w:rsidR="00750AB5">
        <w:rPr>
          <w:i w:val="0"/>
          <w:iCs w:val="0"/>
        </w:rPr>
        <w:t>4</w:t>
      </w:r>
      <w:r w:rsidR="003B227B" w:rsidRPr="00352C6E">
        <w:rPr>
          <w:i w:val="0"/>
          <w:iCs w:val="0"/>
        </w:rPr>
        <w:t xml:space="preserve">.0 and </w:t>
      </w:r>
      <w:r w:rsidR="00750AB5">
        <w:rPr>
          <w:i w:val="0"/>
          <w:iCs w:val="0"/>
        </w:rPr>
        <w:t>5.5</w:t>
      </w:r>
      <w:r w:rsidR="003B227B" w:rsidRPr="00352C6E">
        <w:rPr>
          <w:i w:val="0"/>
          <w:iCs w:val="0"/>
        </w:rPr>
        <w:t>. The color gradient symbolizes the recovery rate [%].</w:t>
      </w:r>
    </w:p>
    <w:p w14:paraId="3A8F0C5B" w14:textId="1CD9E484" w:rsidR="00BB1DB1" w:rsidRPr="00352C6E" w:rsidRDefault="00BB1DB1" w:rsidP="00BB1DB1"/>
    <w:p w14:paraId="5D61B030" w14:textId="0F29EB13" w:rsidR="00BB1DB1" w:rsidRPr="00352C6E" w:rsidRDefault="00BB1DB1" w:rsidP="00BB1DB1">
      <w:pPr>
        <w:keepNext/>
      </w:pPr>
      <w:r w:rsidRPr="00352C6E">
        <w:rPr>
          <w:noProof/>
        </w:rPr>
        <w:lastRenderedPageBreak/>
        <w:drawing>
          <wp:inline distT="0" distB="0" distL="0" distR="0" wp14:anchorId="562BFAE3" wp14:editId="33EA83BE">
            <wp:extent cx="4537494" cy="2870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r="11133"/>
                    <a:stretch/>
                  </pic:blipFill>
                  <pic:spPr bwMode="auto">
                    <a:xfrm>
                      <a:off x="0" y="0"/>
                      <a:ext cx="4538269" cy="2870690"/>
                    </a:xfrm>
                    <a:prstGeom prst="rect">
                      <a:avLst/>
                    </a:prstGeom>
                    <a:ln>
                      <a:noFill/>
                    </a:ln>
                    <a:extLst>
                      <a:ext uri="{53640926-AAD7-44D8-BBD7-CCE9431645EC}">
                        <a14:shadowObscured xmlns:a14="http://schemas.microsoft.com/office/drawing/2010/main"/>
                      </a:ext>
                    </a:extLst>
                  </pic:spPr>
                </pic:pic>
              </a:graphicData>
            </a:graphic>
          </wp:inline>
        </w:drawing>
      </w:r>
    </w:p>
    <w:p w14:paraId="6E20642E" w14:textId="7257F6A7" w:rsidR="00BB1DB1" w:rsidRPr="00352C6E" w:rsidRDefault="0079478E" w:rsidP="00352C6E">
      <w:pPr>
        <w:pStyle w:val="Caption"/>
        <w:ind w:firstLine="0"/>
        <w:rPr>
          <w:i w:val="0"/>
          <w:iCs w:val="0"/>
        </w:rPr>
      </w:pPr>
      <w:r>
        <w:rPr>
          <w:b/>
          <w:bCs/>
          <w:i w:val="0"/>
          <w:iCs w:val="0"/>
        </w:rPr>
        <w:t xml:space="preserve">Supplementary </w:t>
      </w:r>
      <w:r w:rsidR="00BB1DB1" w:rsidRPr="00352C6E">
        <w:rPr>
          <w:b/>
          <w:bCs/>
          <w:i w:val="0"/>
          <w:iCs w:val="0"/>
        </w:rPr>
        <w:t xml:space="preserve">Figure </w:t>
      </w:r>
      <w:r w:rsidR="00BB1DB1" w:rsidRPr="00352C6E">
        <w:rPr>
          <w:b/>
          <w:bCs/>
          <w:i w:val="0"/>
          <w:iCs w:val="0"/>
        </w:rPr>
        <w:fldChar w:fldCharType="begin"/>
      </w:r>
      <w:r w:rsidR="00BB1DB1" w:rsidRPr="00352C6E">
        <w:rPr>
          <w:b/>
          <w:bCs/>
          <w:i w:val="0"/>
          <w:iCs w:val="0"/>
        </w:rPr>
        <w:instrText xml:space="preserve"> SEQ Figure_S \* ARABIC </w:instrText>
      </w:r>
      <w:r w:rsidR="00BB1DB1" w:rsidRPr="00352C6E">
        <w:rPr>
          <w:b/>
          <w:bCs/>
          <w:i w:val="0"/>
          <w:iCs w:val="0"/>
        </w:rPr>
        <w:fldChar w:fldCharType="separate"/>
      </w:r>
      <w:r w:rsidR="00BB1DB1" w:rsidRPr="00352C6E">
        <w:rPr>
          <w:b/>
          <w:bCs/>
          <w:i w:val="0"/>
          <w:iCs w:val="0"/>
          <w:noProof/>
        </w:rPr>
        <w:t>3</w:t>
      </w:r>
      <w:r w:rsidR="00BB1DB1" w:rsidRPr="00352C6E">
        <w:rPr>
          <w:b/>
          <w:bCs/>
          <w:i w:val="0"/>
          <w:iCs w:val="0"/>
        </w:rPr>
        <w:fldChar w:fldCharType="end"/>
      </w:r>
      <w:r w:rsidR="00BB1DB1" w:rsidRPr="00352C6E">
        <w:rPr>
          <w:i w:val="0"/>
          <w:iCs w:val="0"/>
        </w:rPr>
        <w:t xml:space="preserve">. </w:t>
      </w:r>
      <w:r w:rsidR="003B227B" w:rsidRPr="00352C6E">
        <w:rPr>
          <w:i w:val="0"/>
          <w:iCs w:val="0"/>
        </w:rPr>
        <w:t xml:space="preserve">Contour plot showing the DoE results for the zinc biosorption at pH </w:t>
      </w:r>
      <w:r w:rsidR="00750AB5">
        <w:rPr>
          <w:i w:val="0"/>
          <w:iCs w:val="0"/>
        </w:rPr>
        <w:t>3.0</w:t>
      </w:r>
      <w:r w:rsidR="003B227B" w:rsidRPr="00352C6E">
        <w:rPr>
          <w:i w:val="0"/>
          <w:iCs w:val="0"/>
        </w:rPr>
        <w:t xml:space="preserve">, </w:t>
      </w:r>
      <w:r w:rsidR="00750AB5">
        <w:rPr>
          <w:i w:val="0"/>
          <w:iCs w:val="0"/>
        </w:rPr>
        <w:t>5</w:t>
      </w:r>
      <w:r w:rsidR="003B227B" w:rsidRPr="00352C6E">
        <w:rPr>
          <w:i w:val="0"/>
          <w:iCs w:val="0"/>
        </w:rPr>
        <w:t xml:space="preserve">.0 and </w:t>
      </w:r>
      <w:r w:rsidR="00750AB5">
        <w:rPr>
          <w:i w:val="0"/>
          <w:iCs w:val="0"/>
        </w:rPr>
        <w:t>7</w:t>
      </w:r>
      <w:r w:rsidR="003B227B" w:rsidRPr="00352C6E">
        <w:rPr>
          <w:i w:val="0"/>
          <w:iCs w:val="0"/>
        </w:rPr>
        <w:t>.0. The color gradient symbolizes the recovery rate [%].</w:t>
      </w:r>
    </w:p>
    <w:p w14:paraId="0C7E3371" w14:textId="608834B0" w:rsidR="00BB1DB1" w:rsidRPr="00352C6E" w:rsidRDefault="00BB1DB1" w:rsidP="00BB1DB1"/>
    <w:p w14:paraId="14214A78" w14:textId="77777777" w:rsidR="00BB1DB1" w:rsidRPr="00352C6E" w:rsidRDefault="00BB1DB1" w:rsidP="00BB1DB1">
      <w:pPr>
        <w:keepNext/>
      </w:pPr>
      <w:r w:rsidRPr="00352C6E">
        <w:rPr>
          <w:noProof/>
        </w:rPr>
        <w:drawing>
          <wp:inline distT="0" distB="0" distL="0" distR="0" wp14:anchorId="3030E0F8" wp14:editId="56774F03">
            <wp:extent cx="4580626" cy="287314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r="10245"/>
                    <a:stretch/>
                  </pic:blipFill>
                  <pic:spPr bwMode="auto">
                    <a:xfrm>
                      <a:off x="0" y="0"/>
                      <a:ext cx="4581137" cy="2873461"/>
                    </a:xfrm>
                    <a:prstGeom prst="rect">
                      <a:avLst/>
                    </a:prstGeom>
                    <a:ln>
                      <a:noFill/>
                    </a:ln>
                    <a:extLst>
                      <a:ext uri="{53640926-AAD7-44D8-BBD7-CCE9431645EC}">
                        <a14:shadowObscured xmlns:a14="http://schemas.microsoft.com/office/drawing/2010/main"/>
                      </a:ext>
                    </a:extLst>
                  </pic:spPr>
                </pic:pic>
              </a:graphicData>
            </a:graphic>
          </wp:inline>
        </w:drawing>
      </w:r>
    </w:p>
    <w:p w14:paraId="645A3E72" w14:textId="5D85F9BA" w:rsidR="00BB1DB1" w:rsidRPr="00352C6E" w:rsidRDefault="0079478E" w:rsidP="00352C6E">
      <w:pPr>
        <w:pStyle w:val="Caption"/>
        <w:ind w:firstLine="0"/>
        <w:rPr>
          <w:i w:val="0"/>
          <w:iCs w:val="0"/>
        </w:rPr>
      </w:pPr>
      <w:r>
        <w:rPr>
          <w:b/>
          <w:bCs/>
          <w:i w:val="0"/>
          <w:iCs w:val="0"/>
        </w:rPr>
        <w:t xml:space="preserve">Supplementary </w:t>
      </w:r>
      <w:r w:rsidR="00BB1DB1" w:rsidRPr="00352C6E">
        <w:rPr>
          <w:b/>
          <w:bCs/>
          <w:i w:val="0"/>
          <w:iCs w:val="0"/>
        </w:rPr>
        <w:t xml:space="preserve">Figure </w:t>
      </w:r>
      <w:r w:rsidR="00BB1DB1" w:rsidRPr="00352C6E">
        <w:rPr>
          <w:b/>
          <w:bCs/>
          <w:i w:val="0"/>
          <w:iCs w:val="0"/>
        </w:rPr>
        <w:fldChar w:fldCharType="begin"/>
      </w:r>
      <w:r w:rsidR="00BB1DB1" w:rsidRPr="00352C6E">
        <w:rPr>
          <w:b/>
          <w:bCs/>
          <w:i w:val="0"/>
          <w:iCs w:val="0"/>
        </w:rPr>
        <w:instrText xml:space="preserve"> SEQ Figure_S \* ARABIC </w:instrText>
      </w:r>
      <w:r w:rsidR="00BB1DB1" w:rsidRPr="00352C6E">
        <w:rPr>
          <w:b/>
          <w:bCs/>
          <w:i w:val="0"/>
          <w:iCs w:val="0"/>
        </w:rPr>
        <w:fldChar w:fldCharType="separate"/>
      </w:r>
      <w:r w:rsidR="00BB1DB1" w:rsidRPr="00352C6E">
        <w:rPr>
          <w:b/>
          <w:bCs/>
          <w:i w:val="0"/>
          <w:iCs w:val="0"/>
          <w:noProof/>
        </w:rPr>
        <w:t>4</w:t>
      </w:r>
      <w:r w:rsidR="00BB1DB1" w:rsidRPr="00352C6E">
        <w:rPr>
          <w:b/>
          <w:bCs/>
          <w:i w:val="0"/>
          <w:iCs w:val="0"/>
        </w:rPr>
        <w:fldChar w:fldCharType="end"/>
      </w:r>
      <w:r w:rsidR="00BB1DB1" w:rsidRPr="00352C6E">
        <w:rPr>
          <w:i w:val="0"/>
          <w:iCs w:val="0"/>
        </w:rPr>
        <w:t xml:space="preserve">. </w:t>
      </w:r>
      <w:r w:rsidR="003B227B" w:rsidRPr="00352C6E">
        <w:rPr>
          <w:i w:val="0"/>
          <w:iCs w:val="0"/>
        </w:rPr>
        <w:t xml:space="preserve">Contour plot showing the DoE results for the nickel biosorption at pH </w:t>
      </w:r>
      <w:r w:rsidR="00750AB5">
        <w:rPr>
          <w:i w:val="0"/>
          <w:iCs w:val="0"/>
        </w:rPr>
        <w:t>3.0</w:t>
      </w:r>
      <w:r w:rsidR="003B227B" w:rsidRPr="00352C6E">
        <w:rPr>
          <w:i w:val="0"/>
          <w:iCs w:val="0"/>
        </w:rPr>
        <w:t xml:space="preserve">, </w:t>
      </w:r>
      <w:r w:rsidR="00750AB5">
        <w:rPr>
          <w:i w:val="0"/>
          <w:iCs w:val="0"/>
        </w:rPr>
        <w:t>5.5</w:t>
      </w:r>
      <w:r w:rsidR="003B227B" w:rsidRPr="00352C6E">
        <w:rPr>
          <w:i w:val="0"/>
          <w:iCs w:val="0"/>
        </w:rPr>
        <w:t xml:space="preserve"> and </w:t>
      </w:r>
      <w:r w:rsidR="00750AB5">
        <w:rPr>
          <w:i w:val="0"/>
          <w:iCs w:val="0"/>
        </w:rPr>
        <w:t>8</w:t>
      </w:r>
      <w:r w:rsidR="003B227B" w:rsidRPr="00352C6E">
        <w:rPr>
          <w:i w:val="0"/>
          <w:iCs w:val="0"/>
        </w:rPr>
        <w:t>.0. The color gradient symbolizes the recovery rate [%].</w:t>
      </w:r>
    </w:p>
    <w:p w14:paraId="67E921D2" w14:textId="6E0ECED6" w:rsidR="00BB1DB1" w:rsidRDefault="00BB1DB1" w:rsidP="00022CBF">
      <w:pPr>
        <w:ind w:firstLine="0"/>
      </w:pPr>
    </w:p>
    <w:p w14:paraId="5E2BEE2D" w14:textId="77777777" w:rsidR="000B2742" w:rsidRDefault="00B50AA9" w:rsidP="000B2742">
      <w:pPr>
        <w:keepNext/>
        <w:ind w:firstLine="0"/>
      </w:pPr>
      <w:r>
        <w:rPr>
          <w:noProof/>
        </w:rPr>
        <w:lastRenderedPageBreak/>
        <w:drawing>
          <wp:inline distT="0" distB="0" distL="0" distR="0" wp14:anchorId="0CA5A52C" wp14:editId="4482D177">
            <wp:extent cx="5668176" cy="25146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3798" cy="2517094"/>
                    </a:xfrm>
                    <a:prstGeom prst="rect">
                      <a:avLst/>
                    </a:prstGeom>
                    <a:noFill/>
                  </pic:spPr>
                </pic:pic>
              </a:graphicData>
            </a:graphic>
          </wp:inline>
        </w:drawing>
      </w:r>
    </w:p>
    <w:p w14:paraId="4921DF67" w14:textId="3C39E8BE" w:rsidR="00022CBF" w:rsidRPr="000B2742" w:rsidRDefault="0079478E" w:rsidP="00A42379">
      <w:pPr>
        <w:pStyle w:val="Caption"/>
        <w:ind w:firstLine="0"/>
      </w:pPr>
      <w:r>
        <w:rPr>
          <w:b/>
          <w:bCs/>
          <w:i w:val="0"/>
          <w:iCs w:val="0"/>
        </w:rPr>
        <w:t xml:space="preserve">Supplementary Figure </w:t>
      </w:r>
      <w:r w:rsidR="000B2742">
        <w:rPr>
          <w:b/>
          <w:bCs/>
          <w:i w:val="0"/>
          <w:iCs w:val="0"/>
        </w:rPr>
        <w:t>5</w:t>
      </w:r>
      <w:r w:rsidR="000B2742">
        <w:rPr>
          <w:i w:val="0"/>
          <w:iCs w:val="0"/>
        </w:rPr>
        <w:t>. SEM images</w:t>
      </w:r>
      <w:r w:rsidR="00A42379">
        <w:rPr>
          <w:i w:val="0"/>
          <w:iCs w:val="0"/>
        </w:rPr>
        <w:t xml:space="preserve"> at 2000x magnification</w:t>
      </w:r>
      <w:r w:rsidR="000B2742">
        <w:rPr>
          <w:i w:val="0"/>
          <w:iCs w:val="0"/>
        </w:rPr>
        <w:t xml:space="preserve"> of</w:t>
      </w:r>
      <w:r w:rsidR="00C513C0">
        <w:rPr>
          <w:i w:val="0"/>
          <w:iCs w:val="0"/>
        </w:rPr>
        <w:t xml:space="preserve"> lyophilized</w:t>
      </w:r>
      <w:r w:rsidR="000B2742">
        <w:rPr>
          <w:i w:val="0"/>
          <w:iCs w:val="0"/>
        </w:rPr>
        <w:t xml:space="preserve"> </w:t>
      </w:r>
      <w:r w:rsidR="000B2742">
        <w:t xml:space="preserve">S. cerevisiae </w:t>
      </w:r>
      <w:r w:rsidR="000B2742" w:rsidRPr="00A42379">
        <w:rPr>
          <w:i w:val="0"/>
          <w:iCs w:val="0"/>
        </w:rPr>
        <w:t>biomass</w:t>
      </w:r>
      <w:r w:rsidR="000B2742">
        <w:t xml:space="preserve"> </w:t>
      </w:r>
      <w:r w:rsidR="000B2742" w:rsidRPr="000B2742">
        <w:rPr>
          <w:i w:val="0"/>
          <w:iCs w:val="0"/>
        </w:rPr>
        <w:t>before (A) and after Al</w:t>
      </w:r>
      <w:r w:rsidR="000B2742" w:rsidRPr="000B2742">
        <w:rPr>
          <w:i w:val="0"/>
          <w:iCs w:val="0"/>
          <w:vertAlign w:val="superscript"/>
        </w:rPr>
        <w:t>3+</w:t>
      </w:r>
      <w:r w:rsidR="000B2742" w:rsidRPr="000B2742">
        <w:rPr>
          <w:i w:val="0"/>
          <w:iCs w:val="0"/>
        </w:rPr>
        <w:t xml:space="preserve"> biosorption (B).</w:t>
      </w:r>
    </w:p>
    <w:p w14:paraId="0D117ECF" w14:textId="14A2A4AE" w:rsidR="00022CBF" w:rsidRDefault="00022CBF" w:rsidP="00022CBF">
      <w:pPr>
        <w:ind w:firstLine="0"/>
      </w:pPr>
    </w:p>
    <w:p w14:paraId="5E423531" w14:textId="77777777" w:rsidR="0079478E" w:rsidRDefault="0079478E" w:rsidP="0079478E">
      <w:pPr>
        <w:keepNext/>
        <w:ind w:firstLine="0"/>
      </w:pPr>
      <w:r w:rsidRPr="0079478E">
        <w:rPr>
          <w:noProof/>
        </w:rPr>
        <w:drawing>
          <wp:inline distT="0" distB="0" distL="0" distR="0" wp14:anchorId="3A9FA819" wp14:editId="4E76FF46">
            <wp:extent cx="5731510" cy="3100070"/>
            <wp:effectExtent l="0" t="0" r="0" b="0"/>
            <wp:docPr id="1" name="Picture 4">
              <a:extLst xmlns:a="http://schemas.openxmlformats.org/drawingml/2006/main">
                <a:ext uri="{FF2B5EF4-FFF2-40B4-BE49-F238E27FC236}">
                  <a16:creationId xmlns:a16="http://schemas.microsoft.com/office/drawing/2014/main" id="{A00A93FB-3265-4E6E-B1FB-C6268BC27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00A93FB-3265-4E6E-B1FB-C6268BC27847}"/>
                        </a:ext>
                      </a:extLst>
                    </pic:cNvPr>
                    <pic:cNvPicPr>
                      <a:picLocks noChangeAspect="1"/>
                    </pic:cNvPicPr>
                  </pic:nvPicPr>
                  <pic:blipFill>
                    <a:blip r:embed="rId12"/>
                    <a:stretch>
                      <a:fillRect/>
                    </a:stretch>
                  </pic:blipFill>
                  <pic:spPr>
                    <a:xfrm>
                      <a:off x="0" y="0"/>
                      <a:ext cx="5731510" cy="3100070"/>
                    </a:xfrm>
                    <a:prstGeom prst="rect">
                      <a:avLst/>
                    </a:prstGeom>
                  </pic:spPr>
                </pic:pic>
              </a:graphicData>
            </a:graphic>
          </wp:inline>
        </w:drawing>
      </w:r>
    </w:p>
    <w:p w14:paraId="3E947104" w14:textId="02146FA0" w:rsidR="0079478E" w:rsidRDefault="0079478E" w:rsidP="0079478E">
      <w:pPr>
        <w:pStyle w:val="Caption"/>
        <w:ind w:firstLine="0"/>
        <w:rPr>
          <w:i w:val="0"/>
          <w:iCs w:val="0"/>
        </w:rPr>
      </w:pPr>
      <w:r w:rsidRPr="0079478E">
        <w:rPr>
          <w:b/>
          <w:bCs/>
          <w:i w:val="0"/>
          <w:iCs w:val="0"/>
        </w:rPr>
        <w:t>Supplementary Figure 6</w:t>
      </w:r>
      <w:r>
        <w:rPr>
          <w:b/>
          <w:bCs/>
          <w:i w:val="0"/>
          <w:iCs w:val="0"/>
        </w:rPr>
        <w:t>.</w:t>
      </w:r>
      <w:r>
        <w:rPr>
          <w:i w:val="0"/>
          <w:iCs w:val="0"/>
        </w:rPr>
        <w:t xml:space="preserve"> Particle size distribution of lyophilized yeast biomass obtained by sieving. The blue bars indicate the weight [g] </w:t>
      </w:r>
      <w:r w:rsidR="00BD45F4">
        <w:rPr>
          <w:i w:val="0"/>
          <w:iCs w:val="0"/>
        </w:rPr>
        <w:t xml:space="preserve">of the particles </w:t>
      </w:r>
      <w:r w:rsidR="004C036F">
        <w:rPr>
          <w:i w:val="0"/>
          <w:iCs w:val="0"/>
        </w:rPr>
        <w:t>retained on each</w:t>
      </w:r>
      <w:r w:rsidR="00BD45F4">
        <w:rPr>
          <w:i w:val="0"/>
          <w:iCs w:val="0"/>
        </w:rPr>
        <w:t xml:space="preserve"> sieve</w:t>
      </w:r>
      <w:r>
        <w:rPr>
          <w:i w:val="0"/>
          <w:iCs w:val="0"/>
        </w:rPr>
        <w:t xml:space="preserve"> (n=3). The orange line shows the percentage [%] of each fraction. </w:t>
      </w:r>
    </w:p>
    <w:p w14:paraId="75DC233F" w14:textId="77777777" w:rsidR="009A0EA6" w:rsidRDefault="009A0EA6" w:rsidP="009A0EA6">
      <w:pPr>
        <w:spacing w:line="259" w:lineRule="auto"/>
        <w:ind w:firstLine="0"/>
        <w:jc w:val="left"/>
      </w:pPr>
    </w:p>
    <w:p w14:paraId="73C2CB11" w14:textId="77777777" w:rsidR="009A0EA6" w:rsidRDefault="009A0EA6" w:rsidP="009A0EA6">
      <w:pPr>
        <w:spacing w:line="259" w:lineRule="auto"/>
        <w:ind w:firstLine="0"/>
        <w:jc w:val="left"/>
      </w:pPr>
    </w:p>
    <w:p w14:paraId="6362E7B6" w14:textId="77777777" w:rsidR="009A0EA6" w:rsidRDefault="009A0EA6" w:rsidP="009A0EA6">
      <w:pPr>
        <w:spacing w:line="259" w:lineRule="auto"/>
        <w:ind w:firstLine="0"/>
        <w:jc w:val="left"/>
      </w:pPr>
    </w:p>
    <w:p w14:paraId="5520B8B3" w14:textId="77777777" w:rsidR="009A0EA6" w:rsidRDefault="009A0EA6" w:rsidP="009A0EA6">
      <w:pPr>
        <w:spacing w:line="259" w:lineRule="auto"/>
        <w:ind w:firstLine="0"/>
        <w:jc w:val="left"/>
      </w:pPr>
    </w:p>
    <w:p w14:paraId="22FB6692" w14:textId="77777777" w:rsidR="009A0EA6" w:rsidRDefault="009A0EA6" w:rsidP="009A0EA6">
      <w:pPr>
        <w:spacing w:line="259" w:lineRule="auto"/>
        <w:ind w:firstLine="0"/>
        <w:jc w:val="left"/>
      </w:pPr>
    </w:p>
    <w:p w14:paraId="1A694D6B" w14:textId="5EDC9E54" w:rsidR="009A0EA6" w:rsidRPr="009A0EA6" w:rsidRDefault="009A0EA6" w:rsidP="009A0EA6">
      <w:pPr>
        <w:pStyle w:val="Caption"/>
        <w:ind w:firstLine="0"/>
        <w:rPr>
          <w:i w:val="0"/>
          <w:iCs w:val="0"/>
        </w:rPr>
      </w:pPr>
      <w:r w:rsidRPr="0079478E">
        <w:rPr>
          <w:b/>
          <w:bCs/>
          <w:i w:val="0"/>
          <w:iCs w:val="0"/>
        </w:rPr>
        <w:lastRenderedPageBreak/>
        <w:t xml:space="preserve">Supplementary </w:t>
      </w:r>
      <w:r>
        <w:rPr>
          <w:b/>
          <w:bCs/>
          <w:i w:val="0"/>
          <w:iCs w:val="0"/>
        </w:rPr>
        <w:t>Table</w:t>
      </w:r>
      <w:r w:rsidRPr="0079478E">
        <w:rPr>
          <w:b/>
          <w:bCs/>
          <w:i w:val="0"/>
          <w:iCs w:val="0"/>
        </w:rPr>
        <w:t xml:space="preserve"> </w:t>
      </w:r>
      <w:r>
        <w:rPr>
          <w:b/>
          <w:bCs/>
          <w:i w:val="0"/>
          <w:iCs w:val="0"/>
        </w:rPr>
        <w:t>1.</w:t>
      </w:r>
      <w:r>
        <w:rPr>
          <w:i w:val="0"/>
          <w:iCs w:val="0"/>
        </w:rPr>
        <w:t xml:space="preserve"> ICP-MS results of different metal ions after the stepwise biosorption process from synthetic and leachate solutions at the corresponding pH values.</w:t>
      </w:r>
      <w:r w:rsidR="006430E1">
        <w:rPr>
          <w:i w:val="0"/>
          <w:iCs w:val="0"/>
        </w:rPr>
        <w:t xml:space="preserve"> The values for the concentrations and standard </w:t>
      </w:r>
      <w:r w:rsidR="00DE75B1">
        <w:rPr>
          <w:i w:val="0"/>
          <w:iCs w:val="0"/>
        </w:rPr>
        <w:t>deviation</w:t>
      </w:r>
      <w:r w:rsidR="006430E1">
        <w:rPr>
          <w:i w:val="0"/>
          <w:iCs w:val="0"/>
        </w:rPr>
        <w:t xml:space="preserve"> (SD) are depicted in ppm for Mg and ppb for Cr, Mn, Fe, Co, Cd and Pb. The limit of detection (LOD) is reported in the last row for each metal ion.</w:t>
      </w:r>
    </w:p>
    <w:tbl>
      <w:tblPr>
        <w:tblW w:w="9709" w:type="dxa"/>
        <w:tblCellMar>
          <w:left w:w="70" w:type="dxa"/>
          <w:right w:w="70" w:type="dxa"/>
        </w:tblCellMar>
        <w:tblLook w:val="04A0" w:firstRow="1" w:lastRow="0" w:firstColumn="1" w:lastColumn="0" w:noHBand="0" w:noVBand="1"/>
      </w:tblPr>
      <w:tblGrid>
        <w:gridCol w:w="709"/>
        <w:gridCol w:w="709"/>
        <w:gridCol w:w="1276"/>
        <w:gridCol w:w="1275"/>
        <w:gridCol w:w="1560"/>
        <w:gridCol w:w="992"/>
        <w:gridCol w:w="1134"/>
        <w:gridCol w:w="992"/>
        <w:gridCol w:w="1062"/>
      </w:tblGrid>
      <w:tr w:rsidR="009A0EA6" w:rsidRPr="009A0EA6" w14:paraId="64BFD589" w14:textId="77777777" w:rsidTr="00487107">
        <w:trPr>
          <w:trHeight w:val="248"/>
        </w:trPr>
        <w:tc>
          <w:tcPr>
            <w:tcW w:w="709" w:type="dxa"/>
            <w:tcBorders>
              <w:top w:val="single" w:sz="4" w:space="0" w:color="auto"/>
              <w:left w:val="nil"/>
              <w:right w:val="nil"/>
            </w:tcBorders>
            <w:shd w:val="clear" w:color="auto" w:fill="auto"/>
            <w:noWrap/>
            <w:vAlign w:val="bottom"/>
            <w:hideMark/>
          </w:tcPr>
          <w:p w14:paraId="783F5F10" w14:textId="77777777" w:rsidR="009A0EA6" w:rsidRPr="009A0EA6" w:rsidRDefault="009A0EA6" w:rsidP="009A0EA6">
            <w:pPr>
              <w:spacing w:after="0" w:line="240" w:lineRule="auto"/>
              <w:ind w:firstLine="0"/>
              <w:jc w:val="left"/>
              <w:rPr>
                <w:rFonts w:eastAsia="Times New Roman" w:cs="Times New Roman"/>
                <w:sz w:val="20"/>
                <w:szCs w:val="24"/>
                <w:lang w:eastAsia="de-AT"/>
              </w:rPr>
            </w:pPr>
          </w:p>
        </w:tc>
        <w:tc>
          <w:tcPr>
            <w:tcW w:w="709" w:type="dxa"/>
            <w:vMerge w:val="restart"/>
            <w:tcBorders>
              <w:top w:val="single" w:sz="4" w:space="0" w:color="auto"/>
              <w:left w:val="nil"/>
              <w:right w:val="nil"/>
            </w:tcBorders>
            <w:shd w:val="clear" w:color="auto" w:fill="auto"/>
            <w:noWrap/>
            <w:vAlign w:val="center"/>
            <w:hideMark/>
          </w:tcPr>
          <w:p w14:paraId="322ED469"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val="de-AT" w:eastAsia="de-AT"/>
              </w:rPr>
            </w:pPr>
            <w:r w:rsidRPr="009A0EA6">
              <w:rPr>
                <w:rFonts w:ascii="Calibri" w:eastAsia="Times New Roman" w:hAnsi="Calibri" w:cs="Calibri"/>
                <w:b/>
                <w:bCs/>
                <w:color w:val="000000"/>
                <w:sz w:val="22"/>
                <w:lang w:val="de-AT" w:eastAsia="de-AT"/>
              </w:rPr>
              <w:t>pH</w:t>
            </w:r>
          </w:p>
        </w:tc>
        <w:tc>
          <w:tcPr>
            <w:tcW w:w="1276" w:type="dxa"/>
            <w:tcBorders>
              <w:top w:val="single" w:sz="4" w:space="0" w:color="auto"/>
              <w:left w:val="nil"/>
              <w:right w:val="nil"/>
            </w:tcBorders>
            <w:shd w:val="clear" w:color="auto" w:fill="auto"/>
            <w:noWrap/>
            <w:vAlign w:val="bottom"/>
            <w:hideMark/>
          </w:tcPr>
          <w:p w14:paraId="499793B0"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val="de-AT" w:eastAsia="de-AT"/>
              </w:rPr>
            </w:pPr>
            <w:r w:rsidRPr="009A0EA6">
              <w:rPr>
                <w:rFonts w:ascii="Calibri" w:eastAsia="Times New Roman" w:hAnsi="Calibri" w:cs="Calibri"/>
                <w:b/>
                <w:bCs/>
                <w:color w:val="000000"/>
                <w:sz w:val="22"/>
                <w:lang w:val="de-AT" w:eastAsia="de-AT"/>
              </w:rPr>
              <w:t>Mg</w:t>
            </w:r>
          </w:p>
        </w:tc>
        <w:tc>
          <w:tcPr>
            <w:tcW w:w="1275" w:type="dxa"/>
            <w:tcBorders>
              <w:top w:val="single" w:sz="4" w:space="0" w:color="auto"/>
              <w:left w:val="nil"/>
              <w:right w:val="nil"/>
            </w:tcBorders>
            <w:shd w:val="clear" w:color="auto" w:fill="auto"/>
            <w:noWrap/>
            <w:vAlign w:val="bottom"/>
            <w:hideMark/>
          </w:tcPr>
          <w:p w14:paraId="5709B515"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val="de-AT" w:eastAsia="de-AT"/>
              </w:rPr>
            </w:pPr>
            <w:proofErr w:type="spellStart"/>
            <w:r w:rsidRPr="009A0EA6">
              <w:rPr>
                <w:rFonts w:ascii="Calibri" w:eastAsia="Times New Roman" w:hAnsi="Calibri" w:cs="Calibri"/>
                <w:b/>
                <w:bCs/>
                <w:color w:val="000000"/>
                <w:sz w:val="22"/>
                <w:lang w:val="de-AT" w:eastAsia="de-AT"/>
              </w:rPr>
              <w:t>Cr</w:t>
            </w:r>
            <w:proofErr w:type="spellEnd"/>
          </w:p>
        </w:tc>
        <w:tc>
          <w:tcPr>
            <w:tcW w:w="1560" w:type="dxa"/>
            <w:tcBorders>
              <w:top w:val="single" w:sz="4" w:space="0" w:color="auto"/>
              <w:left w:val="nil"/>
              <w:right w:val="nil"/>
            </w:tcBorders>
            <w:shd w:val="clear" w:color="auto" w:fill="auto"/>
            <w:noWrap/>
            <w:vAlign w:val="bottom"/>
            <w:hideMark/>
          </w:tcPr>
          <w:p w14:paraId="2A74C0EB"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val="de-AT" w:eastAsia="de-AT"/>
              </w:rPr>
            </w:pPr>
            <w:proofErr w:type="spellStart"/>
            <w:r w:rsidRPr="009A0EA6">
              <w:rPr>
                <w:rFonts w:ascii="Calibri" w:eastAsia="Times New Roman" w:hAnsi="Calibri" w:cs="Calibri"/>
                <w:b/>
                <w:bCs/>
                <w:color w:val="000000"/>
                <w:sz w:val="22"/>
                <w:lang w:val="de-AT" w:eastAsia="de-AT"/>
              </w:rPr>
              <w:t>Mn</w:t>
            </w:r>
            <w:proofErr w:type="spellEnd"/>
          </w:p>
        </w:tc>
        <w:tc>
          <w:tcPr>
            <w:tcW w:w="992" w:type="dxa"/>
            <w:tcBorders>
              <w:top w:val="single" w:sz="4" w:space="0" w:color="auto"/>
              <w:left w:val="nil"/>
              <w:right w:val="nil"/>
            </w:tcBorders>
            <w:shd w:val="clear" w:color="auto" w:fill="auto"/>
            <w:noWrap/>
            <w:vAlign w:val="bottom"/>
            <w:hideMark/>
          </w:tcPr>
          <w:p w14:paraId="5C19CC7D"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val="de-AT" w:eastAsia="de-AT"/>
              </w:rPr>
            </w:pPr>
            <w:proofErr w:type="spellStart"/>
            <w:r w:rsidRPr="009A0EA6">
              <w:rPr>
                <w:rFonts w:ascii="Calibri" w:eastAsia="Times New Roman" w:hAnsi="Calibri" w:cs="Calibri"/>
                <w:b/>
                <w:bCs/>
                <w:color w:val="000000"/>
                <w:sz w:val="22"/>
                <w:lang w:val="de-AT" w:eastAsia="de-AT"/>
              </w:rPr>
              <w:t>Fe</w:t>
            </w:r>
            <w:proofErr w:type="spellEnd"/>
          </w:p>
        </w:tc>
        <w:tc>
          <w:tcPr>
            <w:tcW w:w="1134" w:type="dxa"/>
            <w:tcBorders>
              <w:top w:val="single" w:sz="4" w:space="0" w:color="auto"/>
              <w:left w:val="nil"/>
              <w:right w:val="nil"/>
            </w:tcBorders>
            <w:shd w:val="clear" w:color="auto" w:fill="auto"/>
            <w:noWrap/>
            <w:vAlign w:val="bottom"/>
            <w:hideMark/>
          </w:tcPr>
          <w:p w14:paraId="64C6BE6F"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val="de-AT" w:eastAsia="de-AT"/>
              </w:rPr>
            </w:pPr>
            <w:r w:rsidRPr="009A0EA6">
              <w:rPr>
                <w:rFonts w:ascii="Calibri" w:eastAsia="Times New Roman" w:hAnsi="Calibri" w:cs="Calibri"/>
                <w:b/>
                <w:bCs/>
                <w:color w:val="000000"/>
                <w:sz w:val="22"/>
                <w:lang w:val="de-AT" w:eastAsia="de-AT"/>
              </w:rPr>
              <w:t>Co</w:t>
            </w:r>
          </w:p>
        </w:tc>
        <w:tc>
          <w:tcPr>
            <w:tcW w:w="992" w:type="dxa"/>
            <w:tcBorders>
              <w:top w:val="single" w:sz="4" w:space="0" w:color="auto"/>
              <w:left w:val="nil"/>
              <w:right w:val="nil"/>
            </w:tcBorders>
            <w:shd w:val="clear" w:color="auto" w:fill="auto"/>
            <w:noWrap/>
            <w:vAlign w:val="bottom"/>
            <w:hideMark/>
          </w:tcPr>
          <w:p w14:paraId="37849F29"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val="de-AT" w:eastAsia="de-AT"/>
              </w:rPr>
            </w:pPr>
            <w:proofErr w:type="spellStart"/>
            <w:r w:rsidRPr="009A0EA6">
              <w:rPr>
                <w:rFonts w:ascii="Calibri" w:eastAsia="Times New Roman" w:hAnsi="Calibri" w:cs="Calibri"/>
                <w:b/>
                <w:bCs/>
                <w:color w:val="000000"/>
                <w:sz w:val="22"/>
                <w:lang w:val="de-AT" w:eastAsia="de-AT"/>
              </w:rPr>
              <w:t>Cd</w:t>
            </w:r>
            <w:proofErr w:type="spellEnd"/>
          </w:p>
        </w:tc>
        <w:tc>
          <w:tcPr>
            <w:tcW w:w="1062" w:type="dxa"/>
            <w:tcBorders>
              <w:top w:val="single" w:sz="4" w:space="0" w:color="auto"/>
              <w:left w:val="nil"/>
              <w:right w:val="nil"/>
            </w:tcBorders>
            <w:shd w:val="clear" w:color="auto" w:fill="auto"/>
            <w:noWrap/>
            <w:vAlign w:val="bottom"/>
            <w:hideMark/>
          </w:tcPr>
          <w:p w14:paraId="75DAC4E1"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val="de-AT" w:eastAsia="de-AT"/>
              </w:rPr>
            </w:pPr>
            <w:proofErr w:type="spellStart"/>
            <w:r w:rsidRPr="009A0EA6">
              <w:rPr>
                <w:rFonts w:ascii="Calibri" w:eastAsia="Times New Roman" w:hAnsi="Calibri" w:cs="Calibri"/>
                <w:b/>
                <w:bCs/>
                <w:color w:val="000000"/>
                <w:sz w:val="22"/>
                <w:lang w:val="de-AT" w:eastAsia="de-AT"/>
              </w:rPr>
              <w:t>Pb</w:t>
            </w:r>
            <w:proofErr w:type="spellEnd"/>
          </w:p>
        </w:tc>
      </w:tr>
      <w:tr w:rsidR="009A0EA6" w:rsidRPr="009A0EA6" w14:paraId="716FDEEC" w14:textId="77777777" w:rsidTr="00487107">
        <w:trPr>
          <w:trHeight w:val="248"/>
        </w:trPr>
        <w:tc>
          <w:tcPr>
            <w:tcW w:w="709" w:type="dxa"/>
            <w:tcBorders>
              <w:top w:val="nil"/>
              <w:left w:val="nil"/>
              <w:bottom w:val="single" w:sz="4" w:space="0" w:color="auto"/>
              <w:right w:val="nil"/>
            </w:tcBorders>
            <w:shd w:val="clear" w:color="auto" w:fill="auto"/>
            <w:noWrap/>
            <w:vAlign w:val="bottom"/>
            <w:hideMark/>
          </w:tcPr>
          <w:p w14:paraId="2E6FD4E4"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val="de-AT" w:eastAsia="de-AT"/>
              </w:rPr>
            </w:pPr>
          </w:p>
        </w:tc>
        <w:tc>
          <w:tcPr>
            <w:tcW w:w="709" w:type="dxa"/>
            <w:vMerge/>
            <w:tcBorders>
              <w:top w:val="nil"/>
              <w:left w:val="nil"/>
              <w:bottom w:val="single" w:sz="4" w:space="0" w:color="auto"/>
              <w:right w:val="nil"/>
            </w:tcBorders>
            <w:vAlign w:val="center"/>
            <w:hideMark/>
          </w:tcPr>
          <w:p w14:paraId="13470CCB"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val="de-AT" w:eastAsia="de-AT"/>
              </w:rPr>
            </w:pPr>
          </w:p>
        </w:tc>
        <w:tc>
          <w:tcPr>
            <w:tcW w:w="1276" w:type="dxa"/>
            <w:tcBorders>
              <w:top w:val="nil"/>
              <w:left w:val="nil"/>
              <w:bottom w:val="single" w:sz="4" w:space="0" w:color="auto"/>
              <w:right w:val="nil"/>
            </w:tcBorders>
            <w:shd w:val="clear" w:color="auto" w:fill="auto"/>
            <w:noWrap/>
            <w:vAlign w:val="bottom"/>
            <w:hideMark/>
          </w:tcPr>
          <w:p w14:paraId="27C272AF"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ppm ±</w:t>
            </w:r>
            <w:r w:rsidRPr="009A0EA6">
              <w:rPr>
                <w:rFonts w:ascii="Calibri" w:eastAsia="Times New Roman" w:hAnsi="Calibri" w:cs="Calibri"/>
                <w:color w:val="000000"/>
                <w:sz w:val="20"/>
                <w:szCs w:val="20"/>
                <w:lang w:val="de-AT" w:eastAsia="de-AT"/>
              </w:rPr>
              <w:t xml:space="preserve"> SD </w:t>
            </w:r>
          </w:p>
        </w:tc>
        <w:tc>
          <w:tcPr>
            <w:tcW w:w="1275" w:type="dxa"/>
            <w:tcBorders>
              <w:top w:val="nil"/>
              <w:left w:val="nil"/>
              <w:bottom w:val="single" w:sz="4" w:space="0" w:color="auto"/>
              <w:right w:val="nil"/>
            </w:tcBorders>
            <w:shd w:val="clear" w:color="auto" w:fill="auto"/>
            <w:noWrap/>
            <w:vAlign w:val="bottom"/>
            <w:hideMark/>
          </w:tcPr>
          <w:p w14:paraId="69B65A1F"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ppb ±</w:t>
            </w:r>
            <w:r w:rsidRPr="009A0EA6">
              <w:rPr>
                <w:rFonts w:ascii="Calibri" w:eastAsia="Times New Roman" w:hAnsi="Calibri" w:cs="Calibri"/>
                <w:color w:val="000000"/>
                <w:sz w:val="20"/>
                <w:szCs w:val="20"/>
                <w:lang w:val="de-AT" w:eastAsia="de-AT"/>
              </w:rPr>
              <w:t xml:space="preserve"> SD </w:t>
            </w:r>
          </w:p>
        </w:tc>
        <w:tc>
          <w:tcPr>
            <w:tcW w:w="1560" w:type="dxa"/>
            <w:tcBorders>
              <w:top w:val="nil"/>
              <w:left w:val="nil"/>
              <w:bottom w:val="single" w:sz="4" w:space="0" w:color="auto"/>
              <w:right w:val="nil"/>
            </w:tcBorders>
            <w:shd w:val="clear" w:color="auto" w:fill="auto"/>
            <w:noWrap/>
            <w:vAlign w:val="bottom"/>
            <w:hideMark/>
          </w:tcPr>
          <w:p w14:paraId="13AC3A18"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ppb ±</w:t>
            </w:r>
            <w:r w:rsidRPr="009A0EA6">
              <w:rPr>
                <w:rFonts w:ascii="Calibri" w:eastAsia="Times New Roman" w:hAnsi="Calibri" w:cs="Calibri"/>
                <w:color w:val="000000"/>
                <w:sz w:val="20"/>
                <w:szCs w:val="20"/>
                <w:lang w:val="de-AT" w:eastAsia="de-AT"/>
              </w:rPr>
              <w:t xml:space="preserve"> SD</w:t>
            </w:r>
          </w:p>
        </w:tc>
        <w:tc>
          <w:tcPr>
            <w:tcW w:w="992" w:type="dxa"/>
            <w:tcBorders>
              <w:top w:val="nil"/>
              <w:left w:val="nil"/>
              <w:bottom w:val="single" w:sz="4" w:space="0" w:color="auto"/>
              <w:right w:val="nil"/>
            </w:tcBorders>
            <w:shd w:val="clear" w:color="auto" w:fill="auto"/>
            <w:noWrap/>
            <w:vAlign w:val="bottom"/>
            <w:hideMark/>
          </w:tcPr>
          <w:p w14:paraId="513D7499"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ppb ±</w:t>
            </w:r>
            <w:r w:rsidRPr="009A0EA6">
              <w:rPr>
                <w:rFonts w:ascii="Calibri" w:eastAsia="Times New Roman" w:hAnsi="Calibri" w:cs="Calibri"/>
                <w:color w:val="000000"/>
                <w:sz w:val="20"/>
                <w:szCs w:val="20"/>
                <w:lang w:val="de-AT" w:eastAsia="de-AT"/>
              </w:rPr>
              <w:t xml:space="preserve"> SD</w:t>
            </w:r>
          </w:p>
        </w:tc>
        <w:tc>
          <w:tcPr>
            <w:tcW w:w="1134" w:type="dxa"/>
            <w:tcBorders>
              <w:top w:val="nil"/>
              <w:left w:val="nil"/>
              <w:bottom w:val="single" w:sz="4" w:space="0" w:color="auto"/>
              <w:right w:val="nil"/>
            </w:tcBorders>
            <w:shd w:val="clear" w:color="auto" w:fill="auto"/>
            <w:noWrap/>
            <w:vAlign w:val="bottom"/>
            <w:hideMark/>
          </w:tcPr>
          <w:p w14:paraId="3DAEEF2B"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ppb ±</w:t>
            </w:r>
            <w:r w:rsidRPr="009A0EA6">
              <w:rPr>
                <w:rFonts w:ascii="Calibri" w:eastAsia="Times New Roman" w:hAnsi="Calibri" w:cs="Calibri"/>
                <w:color w:val="000000"/>
                <w:sz w:val="20"/>
                <w:szCs w:val="20"/>
                <w:lang w:val="de-AT" w:eastAsia="de-AT"/>
              </w:rPr>
              <w:t xml:space="preserve"> SD</w:t>
            </w:r>
          </w:p>
        </w:tc>
        <w:tc>
          <w:tcPr>
            <w:tcW w:w="992" w:type="dxa"/>
            <w:tcBorders>
              <w:top w:val="nil"/>
              <w:left w:val="nil"/>
              <w:bottom w:val="single" w:sz="4" w:space="0" w:color="auto"/>
              <w:right w:val="nil"/>
            </w:tcBorders>
            <w:shd w:val="clear" w:color="auto" w:fill="auto"/>
            <w:noWrap/>
            <w:vAlign w:val="bottom"/>
            <w:hideMark/>
          </w:tcPr>
          <w:p w14:paraId="7B1A1970"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ppb ±</w:t>
            </w:r>
            <w:r w:rsidRPr="009A0EA6">
              <w:rPr>
                <w:rFonts w:ascii="Calibri" w:eastAsia="Times New Roman" w:hAnsi="Calibri" w:cs="Calibri"/>
                <w:color w:val="000000"/>
                <w:sz w:val="20"/>
                <w:szCs w:val="20"/>
                <w:lang w:val="de-AT" w:eastAsia="de-AT"/>
              </w:rPr>
              <w:t xml:space="preserve"> SD</w:t>
            </w:r>
          </w:p>
        </w:tc>
        <w:tc>
          <w:tcPr>
            <w:tcW w:w="1062" w:type="dxa"/>
            <w:tcBorders>
              <w:top w:val="nil"/>
              <w:left w:val="nil"/>
              <w:bottom w:val="single" w:sz="4" w:space="0" w:color="auto"/>
              <w:right w:val="nil"/>
            </w:tcBorders>
            <w:shd w:val="clear" w:color="auto" w:fill="auto"/>
            <w:noWrap/>
            <w:vAlign w:val="bottom"/>
            <w:hideMark/>
          </w:tcPr>
          <w:p w14:paraId="334ECF34"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val="de-AT" w:eastAsia="de-AT"/>
              </w:rPr>
            </w:pPr>
            <w:r w:rsidRPr="009A0EA6">
              <w:rPr>
                <w:rFonts w:ascii="Calibri" w:eastAsia="Times New Roman" w:hAnsi="Calibri" w:cs="Calibri"/>
                <w:color w:val="000000"/>
                <w:sz w:val="22"/>
                <w:lang w:val="de-AT" w:eastAsia="de-AT"/>
              </w:rPr>
              <w:t>ppb ±</w:t>
            </w:r>
            <w:r w:rsidRPr="009A0EA6">
              <w:rPr>
                <w:rFonts w:ascii="Calibri" w:eastAsia="Times New Roman" w:hAnsi="Calibri" w:cs="Calibri"/>
                <w:color w:val="000000"/>
                <w:sz w:val="20"/>
                <w:szCs w:val="20"/>
                <w:lang w:val="de-AT" w:eastAsia="de-AT"/>
              </w:rPr>
              <w:t xml:space="preserve"> SD</w:t>
            </w:r>
          </w:p>
        </w:tc>
      </w:tr>
      <w:tr w:rsidR="009A0EA6" w:rsidRPr="009A0EA6" w14:paraId="08B28F8A" w14:textId="77777777" w:rsidTr="00487107">
        <w:trPr>
          <w:trHeight w:val="248"/>
        </w:trPr>
        <w:tc>
          <w:tcPr>
            <w:tcW w:w="709" w:type="dxa"/>
            <w:vMerge w:val="restart"/>
            <w:tcBorders>
              <w:top w:val="single" w:sz="4" w:space="0" w:color="auto"/>
              <w:left w:val="nil"/>
              <w:bottom w:val="nil"/>
              <w:right w:val="nil"/>
            </w:tcBorders>
            <w:shd w:val="clear" w:color="auto" w:fill="EEECE1"/>
            <w:textDirection w:val="btLr"/>
            <w:vAlign w:val="center"/>
            <w:hideMark/>
          </w:tcPr>
          <w:p w14:paraId="6BC7E630"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eastAsia="de-AT"/>
              </w:rPr>
            </w:pPr>
            <w:r w:rsidRPr="009A0EA6">
              <w:rPr>
                <w:rFonts w:ascii="Calibri" w:eastAsia="Times New Roman" w:hAnsi="Calibri" w:cs="Calibri"/>
                <w:b/>
                <w:bCs/>
                <w:color w:val="000000"/>
                <w:sz w:val="22"/>
                <w:lang w:eastAsia="de-AT"/>
              </w:rPr>
              <w:t>Synthetic solution</w:t>
            </w:r>
          </w:p>
        </w:tc>
        <w:tc>
          <w:tcPr>
            <w:tcW w:w="709" w:type="dxa"/>
            <w:tcBorders>
              <w:top w:val="single" w:sz="4" w:space="0" w:color="auto"/>
              <w:left w:val="nil"/>
              <w:bottom w:val="nil"/>
              <w:right w:val="nil"/>
            </w:tcBorders>
            <w:shd w:val="clear" w:color="auto" w:fill="EEECE1"/>
            <w:noWrap/>
            <w:vAlign w:val="bottom"/>
            <w:hideMark/>
          </w:tcPr>
          <w:p w14:paraId="6ED6B359"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3.5</w:t>
            </w:r>
          </w:p>
        </w:tc>
        <w:tc>
          <w:tcPr>
            <w:tcW w:w="1276" w:type="dxa"/>
            <w:tcBorders>
              <w:top w:val="single" w:sz="4" w:space="0" w:color="auto"/>
              <w:left w:val="nil"/>
              <w:bottom w:val="nil"/>
              <w:right w:val="nil"/>
            </w:tcBorders>
            <w:shd w:val="clear" w:color="auto" w:fill="EEECE1"/>
            <w:noWrap/>
            <w:vAlign w:val="bottom"/>
            <w:hideMark/>
          </w:tcPr>
          <w:p w14:paraId="3DAB5D89"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16.45 ± 0.07</w:t>
            </w:r>
          </w:p>
        </w:tc>
        <w:tc>
          <w:tcPr>
            <w:tcW w:w="1275" w:type="dxa"/>
            <w:tcBorders>
              <w:top w:val="single" w:sz="4" w:space="0" w:color="auto"/>
              <w:left w:val="nil"/>
              <w:bottom w:val="nil"/>
              <w:right w:val="nil"/>
            </w:tcBorders>
            <w:shd w:val="clear" w:color="auto" w:fill="EEECE1"/>
            <w:noWrap/>
            <w:vAlign w:val="bottom"/>
            <w:hideMark/>
          </w:tcPr>
          <w:p w14:paraId="72302283"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6.00 ± 2.10</w:t>
            </w:r>
          </w:p>
        </w:tc>
        <w:tc>
          <w:tcPr>
            <w:tcW w:w="1560" w:type="dxa"/>
            <w:tcBorders>
              <w:top w:val="single" w:sz="4" w:space="0" w:color="auto"/>
              <w:left w:val="nil"/>
              <w:bottom w:val="nil"/>
              <w:right w:val="nil"/>
            </w:tcBorders>
            <w:shd w:val="clear" w:color="auto" w:fill="EEECE1"/>
            <w:noWrap/>
            <w:vAlign w:val="bottom"/>
            <w:hideMark/>
          </w:tcPr>
          <w:p w14:paraId="3BA90250"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71.45 ± 1.95</w:t>
            </w:r>
          </w:p>
        </w:tc>
        <w:tc>
          <w:tcPr>
            <w:tcW w:w="992" w:type="dxa"/>
            <w:tcBorders>
              <w:top w:val="single" w:sz="4" w:space="0" w:color="auto"/>
              <w:left w:val="nil"/>
              <w:bottom w:val="nil"/>
              <w:right w:val="nil"/>
            </w:tcBorders>
            <w:shd w:val="clear" w:color="auto" w:fill="EEECE1"/>
            <w:noWrap/>
            <w:vAlign w:val="bottom"/>
            <w:hideMark/>
          </w:tcPr>
          <w:p w14:paraId="5DCA8151"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single" w:sz="4" w:space="0" w:color="auto"/>
              <w:left w:val="nil"/>
              <w:bottom w:val="nil"/>
              <w:right w:val="nil"/>
            </w:tcBorders>
            <w:shd w:val="clear" w:color="auto" w:fill="EEECE1"/>
            <w:noWrap/>
            <w:vAlign w:val="bottom"/>
            <w:hideMark/>
          </w:tcPr>
          <w:p w14:paraId="3CCFDA7D"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9.20 ± 1.70</w:t>
            </w:r>
          </w:p>
        </w:tc>
        <w:tc>
          <w:tcPr>
            <w:tcW w:w="992" w:type="dxa"/>
            <w:tcBorders>
              <w:top w:val="single" w:sz="4" w:space="0" w:color="auto"/>
              <w:left w:val="nil"/>
              <w:bottom w:val="nil"/>
              <w:right w:val="nil"/>
            </w:tcBorders>
            <w:shd w:val="clear" w:color="auto" w:fill="EEECE1"/>
            <w:noWrap/>
            <w:vAlign w:val="bottom"/>
            <w:hideMark/>
          </w:tcPr>
          <w:p w14:paraId="0CFDD3FE"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single" w:sz="4" w:space="0" w:color="auto"/>
              <w:left w:val="nil"/>
              <w:bottom w:val="nil"/>
              <w:right w:val="nil"/>
            </w:tcBorders>
            <w:shd w:val="clear" w:color="auto" w:fill="EEECE1"/>
            <w:noWrap/>
            <w:vAlign w:val="bottom"/>
            <w:hideMark/>
          </w:tcPr>
          <w:p w14:paraId="00BA5DF1"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70EC3E86" w14:textId="77777777" w:rsidTr="00487107">
        <w:trPr>
          <w:trHeight w:val="248"/>
        </w:trPr>
        <w:tc>
          <w:tcPr>
            <w:tcW w:w="709" w:type="dxa"/>
            <w:vMerge/>
            <w:tcBorders>
              <w:top w:val="nil"/>
              <w:left w:val="nil"/>
              <w:bottom w:val="nil"/>
              <w:right w:val="nil"/>
            </w:tcBorders>
            <w:shd w:val="clear" w:color="auto" w:fill="EEECE1"/>
            <w:vAlign w:val="center"/>
            <w:hideMark/>
          </w:tcPr>
          <w:p w14:paraId="45396252"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eastAsia="de-AT"/>
              </w:rPr>
            </w:pPr>
          </w:p>
        </w:tc>
        <w:tc>
          <w:tcPr>
            <w:tcW w:w="709" w:type="dxa"/>
            <w:tcBorders>
              <w:top w:val="nil"/>
              <w:left w:val="nil"/>
              <w:bottom w:val="nil"/>
              <w:right w:val="nil"/>
            </w:tcBorders>
            <w:shd w:val="clear" w:color="auto" w:fill="EEECE1"/>
            <w:noWrap/>
            <w:vAlign w:val="bottom"/>
            <w:hideMark/>
          </w:tcPr>
          <w:p w14:paraId="457DCA2E"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5</w:t>
            </w:r>
          </w:p>
        </w:tc>
        <w:tc>
          <w:tcPr>
            <w:tcW w:w="1276" w:type="dxa"/>
            <w:tcBorders>
              <w:top w:val="nil"/>
              <w:left w:val="nil"/>
              <w:bottom w:val="nil"/>
              <w:right w:val="nil"/>
            </w:tcBorders>
            <w:shd w:val="clear" w:color="auto" w:fill="EEECE1"/>
            <w:noWrap/>
            <w:vAlign w:val="bottom"/>
            <w:hideMark/>
          </w:tcPr>
          <w:p w14:paraId="05C2158A"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32.78 ± 0.15</w:t>
            </w:r>
          </w:p>
        </w:tc>
        <w:tc>
          <w:tcPr>
            <w:tcW w:w="1275" w:type="dxa"/>
            <w:tcBorders>
              <w:top w:val="nil"/>
              <w:left w:val="nil"/>
              <w:bottom w:val="nil"/>
              <w:right w:val="nil"/>
            </w:tcBorders>
            <w:shd w:val="clear" w:color="auto" w:fill="EEECE1"/>
            <w:noWrap/>
            <w:vAlign w:val="bottom"/>
            <w:hideMark/>
          </w:tcPr>
          <w:p w14:paraId="01C105E9"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3.00 ± 0.00</w:t>
            </w:r>
          </w:p>
        </w:tc>
        <w:tc>
          <w:tcPr>
            <w:tcW w:w="1560" w:type="dxa"/>
            <w:tcBorders>
              <w:top w:val="nil"/>
              <w:left w:val="nil"/>
              <w:bottom w:val="nil"/>
              <w:right w:val="nil"/>
            </w:tcBorders>
            <w:shd w:val="clear" w:color="auto" w:fill="EEECE1"/>
            <w:noWrap/>
            <w:vAlign w:val="bottom"/>
            <w:hideMark/>
          </w:tcPr>
          <w:p w14:paraId="650C66A7"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126.10 ± 0.60</w:t>
            </w:r>
          </w:p>
        </w:tc>
        <w:tc>
          <w:tcPr>
            <w:tcW w:w="992" w:type="dxa"/>
            <w:tcBorders>
              <w:top w:val="nil"/>
              <w:left w:val="nil"/>
              <w:bottom w:val="nil"/>
              <w:right w:val="nil"/>
            </w:tcBorders>
            <w:shd w:val="clear" w:color="auto" w:fill="EEECE1"/>
            <w:noWrap/>
            <w:vAlign w:val="bottom"/>
            <w:hideMark/>
          </w:tcPr>
          <w:p w14:paraId="27CAF88D"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nil"/>
              <w:left w:val="nil"/>
              <w:bottom w:val="nil"/>
              <w:right w:val="nil"/>
            </w:tcBorders>
            <w:shd w:val="clear" w:color="auto" w:fill="EEECE1"/>
            <w:noWrap/>
            <w:vAlign w:val="bottom"/>
            <w:hideMark/>
          </w:tcPr>
          <w:p w14:paraId="30AE0893"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7.95 ± 0.15</w:t>
            </w:r>
          </w:p>
        </w:tc>
        <w:tc>
          <w:tcPr>
            <w:tcW w:w="992" w:type="dxa"/>
            <w:tcBorders>
              <w:top w:val="nil"/>
              <w:left w:val="nil"/>
              <w:bottom w:val="nil"/>
              <w:right w:val="nil"/>
            </w:tcBorders>
            <w:shd w:val="clear" w:color="auto" w:fill="EEECE1"/>
            <w:noWrap/>
            <w:vAlign w:val="bottom"/>
            <w:hideMark/>
          </w:tcPr>
          <w:p w14:paraId="1F8BB098"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nil"/>
              <w:left w:val="nil"/>
              <w:bottom w:val="nil"/>
              <w:right w:val="nil"/>
            </w:tcBorders>
            <w:shd w:val="clear" w:color="auto" w:fill="EEECE1"/>
            <w:noWrap/>
            <w:vAlign w:val="bottom"/>
            <w:hideMark/>
          </w:tcPr>
          <w:p w14:paraId="4D026BBE"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70532D50" w14:textId="77777777" w:rsidTr="00487107">
        <w:trPr>
          <w:trHeight w:val="248"/>
        </w:trPr>
        <w:tc>
          <w:tcPr>
            <w:tcW w:w="709" w:type="dxa"/>
            <w:vMerge/>
            <w:tcBorders>
              <w:top w:val="nil"/>
              <w:left w:val="nil"/>
              <w:bottom w:val="nil"/>
              <w:right w:val="nil"/>
            </w:tcBorders>
            <w:shd w:val="clear" w:color="auto" w:fill="EEECE1"/>
            <w:vAlign w:val="center"/>
            <w:hideMark/>
          </w:tcPr>
          <w:p w14:paraId="3227871A"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eastAsia="de-AT"/>
              </w:rPr>
            </w:pPr>
          </w:p>
        </w:tc>
        <w:tc>
          <w:tcPr>
            <w:tcW w:w="709" w:type="dxa"/>
            <w:tcBorders>
              <w:top w:val="nil"/>
              <w:left w:val="nil"/>
              <w:bottom w:val="nil"/>
              <w:right w:val="nil"/>
            </w:tcBorders>
            <w:shd w:val="clear" w:color="auto" w:fill="EEECE1"/>
            <w:noWrap/>
            <w:vAlign w:val="bottom"/>
            <w:hideMark/>
          </w:tcPr>
          <w:p w14:paraId="3176C3FE"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7.5</w:t>
            </w:r>
          </w:p>
        </w:tc>
        <w:tc>
          <w:tcPr>
            <w:tcW w:w="1276" w:type="dxa"/>
            <w:tcBorders>
              <w:top w:val="nil"/>
              <w:left w:val="nil"/>
              <w:bottom w:val="nil"/>
              <w:right w:val="nil"/>
            </w:tcBorders>
            <w:shd w:val="clear" w:color="auto" w:fill="EEECE1"/>
            <w:noWrap/>
            <w:vAlign w:val="bottom"/>
            <w:hideMark/>
          </w:tcPr>
          <w:p w14:paraId="3449AF0E"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45.97 ± 0.44</w:t>
            </w:r>
          </w:p>
        </w:tc>
        <w:tc>
          <w:tcPr>
            <w:tcW w:w="1275" w:type="dxa"/>
            <w:tcBorders>
              <w:top w:val="nil"/>
              <w:left w:val="nil"/>
              <w:bottom w:val="nil"/>
              <w:right w:val="nil"/>
            </w:tcBorders>
            <w:shd w:val="clear" w:color="auto" w:fill="EEECE1"/>
            <w:noWrap/>
            <w:vAlign w:val="bottom"/>
            <w:hideMark/>
          </w:tcPr>
          <w:p w14:paraId="09CD8661"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2.35 ± 0.05</w:t>
            </w:r>
          </w:p>
        </w:tc>
        <w:tc>
          <w:tcPr>
            <w:tcW w:w="1560" w:type="dxa"/>
            <w:tcBorders>
              <w:top w:val="nil"/>
              <w:left w:val="nil"/>
              <w:bottom w:val="nil"/>
              <w:right w:val="nil"/>
            </w:tcBorders>
            <w:shd w:val="clear" w:color="auto" w:fill="EEECE1"/>
            <w:noWrap/>
            <w:vAlign w:val="bottom"/>
            <w:hideMark/>
          </w:tcPr>
          <w:p w14:paraId="2CA8E5FF"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121.95 ± 2.25</w:t>
            </w:r>
          </w:p>
        </w:tc>
        <w:tc>
          <w:tcPr>
            <w:tcW w:w="992" w:type="dxa"/>
            <w:tcBorders>
              <w:top w:val="nil"/>
              <w:left w:val="nil"/>
              <w:bottom w:val="nil"/>
              <w:right w:val="nil"/>
            </w:tcBorders>
            <w:shd w:val="clear" w:color="auto" w:fill="EEECE1"/>
            <w:noWrap/>
            <w:vAlign w:val="bottom"/>
            <w:hideMark/>
          </w:tcPr>
          <w:p w14:paraId="668C284C"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nil"/>
              <w:left w:val="nil"/>
              <w:bottom w:val="nil"/>
              <w:right w:val="nil"/>
            </w:tcBorders>
            <w:shd w:val="clear" w:color="auto" w:fill="EEECE1"/>
            <w:noWrap/>
            <w:vAlign w:val="bottom"/>
            <w:hideMark/>
          </w:tcPr>
          <w:p w14:paraId="29F2E273"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6.00 ± 0.20</w:t>
            </w:r>
          </w:p>
        </w:tc>
        <w:tc>
          <w:tcPr>
            <w:tcW w:w="992" w:type="dxa"/>
            <w:tcBorders>
              <w:top w:val="nil"/>
              <w:left w:val="nil"/>
              <w:bottom w:val="nil"/>
              <w:right w:val="nil"/>
            </w:tcBorders>
            <w:shd w:val="clear" w:color="auto" w:fill="EEECE1"/>
            <w:noWrap/>
            <w:vAlign w:val="bottom"/>
            <w:hideMark/>
          </w:tcPr>
          <w:p w14:paraId="65E60C66"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nil"/>
              <w:left w:val="nil"/>
              <w:bottom w:val="nil"/>
              <w:right w:val="nil"/>
            </w:tcBorders>
            <w:shd w:val="clear" w:color="auto" w:fill="EEECE1"/>
            <w:noWrap/>
            <w:vAlign w:val="bottom"/>
            <w:hideMark/>
          </w:tcPr>
          <w:p w14:paraId="45768EDA"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5B658D9F" w14:textId="77777777" w:rsidTr="00487107">
        <w:trPr>
          <w:trHeight w:val="248"/>
        </w:trPr>
        <w:tc>
          <w:tcPr>
            <w:tcW w:w="709" w:type="dxa"/>
            <w:vMerge/>
            <w:tcBorders>
              <w:top w:val="nil"/>
              <w:left w:val="nil"/>
              <w:bottom w:val="nil"/>
              <w:right w:val="nil"/>
            </w:tcBorders>
            <w:shd w:val="clear" w:color="auto" w:fill="EEECE1"/>
            <w:vAlign w:val="center"/>
            <w:hideMark/>
          </w:tcPr>
          <w:p w14:paraId="41FE5A63"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eastAsia="de-AT"/>
              </w:rPr>
            </w:pPr>
          </w:p>
        </w:tc>
        <w:tc>
          <w:tcPr>
            <w:tcW w:w="709" w:type="dxa"/>
            <w:tcBorders>
              <w:top w:val="nil"/>
              <w:left w:val="nil"/>
              <w:bottom w:val="nil"/>
              <w:right w:val="nil"/>
            </w:tcBorders>
            <w:shd w:val="clear" w:color="auto" w:fill="EEECE1"/>
            <w:noWrap/>
            <w:vAlign w:val="bottom"/>
            <w:hideMark/>
          </w:tcPr>
          <w:p w14:paraId="55DE5969"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8.5</w:t>
            </w:r>
          </w:p>
        </w:tc>
        <w:tc>
          <w:tcPr>
            <w:tcW w:w="1276" w:type="dxa"/>
            <w:tcBorders>
              <w:top w:val="nil"/>
              <w:left w:val="nil"/>
              <w:bottom w:val="nil"/>
              <w:right w:val="nil"/>
            </w:tcBorders>
            <w:shd w:val="clear" w:color="auto" w:fill="EEECE1"/>
            <w:noWrap/>
            <w:vAlign w:val="bottom"/>
            <w:hideMark/>
          </w:tcPr>
          <w:p w14:paraId="4E18FBFE"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57.85 ± 0.43</w:t>
            </w:r>
          </w:p>
        </w:tc>
        <w:tc>
          <w:tcPr>
            <w:tcW w:w="1275" w:type="dxa"/>
            <w:tcBorders>
              <w:top w:val="nil"/>
              <w:left w:val="nil"/>
              <w:bottom w:val="nil"/>
              <w:right w:val="nil"/>
            </w:tcBorders>
            <w:shd w:val="clear" w:color="auto" w:fill="EEECE1"/>
            <w:noWrap/>
            <w:vAlign w:val="bottom"/>
            <w:hideMark/>
          </w:tcPr>
          <w:p w14:paraId="2F8819DD"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2.90 ± 0.20</w:t>
            </w:r>
          </w:p>
        </w:tc>
        <w:tc>
          <w:tcPr>
            <w:tcW w:w="1560" w:type="dxa"/>
            <w:tcBorders>
              <w:top w:val="nil"/>
              <w:left w:val="nil"/>
              <w:bottom w:val="nil"/>
              <w:right w:val="nil"/>
            </w:tcBorders>
            <w:shd w:val="clear" w:color="auto" w:fill="EEECE1"/>
            <w:noWrap/>
            <w:vAlign w:val="bottom"/>
            <w:hideMark/>
          </w:tcPr>
          <w:p w14:paraId="1354FDEB"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117.55 ± 0.55</w:t>
            </w:r>
          </w:p>
        </w:tc>
        <w:tc>
          <w:tcPr>
            <w:tcW w:w="992" w:type="dxa"/>
            <w:tcBorders>
              <w:top w:val="nil"/>
              <w:left w:val="nil"/>
              <w:bottom w:val="nil"/>
              <w:right w:val="nil"/>
            </w:tcBorders>
            <w:shd w:val="clear" w:color="auto" w:fill="EEECE1"/>
            <w:noWrap/>
            <w:vAlign w:val="bottom"/>
            <w:hideMark/>
          </w:tcPr>
          <w:p w14:paraId="3E9DD08D"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nil"/>
              <w:left w:val="nil"/>
              <w:bottom w:val="nil"/>
              <w:right w:val="nil"/>
            </w:tcBorders>
            <w:shd w:val="clear" w:color="auto" w:fill="EEECE1"/>
            <w:noWrap/>
            <w:vAlign w:val="bottom"/>
            <w:hideMark/>
          </w:tcPr>
          <w:p w14:paraId="47568332"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5.65 ± 0.15</w:t>
            </w:r>
          </w:p>
        </w:tc>
        <w:tc>
          <w:tcPr>
            <w:tcW w:w="992" w:type="dxa"/>
            <w:tcBorders>
              <w:top w:val="nil"/>
              <w:left w:val="nil"/>
              <w:bottom w:val="nil"/>
              <w:right w:val="nil"/>
            </w:tcBorders>
            <w:shd w:val="clear" w:color="auto" w:fill="EEECE1"/>
            <w:noWrap/>
            <w:vAlign w:val="bottom"/>
            <w:hideMark/>
          </w:tcPr>
          <w:p w14:paraId="5CF3E410"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nil"/>
              <w:left w:val="nil"/>
              <w:bottom w:val="nil"/>
              <w:right w:val="nil"/>
            </w:tcBorders>
            <w:shd w:val="clear" w:color="auto" w:fill="EEECE1"/>
            <w:noWrap/>
            <w:vAlign w:val="bottom"/>
            <w:hideMark/>
          </w:tcPr>
          <w:p w14:paraId="13811DEB"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0374A6DD" w14:textId="77777777" w:rsidTr="00487107">
        <w:trPr>
          <w:trHeight w:val="248"/>
        </w:trPr>
        <w:tc>
          <w:tcPr>
            <w:tcW w:w="709" w:type="dxa"/>
            <w:vMerge w:val="restart"/>
            <w:tcBorders>
              <w:top w:val="nil"/>
              <w:left w:val="nil"/>
              <w:bottom w:val="nil"/>
              <w:right w:val="nil"/>
            </w:tcBorders>
            <w:shd w:val="clear" w:color="auto" w:fill="auto"/>
            <w:textDirection w:val="btLr"/>
            <w:vAlign w:val="center"/>
            <w:hideMark/>
          </w:tcPr>
          <w:p w14:paraId="61F6F104"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eastAsia="de-AT"/>
              </w:rPr>
            </w:pPr>
            <w:r w:rsidRPr="009A0EA6">
              <w:rPr>
                <w:rFonts w:ascii="Calibri" w:eastAsia="Times New Roman" w:hAnsi="Calibri" w:cs="Calibri"/>
                <w:b/>
                <w:bCs/>
                <w:color w:val="000000"/>
                <w:sz w:val="22"/>
                <w:lang w:eastAsia="de-AT"/>
              </w:rPr>
              <w:t>Leachate solution 1</w:t>
            </w:r>
          </w:p>
        </w:tc>
        <w:tc>
          <w:tcPr>
            <w:tcW w:w="709" w:type="dxa"/>
            <w:tcBorders>
              <w:top w:val="nil"/>
              <w:left w:val="nil"/>
              <w:bottom w:val="nil"/>
              <w:right w:val="nil"/>
            </w:tcBorders>
            <w:shd w:val="clear" w:color="auto" w:fill="auto"/>
            <w:noWrap/>
            <w:vAlign w:val="bottom"/>
            <w:hideMark/>
          </w:tcPr>
          <w:p w14:paraId="598901A4"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3.5</w:t>
            </w:r>
          </w:p>
        </w:tc>
        <w:tc>
          <w:tcPr>
            <w:tcW w:w="1276" w:type="dxa"/>
            <w:tcBorders>
              <w:top w:val="nil"/>
              <w:left w:val="nil"/>
              <w:bottom w:val="nil"/>
              <w:right w:val="nil"/>
            </w:tcBorders>
            <w:shd w:val="clear" w:color="auto" w:fill="auto"/>
            <w:noWrap/>
            <w:vAlign w:val="bottom"/>
            <w:hideMark/>
          </w:tcPr>
          <w:p w14:paraId="7810CC96"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15.98 ± 0.02</w:t>
            </w:r>
          </w:p>
        </w:tc>
        <w:tc>
          <w:tcPr>
            <w:tcW w:w="1275" w:type="dxa"/>
            <w:tcBorders>
              <w:top w:val="nil"/>
              <w:left w:val="nil"/>
              <w:bottom w:val="nil"/>
              <w:right w:val="nil"/>
            </w:tcBorders>
            <w:shd w:val="clear" w:color="auto" w:fill="auto"/>
            <w:noWrap/>
            <w:vAlign w:val="bottom"/>
            <w:hideMark/>
          </w:tcPr>
          <w:p w14:paraId="378598CB"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18.65 ± 0.25</w:t>
            </w:r>
          </w:p>
        </w:tc>
        <w:tc>
          <w:tcPr>
            <w:tcW w:w="1560" w:type="dxa"/>
            <w:tcBorders>
              <w:top w:val="nil"/>
              <w:left w:val="nil"/>
              <w:bottom w:val="nil"/>
              <w:right w:val="nil"/>
            </w:tcBorders>
            <w:shd w:val="clear" w:color="auto" w:fill="auto"/>
            <w:noWrap/>
            <w:vAlign w:val="bottom"/>
            <w:hideMark/>
          </w:tcPr>
          <w:p w14:paraId="1B4378CB"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60.75 ± 1.25</w:t>
            </w:r>
          </w:p>
        </w:tc>
        <w:tc>
          <w:tcPr>
            <w:tcW w:w="992" w:type="dxa"/>
            <w:tcBorders>
              <w:top w:val="nil"/>
              <w:left w:val="nil"/>
              <w:bottom w:val="nil"/>
              <w:right w:val="nil"/>
            </w:tcBorders>
            <w:shd w:val="clear" w:color="auto" w:fill="auto"/>
            <w:noWrap/>
            <w:vAlign w:val="bottom"/>
            <w:hideMark/>
          </w:tcPr>
          <w:p w14:paraId="067DBD72"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nil"/>
              <w:left w:val="nil"/>
              <w:bottom w:val="nil"/>
              <w:right w:val="nil"/>
            </w:tcBorders>
            <w:shd w:val="clear" w:color="auto" w:fill="auto"/>
            <w:noWrap/>
            <w:vAlign w:val="bottom"/>
            <w:hideMark/>
          </w:tcPr>
          <w:p w14:paraId="20D96CA6"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3.05 ± 0.85</w:t>
            </w:r>
          </w:p>
        </w:tc>
        <w:tc>
          <w:tcPr>
            <w:tcW w:w="992" w:type="dxa"/>
            <w:tcBorders>
              <w:top w:val="nil"/>
              <w:left w:val="nil"/>
              <w:bottom w:val="nil"/>
              <w:right w:val="nil"/>
            </w:tcBorders>
            <w:shd w:val="clear" w:color="auto" w:fill="auto"/>
            <w:noWrap/>
            <w:vAlign w:val="bottom"/>
            <w:hideMark/>
          </w:tcPr>
          <w:p w14:paraId="5029D28D"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nil"/>
              <w:left w:val="nil"/>
              <w:bottom w:val="nil"/>
              <w:right w:val="nil"/>
            </w:tcBorders>
            <w:shd w:val="clear" w:color="auto" w:fill="auto"/>
            <w:noWrap/>
            <w:vAlign w:val="bottom"/>
            <w:hideMark/>
          </w:tcPr>
          <w:p w14:paraId="6F7F588A"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13A2EE43" w14:textId="77777777" w:rsidTr="00487107">
        <w:trPr>
          <w:trHeight w:val="248"/>
        </w:trPr>
        <w:tc>
          <w:tcPr>
            <w:tcW w:w="709" w:type="dxa"/>
            <w:vMerge/>
            <w:tcBorders>
              <w:top w:val="nil"/>
              <w:left w:val="nil"/>
              <w:bottom w:val="nil"/>
              <w:right w:val="nil"/>
            </w:tcBorders>
            <w:vAlign w:val="center"/>
            <w:hideMark/>
          </w:tcPr>
          <w:p w14:paraId="2D322229"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eastAsia="de-AT"/>
              </w:rPr>
            </w:pPr>
          </w:p>
        </w:tc>
        <w:tc>
          <w:tcPr>
            <w:tcW w:w="709" w:type="dxa"/>
            <w:tcBorders>
              <w:top w:val="nil"/>
              <w:left w:val="nil"/>
              <w:bottom w:val="nil"/>
              <w:right w:val="nil"/>
            </w:tcBorders>
            <w:shd w:val="clear" w:color="auto" w:fill="auto"/>
            <w:noWrap/>
            <w:vAlign w:val="bottom"/>
            <w:hideMark/>
          </w:tcPr>
          <w:p w14:paraId="7755495F"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5</w:t>
            </w:r>
          </w:p>
        </w:tc>
        <w:tc>
          <w:tcPr>
            <w:tcW w:w="1276" w:type="dxa"/>
            <w:tcBorders>
              <w:top w:val="nil"/>
              <w:left w:val="nil"/>
              <w:bottom w:val="nil"/>
              <w:right w:val="nil"/>
            </w:tcBorders>
            <w:shd w:val="clear" w:color="auto" w:fill="auto"/>
            <w:noWrap/>
            <w:vAlign w:val="bottom"/>
            <w:hideMark/>
          </w:tcPr>
          <w:p w14:paraId="1DECB07C"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27.89 ± 0.71</w:t>
            </w:r>
          </w:p>
        </w:tc>
        <w:tc>
          <w:tcPr>
            <w:tcW w:w="1275" w:type="dxa"/>
            <w:tcBorders>
              <w:top w:val="nil"/>
              <w:left w:val="nil"/>
              <w:bottom w:val="nil"/>
              <w:right w:val="nil"/>
            </w:tcBorders>
            <w:shd w:val="clear" w:color="auto" w:fill="auto"/>
            <w:noWrap/>
            <w:vAlign w:val="bottom"/>
            <w:hideMark/>
          </w:tcPr>
          <w:p w14:paraId="1C3B38FA"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10.10 ± 1.80</w:t>
            </w:r>
          </w:p>
        </w:tc>
        <w:tc>
          <w:tcPr>
            <w:tcW w:w="1560" w:type="dxa"/>
            <w:tcBorders>
              <w:top w:val="nil"/>
              <w:left w:val="nil"/>
              <w:bottom w:val="nil"/>
              <w:right w:val="nil"/>
            </w:tcBorders>
            <w:shd w:val="clear" w:color="auto" w:fill="auto"/>
            <w:noWrap/>
            <w:vAlign w:val="bottom"/>
            <w:hideMark/>
          </w:tcPr>
          <w:p w14:paraId="27057D94"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76.35 ± 6.55</w:t>
            </w:r>
          </w:p>
        </w:tc>
        <w:tc>
          <w:tcPr>
            <w:tcW w:w="992" w:type="dxa"/>
            <w:tcBorders>
              <w:top w:val="nil"/>
              <w:left w:val="nil"/>
              <w:bottom w:val="nil"/>
              <w:right w:val="nil"/>
            </w:tcBorders>
            <w:shd w:val="clear" w:color="auto" w:fill="auto"/>
            <w:noWrap/>
            <w:vAlign w:val="bottom"/>
            <w:hideMark/>
          </w:tcPr>
          <w:p w14:paraId="18AF576E"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nil"/>
              <w:left w:val="nil"/>
              <w:bottom w:val="nil"/>
              <w:right w:val="nil"/>
            </w:tcBorders>
            <w:shd w:val="clear" w:color="auto" w:fill="auto"/>
            <w:noWrap/>
            <w:vAlign w:val="bottom"/>
            <w:hideMark/>
          </w:tcPr>
          <w:p w14:paraId="19B9E770"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1.90 ± 0.20</w:t>
            </w:r>
          </w:p>
        </w:tc>
        <w:tc>
          <w:tcPr>
            <w:tcW w:w="992" w:type="dxa"/>
            <w:tcBorders>
              <w:top w:val="nil"/>
              <w:left w:val="nil"/>
              <w:bottom w:val="nil"/>
              <w:right w:val="nil"/>
            </w:tcBorders>
            <w:shd w:val="clear" w:color="auto" w:fill="auto"/>
            <w:noWrap/>
            <w:vAlign w:val="bottom"/>
            <w:hideMark/>
          </w:tcPr>
          <w:p w14:paraId="0BF06A50"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nil"/>
              <w:left w:val="nil"/>
              <w:bottom w:val="nil"/>
              <w:right w:val="nil"/>
            </w:tcBorders>
            <w:shd w:val="clear" w:color="auto" w:fill="auto"/>
            <w:noWrap/>
            <w:vAlign w:val="bottom"/>
            <w:hideMark/>
          </w:tcPr>
          <w:p w14:paraId="212B4280"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024F2C2C" w14:textId="77777777" w:rsidTr="00487107">
        <w:trPr>
          <w:trHeight w:val="248"/>
        </w:trPr>
        <w:tc>
          <w:tcPr>
            <w:tcW w:w="709" w:type="dxa"/>
            <w:vMerge/>
            <w:tcBorders>
              <w:top w:val="nil"/>
              <w:left w:val="nil"/>
              <w:bottom w:val="nil"/>
              <w:right w:val="nil"/>
            </w:tcBorders>
            <w:vAlign w:val="center"/>
            <w:hideMark/>
          </w:tcPr>
          <w:p w14:paraId="6C9B37EF"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eastAsia="de-AT"/>
              </w:rPr>
            </w:pPr>
          </w:p>
        </w:tc>
        <w:tc>
          <w:tcPr>
            <w:tcW w:w="709" w:type="dxa"/>
            <w:tcBorders>
              <w:top w:val="nil"/>
              <w:left w:val="nil"/>
              <w:bottom w:val="nil"/>
              <w:right w:val="nil"/>
            </w:tcBorders>
            <w:shd w:val="clear" w:color="auto" w:fill="auto"/>
            <w:noWrap/>
            <w:vAlign w:val="bottom"/>
            <w:hideMark/>
          </w:tcPr>
          <w:p w14:paraId="19BDC37D"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7.5</w:t>
            </w:r>
          </w:p>
        </w:tc>
        <w:tc>
          <w:tcPr>
            <w:tcW w:w="1276" w:type="dxa"/>
            <w:tcBorders>
              <w:top w:val="nil"/>
              <w:left w:val="nil"/>
              <w:bottom w:val="nil"/>
              <w:right w:val="nil"/>
            </w:tcBorders>
            <w:shd w:val="clear" w:color="auto" w:fill="auto"/>
            <w:noWrap/>
            <w:vAlign w:val="bottom"/>
            <w:hideMark/>
          </w:tcPr>
          <w:p w14:paraId="20014909"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35.20 ± 0.57</w:t>
            </w:r>
          </w:p>
        </w:tc>
        <w:tc>
          <w:tcPr>
            <w:tcW w:w="1275" w:type="dxa"/>
            <w:tcBorders>
              <w:top w:val="nil"/>
              <w:left w:val="nil"/>
              <w:bottom w:val="nil"/>
              <w:right w:val="nil"/>
            </w:tcBorders>
            <w:shd w:val="clear" w:color="auto" w:fill="auto"/>
            <w:noWrap/>
            <w:vAlign w:val="bottom"/>
            <w:hideMark/>
          </w:tcPr>
          <w:p w14:paraId="6C5BA1B4"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12.00 ± 0.00</w:t>
            </w:r>
          </w:p>
        </w:tc>
        <w:tc>
          <w:tcPr>
            <w:tcW w:w="1560" w:type="dxa"/>
            <w:tcBorders>
              <w:top w:val="nil"/>
              <w:left w:val="nil"/>
              <w:bottom w:val="nil"/>
              <w:right w:val="nil"/>
            </w:tcBorders>
            <w:shd w:val="clear" w:color="auto" w:fill="auto"/>
            <w:noWrap/>
            <w:vAlign w:val="bottom"/>
            <w:hideMark/>
          </w:tcPr>
          <w:p w14:paraId="12576284"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69.45 ± 3.45</w:t>
            </w:r>
          </w:p>
        </w:tc>
        <w:tc>
          <w:tcPr>
            <w:tcW w:w="992" w:type="dxa"/>
            <w:tcBorders>
              <w:top w:val="nil"/>
              <w:left w:val="nil"/>
              <w:bottom w:val="nil"/>
              <w:right w:val="nil"/>
            </w:tcBorders>
            <w:shd w:val="clear" w:color="auto" w:fill="auto"/>
            <w:noWrap/>
            <w:vAlign w:val="bottom"/>
            <w:hideMark/>
          </w:tcPr>
          <w:p w14:paraId="3D6B19A0"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nil"/>
              <w:left w:val="nil"/>
              <w:bottom w:val="nil"/>
              <w:right w:val="nil"/>
            </w:tcBorders>
            <w:shd w:val="clear" w:color="auto" w:fill="auto"/>
            <w:noWrap/>
            <w:vAlign w:val="bottom"/>
            <w:hideMark/>
          </w:tcPr>
          <w:p w14:paraId="50C2E764"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1.80 ± 0.00</w:t>
            </w:r>
          </w:p>
        </w:tc>
        <w:tc>
          <w:tcPr>
            <w:tcW w:w="992" w:type="dxa"/>
            <w:tcBorders>
              <w:top w:val="nil"/>
              <w:left w:val="nil"/>
              <w:bottom w:val="nil"/>
              <w:right w:val="nil"/>
            </w:tcBorders>
            <w:shd w:val="clear" w:color="auto" w:fill="auto"/>
            <w:noWrap/>
            <w:vAlign w:val="bottom"/>
            <w:hideMark/>
          </w:tcPr>
          <w:p w14:paraId="6033C01E"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nil"/>
              <w:left w:val="nil"/>
              <w:bottom w:val="nil"/>
              <w:right w:val="nil"/>
            </w:tcBorders>
            <w:shd w:val="clear" w:color="auto" w:fill="auto"/>
            <w:noWrap/>
            <w:vAlign w:val="bottom"/>
            <w:hideMark/>
          </w:tcPr>
          <w:p w14:paraId="3C5E221B"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30C4F1B8" w14:textId="77777777" w:rsidTr="00487107">
        <w:trPr>
          <w:trHeight w:val="248"/>
        </w:trPr>
        <w:tc>
          <w:tcPr>
            <w:tcW w:w="709" w:type="dxa"/>
            <w:vMerge/>
            <w:tcBorders>
              <w:top w:val="nil"/>
              <w:left w:val="nil"/>
              <w:bottom w:val="nil"/>
              <w:right w:val="nil"/>
            </w:tcBorders>
            <w:vAlign w:val="center"/>
            <w:hideMark/>
          </w:tcPr>
          <w:p w14:paraId="325E369A"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eastAsia="de-AT"/>
              </w:rPr>
            </w:pPr>
          </w:p>
        </w:tc>
        <w:tc>
          <w:tcPr>
            <w:tcW w:w="709" w:type="dxa"/>
            <w:tcBorders>
              <w:top w:val="nil"/>
              <w:left w:val="nil"/>
              <w:bottom w:val="nil"/>
              <w:right w:val="nil"/>
            </w:tcBorders>
            <w:shd w:val="clear" w:color="auto" w:fill="auto"/>
            <w:noWrap/>
            <w:vAlign w:val="bottom"/>
            <w:hideMark/>
          </w:tcPr>
          <w:p w14:paraId="636188A3"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8.5</w:t>
            </w:r>
          </w:p>
        </w:tc>
        <w:tc>
          <w:tcPr>
            <w:tcW w:w="1276" w:type="dxa"/>
            <w:tcBorders>
              <w:top w:val="nil"/>
              <w:left w:val="nil"/>
              <w:bottom w:val="nil"/>
              <w:right w:val="nil"/>
            </w:tcBorders>
            <w:shd w:val="clear" w:color="auto" w:fill="auto"/>
            <w:noWrap/>
            <w:vAlign w:val="bottom"/>
            <w:hideMark/>
          </w:tcPr>
          <w:p w14:paraId="2FC3CC21"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41.90 ± 1.27</w:t>
            </w:r>
          </w:p>
        </w:tc>
        <w:tc>
          <w:tcPr>
            <w:tcW w:w="1275" w:type="dxa"/>
            <w:tcBorders>
              <w:top w:val="nil"/>
              <w:left w:val="nil"/>
              <w:bottom w:val="nil"/>
              <w:right w:val="nil"/>
            </w:tcBorders>
            <w:shd w:val="clear" w:color="auto" w:fill="auto"/>
            <w:noWrap/>
            <w:vAlign w:val="bottom"/>
            <w:hideMark/>
          </w:tcPr>
          <w:p w14:paraId="057ACB95"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14.55 ± 3.85</w:t>
            </w:r>
          </w:p>
        </w:tc>
        <w:tc>
          <w:tcPr>
            <w:tcW w:w="1560" w:type="dxa"/>
            <w:tcBorders>
              <w:top w:val="nil"/>
              <w:left w:val="nil"/>
              <w:bottom w:val="nil"/>
              <w:right w:val="nil"/>
            </w:tcBorders>
            <w:shd w:val="clear" w:color="auto" w:fill="auto"/>
            <w:noWrap/>
            <w:vAlign w:val="bottom"/>
            <w:hideMark/>
          </w:tcPr>
          <w:p w14:paraId="52E0D271"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62.65 ± 6.75</w:t>
            </w:r>
          </w:p>
        </w:tc>
        <w:tc>
          <w:tcPr>
            <w:tcW w:w="992" w:type="dxa"/>
            <w:tcBorders>
              <w:top w:val="nil"/>
              <w:left w:val="nil"/>
              <w:bottom w:val="nil"/>
              <w:right w:val="nil"/>
            </w:tcBorders>
            <w:shd w:val="clear" w:color="auto" w:fill="auto"/>
            <w:noWrap/>
            <w:vAlign w:val="bottom"/>
            <w:hideMark/>
          </w:tcPr>
          <w:p w14:paraId="15F6258D"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nil"/>
              <w:left w:val="nil"/>
              <w:bottom w:val="nil"/>
              <w:right w:val="nil"/>
            </w:tcBorders>
            <w:shd w:val="clear" w:color="auto" w:fill="auto"/>
            <w:noWrap/>
            <w:vAlign w:val="bottom"/>
            <w:hideMark/>
          </w:tcPr>
          <w:p w14:paraId="1F0B464D"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5.55 ± 3.25</w:t>
            </w:r>
          </w:p>
        </w:tc>
        <w:tc>
          <w:tcPr>
            <w:tcW w:w="992" w:type="dxa"/>
            <w:tcBorders>
              <w:top w:val="nil"/>
              <w:left w:val="nil"/>
              <w:bottom w:val="nil"/>
              <w:right w:val="nil"/>
            </w:tcBorders>
            <w:shd w:val="clear" w:color="auto" w:fill="auto"/>
            <w:noWrap/>
            <w:vAlign w:val="bottom"/>
            <w:hideMark/>
          </w:tcPr>
          <w:p w14:paraId="0E94B4AB"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nil"/>
              <w:left w:val="nil"/>
              <w:bottom w:val="nil"/>
              <w:right w:val="nil"/>
            </w:tcBorders>
            <w:shd w:val="clear" w:color="auto" w:fill="auto"/>
            <w:noWrap/>
            <w:vAlign w:val="bottom"/>
            <w:hideMark/>
          </w:tcPr>
          <w:p w14:paraId="79E3BC8A"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53215E8F" w14:textId="77777777" w:rsidTr="00487107">
        <w:trPr>
          <w:trHeight w:val="248"/>
        </w:trPr>
        <w:tc>
          <w:tcPr>
            <w:tcW w:w="709" w:type="dxa"/>
            <w:vMerge w:val="restart"/>
            <w:tcBorders>
              <w:top w:val="nil"/>
              <w:left w:val="nil"/>
              <w:bottom w:val="nil"/>
              <w:right w:val="nil"/>
            </w:tcBorders>
            <w:shd w:val="clear" w:color="auto" w:fill="EEECE1"/>
            <w:textDirection w:val="btLr"/>
            <w:vAlign w:val="center"/>
            <w:hideMark/>
          </w:tcPr>
          <w:p w14:paraId="0E79F5CA" w14:textId="77777777" w:rsidR="009A0EA6" w:rsidRPr="009A0EA6" w:rsidRDefault="009A0EA6" w:rsidP="009A0EA6">
            <w:pPr>
              <w:spacing w:after="0" w:line="240" w:lineRule="auto"/>
              <w:ind w:firstLine="0"/>
              <w:jc w:val="center"/>
              <w:rPr>
                <w:rFonts w:ascii="Calibri" w:eastAsia="Times New Roman" w:hAnsi="Calibri" w:cs="Calibri"/>
                <w:b/>
                <w:bCs/>
                <w:color w:val="000000"/>
                <w:sz w:val="22"/>
                <w:lang w:eastAsia="de-AT"/>
              </w:rPr>
            </w:pPr>
            <w:r w:rsidRPr="009A0EA6">
              <w:rPr>
                <w:rFonts w:ascii="Calibri" w:eastAsia="Times New Roman" w:hAnsi="Calibri" w:cs="Calibri"/>
                <w:b/>
                <w:bCs/>
                <w:color w:val="000000"/>
                <w:sz w:val="22"/>
                <w:lang w:eastAsia="de-AT"/>
              </w:rPr>
              <w:t>Leachate solution 2</w:t>
            </w:r>
          </w:p>
        </w:tc>
        <w:tc>
          <w:tcPr>
            <w:tcW w:w="709" w:type="dxa"/>
            <w:tcBorders>
              <w:top w:val="nil"/>
              <w:left w:val="nil"/>
              <w:bottom w:val="nil"/>
              <w:right w:val="nil"/>
            </w:tcBorders>
            <w:shd w:val="clear" w:color="auto" w:fill="EEECE1"/>
            <w:noWrap/>
            <w:vAlign w:val="bottom"/>
            <w:hideMark/>
          </w:tcPr>
          <w:p w14:paraId="77D706F8"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3.5</w:t>
            </w:r>
          </w:p>
        </w:tc>
        <w:tc>
          <w:tcPr>
            <w:tcW w:w="1276" w:type="dxa"/>
            <w:tcBorders>
              <w:top w:val="nil"/>
              <w:left w:val="nil"/>
              <w:bottom w:val="nil"/>
              <w:right w:val="nil"/>
            </w:tcBorders>
            <w:shd w:val="clear" w:color="auto" w:fill="EEECE1"/>
            <w:noWrap/>
            <w:vAlign w:val="bottom"/>
            <w:hideMark/>
          </w:tcPr>
          <w:p w14:paraId="0F3347F7"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19.10 ± 0.59</w:t>
            </w:r>
          </w:p>
        </w:tc>
        <w:tc>
          <w:tcPr>
            <w:tcW w:w="1275" w:type="dxa"/>
            <w:tcBorders>
              <w:top w:val="nil"/>
              <w:left w:val="nil"/>
              <w:bottom w:val="nil"/>
              <w:right w:val="nil"/>
            </w:tcBorders>
            <w:shd w:val="clear" w:color="auto" w:fill="EEECE1"/>
            <w:noWrap/>
            <w:vAlign w:val="bottom"/>
            <w:hideMark/>
          </w:tcPr>
          <w:p w14:paraId="3D5C898D"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59.85 ± 3.25</w:t>
            </w:r>
          </w:p>
        </w:tc>
        <w:tc>
          <w:tcPr>
            <w:tcW w:w="1560" w:type="dxa"/>
            <w:tcBorders>
              <w:top w:val="nil"/>
              <w:left w:val="nil"/>
              <w:bottom w:val="nil"/>
              <w:right w:val="nil"/>
            </w:tcBorders>
            <w:shd w:val="clear" w:color="auto" w:fill="EEECE1"/>
            <w:noWrap/>
            <w:vAlign w:val="bottom"/>
            <w:hideMark/>
          </w:tcPr>
          <w:p w14:paraId="2215B041"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89.7 ± 12.30</w:t>
            </w:r>
          </w:p>
        </w:tc>
        <w:tc>
          <w:tcPr>
            <w:tcW w:w="992" w:type="dxa"/>
            <w:tcBorders>
              <w:top w:val="nil"/>
              <w:left w:val="nil"/>
              <w:bottom w:val="nil"/>
              <w:right w:val="nil"/>
            </w:tcBorders>
            <w:shd w:val="clear" w:color="auto" w:fill="EEECE1"/>
            <w:noWrap/>
            <w:vAlign w:val="bottom"/>
            <w:hideMark/>
          </w:tcPr>
          <w:p w14:paraId="351772C6"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nil"/>
              <w:left w:val="nil"/>
              <w:bottom w:val="nil"/>
              <w:right w:val="nil"/>
            </w:tcBorders>
            <w:shd w:val="clear" w:color="auto" w:fill="EEECE1"/>
            <w:noWrap/>
            <w:vAlign w:val="bottom"/>
            <w:hideMark/>
          </w:tcPr>
          <w:p w14:paraId="5F9AE281"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7.45 ± 2.35</w:t>
            </w:r>
          </w:p>
        </w:tc>
        <w:tc>
          <w:tcPr>
            <w:tcW w:w="992" w:type="dxa"/>
            <w:tcBorders>
              <w:top w:val="nil"/>
              <w:left w:val="nil"/>
              <w:bottom w:val="nil"/>
              <w:right w:val="nil"/>
            </w:tcBorders>
            <w:shd w:val="clear" w:color="auto" w:fill="EEECE1"/>
            <w:noWrap/>
            <w:vAlign w:val="bottom"/>
            <w:hideMark/>
          </w:tcPr>
          <w:p w14:paraId="53F06121"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nil"/>
              <w:left w:val="nil"/>
              <w:bottom w:val="nil"/>
              <w:right w:val="nil"/>
            </w:tcBorders>
            <w:shd w:val="clear" w:color="auto" w:fill="EEECE1"/>
            <w:noWrap/>
            <w:vAlign w:val="bottom"/>
            <w:hideMark/>
          </w:tcPr>
          <w:p w14:paraId="47CB08E7"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3933274F" w14:textId="77777777" w:rsidTr="00487107">
        <w:trPr>
          <w:trHeight w:val="248"/>
        </w:trPr>
        <w:tc>
          <w:tcPr>
            <w:tcW w:w="709" w:type="dxa"/>
            <w:vMerge/>
            <w:tcBorders>
              <w:top w:val="nil"/>
              <w:left w:val="nil"/>
              <w:bottom w:val="nil"/>
              <w:right w:val="nil"/>
            </w:tcBorders>
            <w:shd w:val="clear" w:color="auto" w:fill="EEECE1"/>
            <w:vAlign w:val="center"/>
            <w:hideMark/>
          </w:tcPr>
          <w:p w14:paraId="42356938"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val="de-AT" w:eastAsia="de-AT"/>
              </w:rPr>
            </w:pPr>
          </w:p>
        </w:tc>
        <w:tc>
          <w:tcPr>
            <w:tcW w:w="709" w:type="dxa"/>
            <w:tcBorders>
              <w:top w:val="nil"/>
              <w:left w:val="nil"/>
              <w:bottom w:val="nil"/>
              <w:right w:val="nil"/>
            </w:tcBorders>
            <w:shd w:val="clear" w:color="auto" w:fill="EEECE1"/>
            <w:noWrap/>
            <w:vAlign w:val="bottom"/>
            <w:hideMark/>
          </w:tcPr>
          <w:p w14:paraId="161257F2"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5</w:t>
            </w:r>
          </w:p>
        </w:tc>
        <w:tc>
          <w:tcPr>
            <w:tcW w:w="1276" w:type="dxa"/>
            <w:tcBorders>
              <w:top w:val="nil"/>
              <w:left w:val="nil"/>
              <w:bottom w:val="nil"/>
              <w:right w:val="nil"/>
            </w:tcBorders>
            <w:shd w:val="clear" w:color="auto" w:fill="EEECE1"/>
            <w:noWrap/>
            <w:vAlign w:val="bottom"/>
            <w:hideMark/>
          </w:tcPr>
          <w:p w14:paraId="58C4A725"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34.33 ± 0.29</w:t>
            </w:r>
          </w:p>
        </w:tc>
        <w:tc>
          <w:tcPr>
            <w:tcW w:w="1275" w:type="dxa"/>
            <w:tcBorders>
              <w:top w:val="nil"/>
              <w:left w:val="nil"/>
              <w:bottom w:val="nil"/>
              <w:right w:val="nil"/>
            </w:tcBorders>
            <w:shd w:val="clear" w:color="auto" w:fill="EEECE1"/>
            <w:noWrap/>
            <w:vAlign w:val="bottom"/>
            <w:hideMark/>
          </w:tcPr>
          <w:p w14:paraId="0B4D142E"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42.05 ± 2.55</w:t>
            </w:r>
          </w:p>
        </w:tc>
        <w:tc>
          <w:tcPr>
            <w:tcW w:w="1560" w:type="dxa"/>
            <w:tcBorders>
              <w:top w:val="nil"/>
              <w:left w:val="nil"/>
              <w:bottom w:val="nil"/>
              <w:right w:val="nil"/>
            </w:tcBorders>
            <w:shd w:val="clear" w:color="auto" w:fill="EEECE1"/>
            <w:noWrap/>
            <w:vAlign w:val="bottom"/>
            <w:hideMark/>
          </w:tcPr>
          <w:p w14:paraId="270BE51B"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124.75 ± 3.25</w:t>
            </w:r>
          </w:p>
        </w:tc>
        <w:tc>
          <w:tcPr>
            <w:tcW w:w="992" w:type="dxa"/>
            <w:tcBorders>
              <w:top w:val="nil"/>
              <w:left w:val="nil"/>
              <w:bottom w:val="nil"/>
              <w:right w:val="nil"/>
            </w:tcBorders>
            <w:shd w:val="clear" w:color="auto" w:fill="EEECE1"/>
            <w:noWrap/>
            <w:vAlign w:val="bottom"/>
            <w:hideMark/>
          </w:tcPr>
          <w:p w14:paraId="0E60FFB9"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nil"/>
              <w:left w:val="nil"/>
              <w:bottom w:val="nil"/>
              <w:right w:val="nil"/>
            </w:tcBorders>
            <w:shd w:val="clear" w:color="auto" w:fill="EEECE1"/>
            <w:noWrap/>
            <w:vAlign w:val="bottom"/>
            <w:hideMark/>
          </w:tcPr>
          <w:p w14:paraId="3A3F178D"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4.85 ± 0.25</w:t>
            </w:r>
          </w:p>
        </w:tc>
        <w:tc>
          <w:tcPr>
            <w:tcW w:w="992" w:type="dxa"/>
            <w:tcBorders>
              <w:top w:val="nil"/>
              <w:left w:val="nil"/>
              <w:bottom w:val="nil"/>
              <w:right w:val="nil"/>
            </w:tcBorders>
            <w:shd w:val="clear" w:color="auto" w:fill="EEECE1"/>
            <w:noWrap/>
            <w:vAlign w:val="bottom"/>
            <w:hideMark/>
          </w:tcPr>
          <w:p w14:paraId="217750AB"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nil"/>
              <w:left w:val="nil"/>
              <w:bottom w:val="nil"/>
              <w:right w:val="nil"/>
            </w:tcBorders>
            <w:shd w:val="clear" w:color="auto" w:fill="EEECE1"/>
            <w:noWrap/>
            <w:vAlign w:val="bottom"/>
            <w:hideMark/>
          </w:tcPr>
          <w:p w14:paraId="795E7ECB"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1BFB4800" w14:textId="77777777" w:rsidTr="00487107">
        <w:trPr>
          <w:trHeight w:val="248"/>
        </w:trPr>
        <w:tc>
          <w:tcPr>
            <w:tcW w:w="709" w:type="dxa"/>
            <w:vMerge/>
            <w:tcBorders>
              <w:top w:val="nil"/>
              <w:left w:val="nil"/>
              <w:bottom w:val="nil"/>
              <w:right w:val="nil"/>
            </w:tcBorders>
            <w:shd w:val="clear" w:color="auto" w:fill="EEECE1"/>
            <w:vAlign w:val="center"/>
            <w:hideMark/>
          </w:tcPr>
          <w:p w14:paraId="7A77DB63"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val="de-AT" w:eastAsia="de-AT"/>
              </w:rPr>
            </w:pPr>
          </w:p>
        </w:tc>
        <w:tc>
          <w:tcPr>
            <w:tcW w:w="709" w:type="dxa"/>
            <w:tcBorders>
              <w:top w:val="nil"/>
              <w:left w:val="nil"/>
              <w:bottom w:val="nil"/>
              <w:right w:val="nil"/>
            </w:tcBorders>
            <w:shd w:val="clear" w:color="auto" w:fill="EEECE1"/>
            <w:noWrap/>
            <w:vAlign w:val="bottom"/>
            <w:hideMark/>
          </w:tcPr>
          <w:p w14:paraId="63284F10"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7.5</w:t>
            </w:r>
          </w:p>
        </w:tc>
        <w:tc>
          <w:tcPr>
            <w:tcW w:w="1276" w:type="dxa"/>
            <w:tcBorders>
              <w:top w:val="nil"/>
              <w:left w:val="nil"/>
              <w:bottom w:val="nil"/>
              <w:right w:val="nil"/>
            </w:tcBorders>
            <w:shd w:val="clear" w:color="auto" w:fill="EEECE1"/>
            <w:noWrap/>
            <w:vAlign w:val="bottom"/>
            <w:hideMark/>
          </w:tcPr>
          <w:p w14:paraId="1C6DFA72"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42.22 ± 1.65</w:t>
            </w:r>
          </w:p>
        </w:tc>
        <w:tc>
          <w:tcPr>
            <w:tcW w:w="1275" w:type="dxa"/>
            <w:tcBorders>
              <w:top w:val="nil"/>
              <w:left w:val="nil"/>
              <w:bottom w:val="nil"/>
              <w:right w:val="nil"/>
            </w:tcBorders>
            <w:shd w:val="clear" w:color="auto" w:fill="EEECE1"/>
            <w:noWrap/>
            <w:vAlign w:val="bottom"/>
            <w:hideMark/>
          </w:tcPr>
          <w:p w14:paraId="422DB4E4"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19.50 ± 1.40</w:t>
            </w:r>
          </w:p>
        </w:tc>
        <w:tc>
          <w:tcPr>
            <w:tcW w:w="1560" w:type="dxa"/>
            <w:tcBorders>
              <w:top w:val="nil"/>
              <w:left w:val="nil"/>
              <w:bottom w:val="nil"/>
              <w:right w:val="nil"/>
            </w:tcBorders>
            <w:shd w:val="clear" w:color="auto" w:fill="EEECE1"/>
            <w:noWrap/>
            <w:vAlign w:val="bottom"/>
            <w:hideMark/>
          </w:tcPr>
          <w:p w14:paraId="6E81619F"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79.45 ± 6.05</w:t>
            </w:r>
          </w:p>
        </w:tc>
        <w:tc>
          <w:tcPr>
            <w:tcW w:w="992" w:type="dxa"/>
            <w:tcBorders>
              <w:top w:val="nil"/>
              <w:left w:val="nil"/>
              <w:bottom w:val="nil"/>
              <w:right w:val="nil"/>
            </w:tcBorders>
            <w:shd w:val="clear" w:color="auto" w:fill="EEECE1"/>
            <w:noWrap/>
            <w:vAlign w:val="bottom"/>
            <w:hideMark/>
          </w:tcPr>
          <w:p w14:paraId="748B05F2"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nil"/>
              <w:left w:val="nil"/>
              <w:bottom w:val="nil"/>
              <w:right w:val="nil"/>
            </w:tcBorders>
            <w:shd w:val="clear" w:color="auto" w:fill="EEECE1"/>
            <w:noWrap/>
            <w:vAlign w:val="bottom"/>
            <w:hideMark/>
          </w:tcPr>
          <w:p w14:paraId="1470186B"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2.85 ± 0.65</w:t>
            </w:r>
          </w:p>
        </w:tc>
        <w:tc>
          <w:tcPr>
            <w:tcW w:w="992" w:type="dxa"/>
            <w:tcBorders>
              <w:top w:val="nil"/>
              <w:left w:val="nil"/>
              <w:bottom w:val="nil"/>
              <w:right w:val="nil"/>
            </w:tcBorders>
            <w:shd w:val="clear" w:color="auto" w:fill="EEECE1"/>
            <w:noWrap/>
            <w:vAlign w:val="bottom"/>
            <w:hideMark/>
          </w:tcPr>
          <w:p w14:paraId="2B656BF5"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nil"/>
              <w:left w:val="nil"/>
              <w:bottom w:val="nil"/>
              <w:right w:val="nil"/>
            </w:tcBorders>
            <w:shd w:val="clear" w:color="auto" w:fill="EEECE1"/>
            <w:noWrap/>
            <w:vAlign w:val="bottom"/>
            <w:hideMark/>
          </w:tcPr>
          <w:p w14:paraId="6CEB5A7C"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25FF1070" w14:textId="77777777" w:rsidTr="00487107">
        <w:trPr>
          <w:trHeight w:val="248"/>
        </w:trPr>
        <w:tc>
          <w:tcPr>
            <w:tcW w:w="709" w:type="dxa"/>
            <w:vMerge/>
            <w:tcBorders>
              <w:top w:val="nil"/>
              <w:left w:val="nil"/>
              <w:right w:val="nil"/>
            </w:tcBorders>
            <w:shd w:val="clear" w:color="auto" w:fill="EEECE1"/>
            <w:vAlign w:val="center"/>
            <w:hideMark/>
          </w:tcPr>
          <w:p w14:paraId="1205F2B5"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val="de-AT" w:eastAsia="de-AT"/>
              </w:rPr>
            </w:pPr>
          </w:p>
        </w:tc>
        <w:tc>
          <w:tcPr>
            <w:tcW w:w="709" w:type="dxa"/>
            <w:tcBorders>
              <w:top w:val="nil"/>
              <w:left w:val="nil"/>
              <w:right w:val="nil"/>
            </w:tcBorders>
            <w:shd w:val="clear" w:color="auto" w:fill="EEECE1"/>
            <w:noWrap/>
            <w:vAlign w:val="bottom"/>
            <w:hideMark/>
          </w:tcPr>
          <w:p w14:paraId="093CC0E8" w14:textId="77777777" w:rsidR="009A0EA6" w:rsidRPr="009A0EA6" w:rsidRDefault="009A0EA6" w:rsidP="009A0EA6">
            <w:pPr>
              <w:spacing w:after="0" w:line="240" w:lineRule="auto"/>
              <w:ind w:firstLine="0"/>
              <w:jc w:val="center"/>
              <w:rPr>
                <w:rFonts w:ascii="Calibri" w:eastAsia="Times New Roman" w:hAnsi="Calibri" w:cs="Calibri"/>
                <w:color w:val="000000"/>
                <w:sz w:val="22"/>
                <w:lang w:val="de-AT" w:eastAsia="de-AT"/>
              </w:rPr>
            </w:pPr>
            <w:r w:rsidRPr="009A0EA6">
              <w:rPr>
                <w:rFonts w:ascii="Calibri" w:eastAsia="Times New Roman" w:hAnsi="Calibri" w:cs="Calibri"/>
                <w:color w:val="000000"/>
                <w:sz w:val="22"/>
                <w:lang w:val="de-AT" w:eastAsia="de-AT"/>
              </w:rPr>
              <w:t>8.5</w:t>
            </w:r>
          </w:p>
        </w:tc>
        <w:tc>
          <w:tcPr>
            <w:tcW w:w="1276" w:type="dxa"/>
            <w:tcBorders>
              <w:top w:val="nil"/>
              <w:left w:val="nil"/>
              <w:right w:val="nil"/>
            </w:tcBorders>
            <w:shd w:val="clear" w:color="auto" w:fill="EEECE1"/>
            <w:noWrap/>
            <w:vAlign w:val="bottom"/>
            <w:hideMark/>
          </w:tcPr>
          <w:p w14:paraId="7AC12BC4"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54.64 ± 0.34</w:t>
            </w:r>
          </w:p>
        </w:tc>
        <w:tc>
          <w:tcPr>
            <w:tcW w:w="1275" w:type="dxa"/>
            <w:tcBorders>
              <w:top w:val="nil"/>
              <w:left w:val="nil"/>
              <w:right w:val="nil"/>
            </w:tcBorders>
            <w:shd w:val="clear" w:color="auto" w:fill="EEECE1"/>
            <w:noWrap/>
            <w:vAlign w:val="bottom"/>
            <w:hideMark/>
          </w:tcPr>
          <w:p w14:paraId="5FB8F3D7"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26.35 ± 1.75</w:t>
            </w:r>
          </w:p>
        </w:tc>
        <w:tc>
          <w:tcPr>
            <w:tcW w:w="1560" w:type="dxa"/>
            <w:tcBorders>
              <w:top w:val="nil"/>
              <w:left w:val="nil"/>
              <w:right w:val="nil"/>
            </w:tcBorders>
            <w:shd w:val="clear" w:color="auto" w:fill="EEECE1"/>
            <w:noWrap/>
            <w:vAlign w:val="bottom"/>
            <w:hideMark/>
          </w:tcPr>
          <w:p w14:paraId="556F5FD6"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77.30 ± 2.30</w:t>
            </w:r>
          </w:p>
        </w:tc>
        <w:tc>
          <w:tcPr>
            <w:tcW w:w="992" w:type="dxa"/>
            <w:tcBorders>
              <w:top w:val="nil"/>
              <w:left w:val="nil"/>
              <w:right w:val="nil"/>
            </w:tcBorders>
            <w:shd w:val="clear" w:color="auto" w:fill="EEECE1"/>
            <w:noWrap/>
            <w:vAlign w:val="bottom"/>
            <w:hideMark/>
          </w:tcPr>
          <w:p w14:paraId="2CBC81B0"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134" w:type="dxa"/>
            <w:tcBorders>
              <w:top w:val="nil"/>
              <w:left w:val="nil"/>
              <w:right w:val="nil"/>
            </w:tcBorders>
            <w:shd w:val="clear" w:color="auto" w:fill="EEECE1"/>
            <w:noWrap/>
            <w:vAlign w:val="bottom"/>
            <w:hideMark/>
          </w:tcPr>
          <w:p w14:paraId="56C81AD2"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4.05 ± 0.85</w:t>
            </w:r>
          </w:p>
        </w:tc>
        <w:tc>
          <w:tcPr>
            <w:tcW w:w="992" w:type="dxa"/>
            <w:tcBorders>
              <w:top w:val="nil"/>
              <w:left w:val="nil"/>
              <w:right w:val="nil"/>
            </w:tcBorders>
            <w:shd w:val="clear" w:color="auto" w:fill="EEECE1"/>
            <w:noWrap/>
            <w:vAlign w:val="bottom"/>
            <w:hideMark/>
          </w:tcPr>
          <w:p w14:paraId="55B9DAFB"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c>
          <w:tcPr>
            <w:tcW w:w="1062" w:type="dxa"/>
            <w:tcBorders>
              <w:top w:val="nil"/>
              <w:left w:val="nil"/>
              <w:right w:val="nil"/>
            </w:tcBorders>
            <w:shd w:val="clear" w:color="auto" w:fill="EEECE1"/>
            <w:noWrap/>
            <w:vAlign w:val="bottom"/>
            <w:hideMark/>
          </w:tcPr>
          <w:p w14:paraId="5612B037" w14:textId="77777777" w:rsidR="009A0EA6" w:rsidRPr="009A0EA6" w:rsidRDefault="009A0EA6" w:rsidP="009A0EA6">
            <w:pPr>
              <w:spacing w:after="0" w:line="240" w:lineRule="auto"/>
              <w:ind w:firstLine="0"/>
              <w:jc w:val="center"/>
              <w:rPr>
                <w:rFonts w:ascii="Calibri" w:eastAsia="Times New Roman" w:hAnsi="Calibri" w:cs="Calibri"/>
                <w:sz w:val="22"/>
                <w:lang w:val="de-AT" w:eastAsia="de-AT"/>
              </w:rPr>
            </w:pPr>
            <w:r w:rsidRPr="009A0EA6">
              <w:rPr>
                <w:rFonts w:ascii="Calibri" w:eastAsia="Times New Roman" w:hAnsi="Calibri" w:cs="Calibri"/>
                <w:sz w:val="22"/>
                <w:lang w:val="de-AT" w:eastAsia="de-AT"/>
              </w:rPr>
              <w:t>&lt;LOD</w:t>
            </w:r>
          </w:p>
        </w:tc>
      </w:tr>
      <w:tr w:rsidR="009A0EA6" w:rsidRPr="009A0EA6" w14:paraId="63CBE208" w14:textId="77777777" w:rsidTr="00487107">
        <w:trPr>
          <w:trHeight w:val="248"/>
        </w:trPr>
        <w:tc>
          <w:tcPr>
            <w:tcW w:w="709" w:type="dxa"/>
            <w:tcBorders>
              <w:top w:val="nil"/>
              <w:left w:val="nil"/>
              <w:bottom w:val="single" w:sz="4" w:space="0" w:color="auto"/>
              <w:right w:val="nil"/>
            </w:tcBorders>
            <w:shd w:val="clear" w:color="auto" w:fill="auto"/>
            <w:noWrap/>
            <w:vAlign w:val="bottom"/>
            <w:hideMark/>
          </w:tcPr>
          <w:p w14:paraId="45266617"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val="de-AT" w:eastAsia="de-AT"/>
              </w:rPr>
            </w:pPr>
          </w:p>
        </w:tc>
        <w:tc>
          <w:tcPr>
            <w:tcW w:w="709" w:type="dxa"/>
            <w:tcBorders>
              <w:top w:val="nil"/>
              <w:left w:val="nil"/>
              <w:bottom w:val="single" w:sz="4" w:space="0" w:color="auto"/>
              <w:right w:val="nil"/>
            </w:tcBorders>
            <w:shd w:val="clear" w:color="auto" w:fill="auto"/>
            <w:noWrap/>
            <w:vAlign w:val="bottom"/>
            <w:hideMark/>
          </w:tcPr>
          <w:p w14:paraId="6D274C2E" w14:textId="77777777" w:rsidR="009A0EA6" w:rsidRPr="009A0EA6" w:rsidRDefault="009A0EA6" w:rsidP="009A0EA6">
            <w:pPr>
              <w:spacing w:after="0" w:line="240" w:lineRule="auto"/>
              <w:ind w:firstLine="0"/>
              <w:jc w:val="left"/>
              <w:rPr>
                <w:rFonts w:ascii="Calibri" w:eastAsia="Times New Roman" w:hAnsi="Calibri" w:cs="Calibri"/>
                <w:b/>
                <w:bCs/>
                <w:color w:val="000000"/>
                <w:sz w:val="22"/>
                <w:lang w:val="de-AT" w:eastAsia="de-AT"/>
              </w:rPr>
            </w:pPr>
            <w:r w:rsidRPr="009A0EA6">
              <w:rPr>
                <w:rFonts w:ascii="Calibri" w:eastAsia="Times New Roman" w:hAnsi="Calibri" w:cs="Calibri"/>
                <w:b/>
                <w:bCs/>
                <w:color w:val="000000"/>
                <w:sz w:val="22"/>
                <w:lang w:val="de-AT" w:eastAsia="de-AT"/>
              </w:rPr>
              <w:t>LOD</w:t>
            </w:r>
          </w:p>
        </w:tc>
        <w:tc>
          <w:tcPr>
            <w:tcW w:w="1276" w:type="dxa"/>
            <w:tcBorders>
              <w:top w:val="nil"/>
              <w:left w:val="nil"/>
              <w:bottom w:val="single" w:sz="4" w:space="0" w:color="auto"/>
              <w:right w:val="nil"/>
            </w:tcBorders>
            <w:shd w:val="clear" w:color="auto" w:fill="auto"/>
            <w:noWrap/>
            <w:vAlign w:val="center"/>
            <w:hideMark/>
          </w:tcPr>
          <w:p w14:paraId="17A27A06" w14:textId="77777777" w:rsidR="009A0EA6" w:rsidRPr="009A0EA6" w:rsidRDefault="009A0EA6" w:rsidP="009A0EA6">
            <w:pPr>
              <w:spacing w:after="0" w:line="240" w:lineRule="auto"/>
              <w:ind w:firstLine="0"/>
              <w:jc w:val="center"/>
              <w:rPr>
                <w:rFonts w:ascii="Calibri" w:eastAsia="Times New Roman" w:hAnsi="Calibri" w:cs="Calibri"/>
                <w:b/>
                <w:bCs/>
                <w:sz w:val="22"/>
                <w:lang w:val="de-AT" w:eastAsia="de-AT"/>
              </w:rPr>
            </w:pPr>
            <w:r w:rsidRPr="009A0EA6">
              <w:rPr>
                <w:rFonts w:ascii="Calibri" w:eastAsia="Times New Roman" w:hAnsi="Calibri" w:cs="Calibri"/>
                <w:b/>
                <w:bCs/>
                <w:sz w:val="22"/>
                <w:lang w:val="de-AT" w:eastAsia="de-AT"/>
              </w:rPr>
              <w:t>0.005</w:t>
            </w:r>
          </w:p>
        </w:tc>
        <w:tc>
          <w:tcPr>
            <w:tcW w:w="1275" w:type="dxa"/>
            <w:tcBorders>
              <w:top w:val="nil"/>
              <w:left w:val="nil"/>
              <w:bottom w:val="single" w:sz="4" w:space="0" w:color="auto"/>
              <w:right w:val="nil"/>
            </w:tcBorders>
            <w:shd w:val="clear" w:color="auto" w:fill="auto"/>
            <w:noWrap/>
            <w:vAlign w:val="center"/>
            <w:hideMark/>
          </w:tcPr>
          <w:p w14:paraId="4F2FEEA7" w14:textId="77777777" w:rsidR="009A0EA6" w:rsidRPr="009A0EA6" w:rsidRDefault="009A0EA6" w:rsidP="009A0EA6">
            <w:pPr>
              <w:spacing w:after="0" w:line="240" w:lineRule="auto"/>
              <w:ind w:firstLine="0"/>
              <w:jc w:val="center"/>
              <w:rPr>
                <w:rFonts w:ascii="Calibri" w:eastAsia="Times New Roman" w:hAnsi="Calibri" w:cs="Calibri"/>
                <w:b/>
                <w:bCs/>
                <w:sz w:val="22"/>
                <w:lang w:val="de-AT" w:eastAsia="de-AT"/>
              </w:rPr>
            </w:pPr>
            <w:r w:rsidRPr="009A0EA6">
              <w:rPr>
                <w:rFonts w:ascii="Calibri" w:eastAsia="Times New Roman" w:hAnsi="Calibri" w:cs="Calibri"/>
                <w:b/>
                <w:bCs/>
                <w:sz w:val="22"/>
                <w:lang w:val="de-AT" w:eastAsia="de-AT"/>
              </w:rPr>
              <w:t>2</w:t>
            </w:r>
          </w:p>
        </w:tc>
        <w:tc>
          <w:tcPr>
            <w:tcW w:w="1560" w:type="dxa"/>
            <w:tcBorders>
              <w:top w:val="nil"/>
              <w:left w:val="nil"/>
              <w:bottom w:val="single" w:sz="4" w:space="0" w:color="auto"/>
              <w:right w:val="nil"/>
            </w:tcBorders>
            <w:shd w:val="clear" w:color="auto" w:fill="auto"/>
            <w:noWrap/>
            <w:vAlign w:val="center"/>
            <w:hideMark/>
          </w:tcPr>
          <w:p w14:paraId="7CE35887" w14:textId="77777777" w:rsidR="009A0EA6" w:rsidRPr="009A0EA6" w:rsidRDefault="009A0EA6" w:rsidP="009A0EA6">
            <w:pPr>
              <w:spacing w:after="0" w:line="240" w:lineRule="auto"/>
              <w:ind w:firstLine="0"/>
              <w:jc w:val="center"/>
              <w:rPr>
                <w:rFonts w:ascii="Calibri" w:eastAsia="Times New Roman" w:hAnsi="Calibri" w:cs="Calibri"/>
                <w:b/>
                <w:bCs/>
                <w:sz w:val="22"/>
                <w:lang w:val="de-AT" w:eastAsia="de-AT"/>
              </w:rPr>
            </w:pPr>
            <w:r w:rsidRPr="009A0EA6">
              <w:rPr>
                <w:rFonts w:ascii="Calibri" w:eastAsia="Times New Roman" w:hAnsi="Calibri" w:cs="Calibri"/>
                <w:b/>
                <w:bCs/>
                <w:sz w:val="22"/>
                <w:lang w:val="de-AT" w:eastAsia="de-AT"/>
              </w:rPr>
              <w:t>0.5</w:t>
            </w:r>
          </w:p>
        </w:tc>
        <w:tc>
          <w:tcPr>
            <w:tcW w:w="992" w:type="dxa"/>
            <w:tcBorders>
              <w:top w:val="nil"/>
              <w:left w:val="nil"/>
              <w:bottom w:val="single" w:sz="4" w:space="0" w:color="auto"/>
              <w:right w:val="nil"/>
            </w:tcBorders>
            <w:shd w:val="clear" w:color="auto" w:fill="auto"/>
            <w:noWrap/>
            <w:vAlign w:val="center"/>
            <w:hideMark/>
          </w:tcPr>
          <w:p w14:paraId="38C82768" w14:textId="77777777" w:rsidR="009A0EA6" w:rsidRPr="009A0EA6" w:rsidRDefault="009A0EA6" w:rsidP="009A0EA6">
            <w:pPr>
              <w:spacing w:after="0" w:line="240" w:lineRule="auto"/>
              <w:ind w:firstLine="0"/>
              <w:jc w:val="center"/>
              <w:rPr>
                <w:rFonts w:ascii="Calibri" w:eastAsia="Times New Roman" w:hAnsi="Calibri" w:cs="Calibri"/>
                <w:b/>
                <w:bCs/>
                <w:sz w:val="22"/>
                <w:lang w:val="de-AT" w:eastAsia="de-AT"/>
              </w:rPr>
            </w:pPr>
            <w:r w:rsidRPr="009A0EA6">
              <w:rPr>
                <w:rFonts w:ascii="Calibri" w:eastAsia="Times New Roman" w:hAnsi="Calibri" w:cs="Calibri"/>
                <w:b/>
                <w:bCs/>
                <w:sz w:val="22"/>
                <w:lang w:val="de-AT" w:eastAsia="de-AT"/>
              </w:rPr>
              <w:t>355</w:t>
            </w:r>
          </w:p>
        </w:tc>
        <w:tc>
          <w:tcPr>
            <w:tcW w:w="1134" w:type="dxa"/>
            <w:tcBorders>
              <w:top w:val="nil"/>
              <w:left w:val="nil"/>
              <w:bottom w:val="single" w:sz="4" w:space="0" w:color="auto"/>
              <w:right w:val="nil"/>
            </w:tcBorders>
            <w:shd w:val="clear" w:color="auto" w:fill="auto"/>
            <w:noWrap/>
            <w:vAlign w:val="center"/>
            <w:hideMark/>
          </w:tcPr>
          <w:p w14:paraId="719C9E10" w14:textId="77777777" w:rsidR="009A0EA6" w:rsidRPr="009A0EA6" w:rsidRDefault="009A0EA6" w:rsidP="009A0EA6">
            <w:pPr>
              <w:spacing w:after="0" w:line="240" w:lineRule="auto"/>
              <w:ind w:firstLine="0"/>
              <w:jc w:val="center"/>
              <w:rPr>
                <w:rFonts w:ascii="Calibri" w:eastAsia="Times New Roman" w:hAnsi="Calibri" w:cs="Calibri"/>
                <w:b/>
                <w:bCs/>
                <w:sz w:val="22"/>
                <w:lang w:val="de-AT" w:eastAsia="de-AT"/>
              </w:rPr>
            </w:pPr>
            <w:r w:rsidRPr="009A0EA6">
              <w:rPr>
                <w:rFonts w:ascii="Calibri" w:eastAsia="Times New Roman" w:hAnsi="Calibri" w:cs="Calibri"/>
                <w:b/>
                <w:bCs/>
                <w:sz w:val="22"/>
                <w:lang w:val="de-AT" w:eastAsia="de-AT"/>
              </w:rPr>
              <w:t>0.2</w:t>
            </w:r>
          </w:p>
        </w:tc>
        <w:tc>
          <w:tcPr>
            <w:tcW w:w="992" w:type="dxa"/>
            <w:tcBorders>
              <w:top w:val="nil"/>
              <w:left w:val="nil"/>
              <w:bottom w:val="single" w:sz="4" w:space="0" w:color="auto"/>
              <w:right w:val="nil"/>
            </w:tcBorders>
            <w:shd w:val="clear" w:color="auto" w:fill="auto"/>
            <w:noWrap/>
            <w:vAlign w:val="center"/>
            <w:hideMark/>
          </w:tcPr>
          <w:p w14:paraId="2068D17D" w14:textId="77777777" w:rsidR="009A0EA6" w:rsidRPr="009A0EA6" w:rsidRDefault="009A0EA6" w:rsidP="009A0EA6">
            <w:pPr>
              <w:spacing w:after="0" w:line="240" w:lineRule="auto"/>
              <w:ind w:firstLine="0"/>
              <w:jc w:val="center"/>
              <w:rPr>
                <w:rFonts w:ascii="Calibri" w:eastAsia="Times New Roman" w:hAnsi="Calibri" w:cs="Calibri"/>
                <w:b/>
                <w:bCs/>
                <w:sz w:val="22"/>
                <w:lang w:val="de-AT" w:eastAsia="de-AT"/>
              </w:rPr>
            </w:pPr>
            <w:r w:rsidRPr="009A0EA6">
              <w:rPr>
                <w:rFonts w:ascii="Calibri" w:eastAsia="Times New Roman" w:hAnsi="Calibri" w:cs="Calibri"/>
                <w:b/>
                <w:bCs/>
                <w:sz w:val="22"/>
                <w:lang w:val="de-AT" w:eastAsia="de-AT"/>
              </w:rPr>
              <w:t>1</w:t>
            </w:r>
          </w:p>
        </w:tc>
        <w:tc>
          <w:tcPr>
            <w:tcW w:w="1062" w:type="dxa"/>
            <w:tcBorders>
              <w:top w:val="nil"/>
              <w:left w:val="nil"/>
              <w:bottom w:val="single" w:sz="4" w:space="0" w:color="auto"/>
              <w:right w:val="nil"/>
            </w:tcBorders>
            <w:shd w:val="clear" w:color="auto" w:fill="auto"/>
            <w:noWrap/>
            <w:vAlign w:val="center"/>
            <w:hideMark/>
          </w:tcPr>
          <w:p w14:paraId="70395DAE" w14:textId="77777777" w:rsidR="009A0EA6" w:rsidRPr="009A0EA6" w:rsidRDefault="009A0EA6" w:rsidP="009A0EA6">
            <w:pPr>
              <w:spacing w:after="0" w:line="240" w:lineRule="auto"/>
              <w:ind w:firstLine="0"/>
              <w:jc w:val="center"/>
              <w:rPr>
                <w:rFonts w:ascii="Calibri" w:eastAsia="Times New Roman" w:hAnsi="Calibri" w:cs="Calibri"/>
                <w:b/>
                <w:bCs/>
                <w:sz w:val="22"/>
                <w:lang w:val="de-AT" w:eastAsia="de-AT"/>
              </w:rPr>
            </w:pPr>
            <w:r w:rsidRPr="009A0EA6">
              <w:rPr>
                <w:rFonts w:ascii="Calibri" w:eastAsia="Times New Roman" w:hAnsi="Calibri" w:cs="Calibri"/>
                <w:b/>
                <w:bCs/>
                <w:sz w:val="22"/>
                <w:lang w:val="de-AT" w:eastAsia="de-AT"/>
              </w:rPr>
              <w:t>0.1</w:t>
            </w:r>
          </w:p>
        </w:tc>
      </w:tr>
    </w:tbl>
    <w:p w14:paraId="31907632" w14:textId="284EE6C8" w:rsidR="009A0EA6" w:rsidRPr="006430E1" w:rsidRDefault="009A0EA6" w:rsidP="00A3791F">
      <w:pPr>
        <w:pStyle w:val="Caption"/>
        <w:ind w:firstLine="0"/>
        <w:rPr>
          <w:i w:val="0"/>
          <w:iCs w:val="0"/>
        </w:rPr>
      </w:pPr>
    </w:p>
    <w:p w14:paraId="1697DF5F" w14:textId="5B60FCA7" w:rsidR="00A3791F" w:rsidRDefault="00A3791F" w:rsidP="00A3791F"/>
    <w:p w14:paraId="32C974E6" w14:textId="2639BD98" w:rsidR="00A3791F" w:rsidRPr="00A3791F" w:rsidRDefault="00A3791F" w:rsidP="00A3791F">
      <w:pPr>
        <w:ind w:firstLine="0"/>
        <w:rPr>
          <w:b/>
          <w:bCs/>
        </w:rPr>
      </w:pPr>
    </w:p>
    <w:sectPr w:rsidR="00A3791F" w:rsidRPr="00A3791F" w:rsidSect="00BB1DB1">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F57B3" w14:textId="77777777" w:rsidR="000A1369" w:rsidRDefault="000A1369" w:rsidP="000A1369">
      <w:pPr>
        <w:spacing w:after="0" w:line="240" w:lineRule="auto"/>
      </w:pPr>
      <w:r>
        <w:separator/>
      </w:r>
    </w:p>
  </w:endnote>
  <w:endnote w:type="continuationSeparator" w:id="0">
    <w:p w14:paraId="1AEB2329" w14:textId="77777777" w:rsidR="000A1369" w:rsidRDefault="000A1369" w:rsidP="000A1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1BC6" w14:textId="7E8D0160" w:rsidR="00BB1DB1" w:rsidRPr="00BB1DB1" w:rsidRDefault="00BB1DB1" w:rsidP="00BB1DB1">
    <w:pPr>
      <w:spacing w:line="360" w:lineRule="auto"/>
      <w:ind w:firstLine="0"/>
      <w:jc w:val="left"/>
      <w:rPr>
        <w:rFonts w:cstheme="minorHAnsi"/>
      </w:rPr>
    </w:pPr>
    <w:r w:rsidRPr="00D13C21">
      <w:rPr>
        <w:rFonts w:cstheme="minorHAnsi"/>
      </w:rPr>
      <w:t>* Correspondence: klemens.kremser@boku.ac.at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544AE" w14:textId="77777777" w:rsidR="000A1369" w:rsidRDefault="000A1369" w:rsidP="000A1369">
      <w:pPr>
        <w:spacing w:after="0" w:line="240" w:lineRule="auto"/>
      </w:pPr>
      <w:r>
        <w:separator/>
      </w:r>
    </w:p>
  </w:footnote>
  <w:footnote w:type="continuationSeparator" w:id="0">
    <w:p w14:paraId="4D3BF086" w14:textId="77777777" w:rsidR="000A1369" w:rsidRDefault="000A1369" w:rsidP="000A13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417D6"/>
    <w:multiLevelType w:val="multilevel"/>
    <w:tmpl w:val="F834681A"/>
    <w:lvl w:ilvl="0">
      <w:start w:val="1"/>
      <w:numFmt w:val="decimal"/>
      <w:pStyle w:val="berschrift1"/>
      <w:lvlText w:val="%1."/>
      <w:lvlJc w:val="left"/>
      <w:pPr>
        <w:ind w:left="2628" w:hanging="360"/>
      </w:pPr>
      <w:rPr>
        <w:rFonts w:hint="default"/>
      </w:rPr>
    </w:lvl>
    <w:lvl w:ilvl="1">
      <w:start w:val="1"/>
      <w:numFmt w:val="decimal"/>
      <w:pStyle w:val="berschrift2"/>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369"/>
    <w:rsid w:val="00022CBF"/>
    <w:rsid w:val="000A1369"/>
    <w:rsid w:val="000B2742"/>
    <w:rsid w:val="000F5C37"/>
    <w:rsid w:val="00104DBA"/>
    <w:rsid w:val="00284E88"/>
    <w:rsid w:val="002C0785"/>
    <w:rsid w:val="00352C6E"/>
    <w:rsid w:val="003B227B"/>
    <w:rsid w:val="004C036F"/>
    <w:rsid w:val="004C47FA"/>
    <w:rsid w:val="006430E1"/>
    <w:rsid w:val="006B4A3B"/>
    <w:rsid w:val="00750AB5"/>
    <w:rsid w:val="0079478E"/>
    <w:rsid w:val="008303D6"/>
    <w:rsid w:val="00882271"/>
    <w:rsid w:val="009656BF"/>
    <w:rsid w:val="009A0EA6"/>
    <w:rsid w:val="00A267D0"/>
    <w:rsid w:val="00A3791F"/>
    <w:rsid w:val="00A42379"/>
    <w:rsid w:val="00B50AA9"/>
    <w:rsid w:val="00BB1DB1"/>
    <w:rsid w:val="00BD45F4"/>
    <w:rsid w:val="00C513C0"/>
    <w:rsid w:val="00DD4209"/>
    <w:rsid w:val="00DE75B1"/>
    <w:rsid w:val="00F15A1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5839B"/>
  <w15:chartTrackingRefBased/>
  <w15:docId w15:val="{C3D16854-F9C5-47C4-A433-7EAC5902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369"/>
    <w:pPr>
      <w:spacing w:line="480" w:lineRule="auto"/>
      <w:ind w:firstLine="284"/>
      <w:jc w:val="both"/>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rschrift1">
    <w:name w:val="Überschrift_1"/>
    <w:basedOn w:val="ListParagraph"/>
    <w:qFormat/>
    <w:rsid w:val="000A1369"/>
    <w:pPr>
      <w:numPr>
        <w:numId w:val="1"/>
      </w:numPr>
      <w:tabs>
        <w:tab w:val="num" w:pos="360"/>
      </w:tabs>
      <w:ind w:left="360" w:firstLine="284"/>
    </w:pPr>
    <w:rPr>
      <w:rFonts w:cs="Arial"/>
      <w:b/>
      <w:szCs w:val="24"/>
    </w:rPr>
  </w:style>
  <w:style w:type="paragraph" w:customStyle="1" w:styleId="berschrift2">
    <w:name w:val="Überschrift_2"/>
    <w:basedOn w:val="ListParagraph"/>
    <w:qFormat/>
    <w:rsid w:val="000A1369"/>
    <w:pPr>
      <w:numPr>
        <w:ilvl w:val="1"/>
        <w:numId w:val="1"/>
      </w:numPr>
      <w:tabs>
        <w:tab w:val="num" w:pos="360"/>
      </w:tabs>
      <w:ind w:left="426" w:firstLine="284"/>
    </w:pPr>
    <w:rPr>
      <w:rFonts w:cs="Times New Roman"/>
      <w:i/>
      <w:szCs w:val="24"/>
    </w:rPr>
  </w:style>
  <w:style w:type="paragraph" w:styleId="ListParagraph">
    <w:name w:val="List Paragraph"/>
    <w:basedOn w:val="Normal"/>
    <w:uiPriority w:val="34"/>
    <w:qFormat/>
    <w:rsid w:val="000A1369"/>
    <w:pPr>
      <w:ind w:left="720"/>
      <w:contextualSpacing/>
    </w:pPr>
  </w:style>
  <w:style w:type="paragraph" w:styleId="Header">
    <w:name w:val="header"/>
    <w:basedOn w:val="Normal"/>
    <w:link w:val="HeaderChar"/>
    <w:uiPriority w:val="99"/>
    <w:unhideWhenUsed/>
    <w:rsid w:val="000A13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369"/>
    <w:rPr>
      <w:rFonts w:ascii="Times New Roman" w:hAnsi="Times New Roman"/>
      <w:sz w:val="24"/>
      <w:lang w:val="en-US"/>
    </w:rPr>
  </w:style>
  <w:style w:type="paragraph" w:styleId="Footer">
    <w:name w:val="footer"/>
    <w:basedOn w:val="Normal"/>
    <w:link w:val="FooterChar"/>
    <w:uiPriority w:val="99"/>
    <w:unhideWhenUsed/>
    <w:rsid w:val="000A13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369"/>
    <w:rPr>
      <w:rFonts w:ascii="Times New Roman" w:hAnsi="Times New Roman"/>
      <w:sz w:val="24"/>
      <w:lang w:val="en-US"/>
    </w:rPr>
  </w:style>
  <w:style w:type="paragraph" w:styleId="Caption">
    <w:name w:val="caption"/>
    <w:basedOn w:val="Normal"/>
    <w:next w:val="Normal"/>
    <w:uiPriority w:val="35"/>
    <w:unhideWhenUsed/>
    <w:qFormat/>
    <w:rsid w:val="00882271"/>
    <w:pPr>
      <w:spacing w:after="200" w:line="240" w:lineRule="auto"/>
    </w:pPr>
    <w:rPr>
      <w:i/>
      <w:iCs/>
      <w:color w:val="44546A" w:themeColor="text2"/>
      <w:sz w:val="18"/>
      <w:szCs w:val="18"/>
    </w:rPr>
  </w:style>
  <w:style w:type="paragraph" w:styleId="Title">
    <w:name w:val="Title"/>
    <w:basedOn w:val="Normal"/>
    <w:next w:val="Normal"/>
    <w:link w:val="TitleChar"/>
    <w:qFormat/>
    <w:rsid w:val="006B4A3B"/>
    <w:pPr>
      <w:suppressLineNumbers/>
      <w:spacing w:before="240" w:after="360" w:line="240" w:lineRule="auto"/>
      <w:ind w:firstLine="0"/>
      <w:jc w:val="center"/>
    </w:pPr>
    <w:rPr>
      <w:rFonts w:cs="Times New Roman"/>
      <w:b/>
      <w:sz w:val="32"/>
      <w:szCs w:val="32"/>
    </w:rPr>
  </w:style>
  <w:style w:type="character" w:customStyle="1" w:styleId="TitleChar">
    <w:name w:val="Title Char"/>
    <w:basedOn w:val="DefaultParagraphFont"/>
    <w:link w:val="Title"/>
    <w:rsid w:val="006B4A3B"/>
    <w:rPr>
      <w:rFonts w:ascii="Times New Roman" w:hAnsi="Times New Roman" w:cs="Times New Roman"/>
      <w:b/>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419</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Sieber Anna</dc:creator>
  <cp:keywords/>
  <dc:description/>
  <cp:lastModifiedBy>Kremser Klemens</cp:lastModifiedBy>
  <cp:revision>18</cp:revision>
  <dcterms:created xsi:type="dcterms:W3CDTF">2023-07-25T11:55:00Z</dcterms:created>
  <dcterms:modified xsi:type="dcterms:W3CDTF">2024-01-12T06:58:00Z</dcterms:modified>
</cp:coreProperties>
</file>