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3158" w14:textId="77777777" w:rsidR="007A601C" w:rsidRPr="00556D76" w:rsidRDefault="00EC7B5B">
      <w:pPr>
        <w:spacing w:line="480" w:lineRule="auto"/>
        <w:jc w:val="both"/>
        <w:rPr>
          <w:rFonts w:ascii="Arial" w:eastAsia="Arial" w:hAnsi="Arial"/>
          <w:b/>
          <w:iCs/>
          <w:color w:val="231F20"/>
          <w:lang w:val="en-GB"/>
        </w:rPr>
      </w:pPr>
      <w:r w:rsidRPr="00556D76">
        <w:rPr>
          <w:rFonts w:ascii="Arial" w:eastAsia="Arial" w:hAnsi="Arial"/>
          <w:b/>
          <w:iCs/>
          <w:color w:val="231F20"/>
          <w:lang w:val="en-GB"/>
        </w:rPr>
        <w:t xml:space="preserve">Supplementary material </w:t>
      </w:r>
    </w:p>
    <w:p w14:paraId="73FCAA26" w14:textId="5ED0B448" w:rsidR="007A601C" w:rsidRDefault="00EC7B5B">
      <w:pPr>
        <w:spacing w:line="480" w:lineRule="auto"/>
        <w:jc w:val="both"/>
        <w:rPr>
          <w:rFonts w:ascii="Arial" w:eastAsia="Arial" w:hAnsi="Arial"/>
          <w:bCs/>
          <w:iCs/>
          <w:color w:val="231F20"/>
          <w:lang w:val="en-GB"/>
        </w:rPr>
      </w:pPr>
      <w:r>
        <w:rPr>
          <w:rFonts w:ascii="Arial" w:eastAsia="Arial" w:hAnsi="Arial"/>
          <w:bCs/>
          <w:iCs/>
          <w:color w:val="231F20"/>
          <w:lang w:val="en-GB"/>
        </w:rPr>
        <w:t xml:space="preserve">The cost calculation methodology, </w:t>
      </w:r>
      <w:r w:rsidR="00835428">
        <w:rPr>
          <w:rFonts w:ascii="Arial" w:eastAsia="Arial" w:hAnsi="Arial"/>
          <w:bCs/>
          <w:iCs/>
          <w:color w:val="231F20"/>
          <w:lang w:val="en-GB"/>
        </w:rPr>
        <w:t xml:space="preserve">the </w:t>
      </w:r>
      <w:r>
        <w:rPr>
          <w:rFonts w:ascii="Arial" w:eastAsia="Arial" w:hAnsi="Arial"/>
          <w:bCs/>
          <w:iCs/>
          <w:color w:val="231F20"/>
          <w:lang w:val="en-GB"/>
        </w:rPr>
        <w:t>definitions of direct</w:t>
      </w:r>
      <w:r w:rsidR="00835428">
        <w:rPr>
          <w:rFonts w:ascii="Arial" w:eastAsia="Arial" w:hAnsi="Arial"/>
          <w:bCs/>
          <w:iCs/>
          <w:color w:val="231F20"/>
          <w:lang w:val="en-GB"/>
        </w:rPr>
        <w:t>/</w:t>
      </w:r>
      <w:r>
        <w:rPr>
          <w:rFonts w:ascii="Arial" w:eastAsia="Arial" w:hAnsi="Arial"/>
          <w:bCs/>
          <w:iCs/>
          <w:color w:val="231F20"/>
          <w:lang w:val="en-GB"/>
        </w:rPr>
        <w:t xml:space="preserve">indirect costs, and </w:t>
      </w:r>
      <w:r w:rsidR="00835428">
        <w:rPr>
          <w:rFonts w:ascii="Arial" w:eastAsia="Arial" w:hAnsi="Arial"/>
          <w:bCs/>
          <w:iCs/>
          <w:color w:val="231F20"/>
          <w:lang w:val="en-GB"/>
        </w:rPr>
        <w:t xml:space="preserve">costs </w:t>
      </w:r>
      <w:r>
        <w:rPr>
          <w:rFonts w:ascii="Arial" w:eastAsia="Arial" w:hAnsi="Arial"/>
          <w:bCs/>
          <w:iCs/>
          <w:color w:val="231F20"/>
          <w:lang w:val="en-GB"/>
        </w:rPr>
        <w:t>differences across the type</w:t>
      </w:r>
      <w:r w:rsidR="00835428">
        <w:rPr>
          <w:rFonts w:ascii="Arial" w:eastAsia="Arial" w:hAnsi="Arial"/>
          <w:bCs/>
          <w:iCs/>
          <w:color w:val="231F20"/>
          <w:lang w:val="en-GB"/>
        </w:rPr>
        <w:t>s</w:t>
      </w:r>
      <w:r>
        <w:rPr>
          <w:rFonts w:ascii="Arial" w:eastAsia="Arial" w:hAnsi="Arial"/>
          <w:bCs/>
          <w:iCs/>
          <w:color w:val="231F20"/>
          <w:lang w:val="en-GB"/>
        </w:rPr>
        <w:t xml:space="preserve"> of treatment</w:t>
      </w:r>
      <w:r w:rsidR="009F3681">
        <w:rPr>
          <w:rFonts w:ascii="Arial" w:eastAsia="Arial" w:hAnsi="Arial"/>
          <w:bCs/>
          <w:iCs/>
          <w:color w:val="231F20"/>
          <w:lang w:val="en-GB"/>
        </w:rPr>
        <w:t>s</w:t>
      </w:r>
      <w:r>
        <w:rPr>
          <w:rFonts w:ascii="Arial" w:eastAsia="Arial" w:hAnsi="Arial"/>
          <w:bCs/>
          <w:iCs/>
          <w:color w:val="231F20"/>
          <w:lang w:val="en-GB"/>
        </w:rPr>
        <w:t xml:space="preserve"> are detailed as follows. </w:t>
      </w:r>
    </w:p>
    <w:p w14:paraId="3F1861F3" w14:textId="77777777" w:rsidR="007A601C" w:rsidRDefault="007A601C">
      <w:pPr>
        <w:spacing w:line="480" w:lineRule="auto"/>
        <w:jc w:val="both"/>
        <w:rPr>
          <w:rFonts w:ascii="Arial" w:eastAsia="Arial" w:hAnsi="Arial"/>
          <w:bCs/>
          <w:iCs/>
          <w:color w:val="231F20"/>
          <w:lang w:val="en-GB"/>
        </w:rPr>
      </w:pPr>
    </w:p>
    <w:p w14:paraId="257281B8" w14:textId="77777777" w:rsidR="007A601C" w:rsidRDefault="00EC7B5B">
      <w:pPr>
        <w:spacing w:line="480" w:lineRule="auto"/>
        <w:jc w:val="both"/>
        <w:rPr>
          <w:lang w:val="en-US"/>
        </w:rPr>
      </w:pPr>
      <w:r>
        <w:rPr>
          <w:rFonts w:ascii="Arial" w:eastAsia="Arial" w:hAnsi="Arial"/>
          <w:bCs/>
          <w:iCs/>
          <w:color w:val="231F20"/>
          <w:lang w:val="en-GB"/>
        </w:rPr>
        <w:t>COST CALCULATION METHODOLOGY</w:t>
      </w:r>
    </w:p>
    <w:p w14:paraId="34E72C89" w14:textId="77777777" w:rsidR="007A601C" w:rsidRDefault="00EC7B5B">
      <w:pPr>
        <w:spacing w:line="480" w:lineRule="auto"/>
        <w:jc w:val="both"/>
        <w:rPr>
          <w:lang w:val="en-US"/>
        </w:rPr>
      </w:pPr>
      <w:r>
        <w:rPr>
          <w:rFonts w:ascii="Arial" w:eastAsia="Arial" w:hAnsi="Arial"/>
          <w:b/>
          <w:i/>
          <w:iCs/>
          <w:lang w:val="en-GB"/>
        </w:rPr>
        <w:t>Definitions</w:t>
      </w:r>
    </w:p>
    <w:p w14:paraId="23A4628E" w14:textId="654AA23D" w:rsidR="007A601C" w:rsidRDefault="00EC7B5B">
      <w:pPr>
        <w:spacing w:line="480" w:lineRule="auto"/>
        <w:jc w:val="both"/>
        <w:rPr>
          <w:lang w:val="en-US"/>
        </w:rPr>
      </w:pPr>
      <w:r>
        <w:rPr>
          <w:rFonts w:ascii="Arial" w:eastAsia="Arial" w:hAnsi="Arial"/>
          <w:i/>
          <w:iCs/>
          <w:lang w:val="en-GB"/>
        </w:rPr>
        <w:t>Direct costs.</w:t>
      </w:r>
      <w:r>
        <w:rPr>
          <w:rFonts w:ascii="Arial" w:eastAsia="Arial" w:hAnsi="Arial"/>
          <w:iCs/>
          <w:lang w:val="en-GB"/>
        </w:rPr>
        <w:t xml:space="preserve"> Costs directly </w:t>
      </w:r>
      <w:r>
        <w:rPr>
          <w:rFonts w:ascii="Arial" w:eastAsia="Arial" w:hAnsi="Arial"/>
          <w:bCs/>
          <w:iCs/>
          <w:lang w:val="en-GB"/>
        </w:rPr>
        <w:t xml:space="preserve">related to </w:t>
      </w:r>
      <w:r>
        <w:rPr>
          <w:rFonts w:ascii="Arial" w:eastAsia="Arial" w:hAnsi="Arial"/>
          <w:iCs/>
          <w:lang w:val="en-GB"/>
        </w:rPr>
        <w:t>dialysis treatment (</w:t>
      </w:r>
      <w:r w:rsidR="00835428">
        <w:rPr>
          <w:rFonts w:ascii="Arial" w:eastAsia="Arial" w:hAnsi="Arial"/>
          <w:iCs/>
          <w:lang w:val="en-GB"/>
        </w:rPr>
        <w:t xml:space="preserve">including </w:t>
      </w:r>
      <w:r>
        <w:rPr>
          <w:rFonts w:ascii="Arial" w:eastAsia="Arial" w:hAnsi="Arial"/>
          <w:iCs/>
          <w:lang w:val="en-GB"/>
        </w:rPr>
        <w:t>dialysis consumables, healthcare staff, medication</w:t>
      </w:r>
      <w:r w:rsidR="004F0F62">
        <w:rPr>
          <w:rFonts w:ascii="Arial" w:eastAsia="Arial" w:hAnsi="Arial"/>
          <w:iCs/>
          <w:lang w:val="en-GB"/>
        </w:rPr>
        <w:t xml:space="preserve"> provided by the centralised pharmacy service</w:t>
      </w:r>
      <w:r>
        <w:rPr>
          <w:rFonts w:ascii="Arial" w:eastAsia="Arial" w:hAnsi="Arial"/>
          <w:iCs/>
          <w:lang w:val="en-GB"/>
        </w:rPr>
        <w:t xml:space="preserve">, supplies and storage costs of dialysis consumables). Direct costs of dialysis consumables were derived from the prices of the </w:t>
      </w:r>
      <w:r w:rsidR="004F0F62">
        <w:rPr>
          <w:rFonts w:ascii="Arial" w:eastAsia="Arial" w:hAnsi="Arial"/>
          <w:iCs/>
          <w:lang w:val="en-GB"/>
        </w:rPr>
        <w:t>supply’s</w:t>
      </w:r>
      <w:r>
        <w:rPr>
          <w:rFonts w:ascii="Arial" w:eastAsia="Arial" w:hAnsi="Arial"/>
          <w:iCs/>
          <w:lang w:val="en-GB"/>
        </w:rPr>
        <w:t xml:space="preserve"> contracts </w:t>
      </w:r>
      <w:r>
        <w:rPr>
          <w:rFonts w:ascii="Arial" w:eastAsia="Arial" w:hAnsi="Arial"/>
          <w:bCs/>
          <w:iCs/>
          <w:lang w:val="en-GB"/>
        </w:rPr>
        <w:t>divided</w:t>
      </w:r>
      <w:r>
        <w:rPr>
          <w:rFonts w:ascii="Arial" w:eastAsia="Arial" w:hAnsi="Arial"/>
          <w:iCs/>
          <w:lang w:val="en-GB"/>
        </w:rPr>
        <w:t xml:space="preserve"> by the number of procedures delivered</w:t>
      </w:r>
      <w:r w:rsidR="00835428">
        <w:rPr>
          <w:rFonts w:ascii="Arial" w:eastAsia="Arial" w:hAnsi="Arial"/>
          <w:iCs/>
          <w:lang w:val="en-GB"/>
        </w:rPr>
        <w:t>/year</w:t>
      </w:r>
      <w:r>
        <w:rPr>
          <w:rFonts w:ascii="Arial" w:eastAsia="Arial" w:hAnsi="Arial"/>
          <w:iCs/>
          <w:lang w:val="en-GB"/>
        </w:rPr>
        <w:t>. Healthcare staff costs were extrapolated from the gross salaries of each staff member (physicians, nurses, other healthcare workers) and</w:t>
      </w:r>
      <w:r>
        <w:rPr>
          <w:rFonts w:ascii="Arial" w:eastAsia="Arial" w:hAnsi="Arial"/>
          <w:bCs/>
          <w:iCs/>
          <w:lang w:val="en-GB"/>
        </w:rPr>
        <w:t xml:space="preserve"> </w:t>
      </w:r>
      <w:r w:rsidR="00835428">
        <w:rPr>
          <w:rFonts w:ascii="Arial" w:eastAsia="Arial" w:hAnsi="Arial"/>
          <w:bCs/>
          <w:iCs/>
          <w:lang w:val="en-GB"/>
        </w:rPr>
        <w:t xml:space="preserve">they </w:t>
      </w:r>
      <w:r>
        <w:rPr>
          <w:rFonts w:ascii="Arial" w:eastAsia="Arial" w:hAnsi="Arial"/>
          <w:bCs/>
          <w:iCs/>
          <w:lang w:val="en-GB"/>
        </w:rPr>
        <w:t xml:space="preserve">were calculated based on </w:t>
      </w:r>
      <w:r>
        <w:rPr>
          <w:rFonts w:ascii="Arial" w:eastAsia="Arial" w:hAnsi="Arial"/>
          <w:iCs/>
          <w:lang w:val="en-GB"/>
        </w:rPr>
        <w:t xml:space="preserve">the </w:t>
      </w:r>
      <w:r>
        <w:rPr>
          <w:rFonts w:ascii="Arial" w:eastAsia="Arial" w:hAnsi="Arial"/>
          <w:bCs/>
          <w:iCs/>
          <w:lang w:val="en-GB"/>
        </w:rPr>
        <w:t xml:space="preserve">amount of </w:t>
      </w:r>
      <w:r>
        <w:rPr>
          <w:rFonts w:ascii="Arial" w:eastAsia="Arial" w:hAnsi="Arial"/>
          <w:iCs/>
          <w:lang w:val="en-GB"/>
        </w:rPr>
        <w:t xml:space="preserve">time that was </w:t>
      </w:r>
      <w:r w:rsidR="004F0F62">
        <w:rPr>
          <w:rFonts w:ascii="Arial" w:eastAsia="Arial" w:hAnsi="Arial"/>
          <w:iCs/>
          <w:lang w:val="en-GB"/>
        </w:rPr>
        <w:t xml:space="preserve">dedicated </w:t>
      </w:r>
      <w:r>
        <w:rPr>
          <w:rFonts w:ascii="Arial" w:eastAsia="Arial" w:hAnsi="Arial"/>
          <w:iCs/>
          <w:lang w:val="en-GB"/>
        </w:rPr>
        <w:t xml:space="preserve">to each dialysis program. </w:t>
      </w:r>
      <w:r>
        <w:rPr>
          <w:rFonts w:ascii="Arial" w:hAnsi="Arial"/>
          <w:color w:val="000000"/>
          <w:shd w:val="clear" w:color="auto" w:fill="FFFFFF"/>
          <w:lang w:val="en-GB"/>
        </w:rPr>
        <w:t xml:space="preserve">The consumables storage warehouse for </w:t>
      </w:r>
      <w:r>
        <w:rPr>
          <w:rFonts w:ascii="Arial" w:hAnsi="Arial"/>
          <w:bCs/>
          <w:color w:val="000000"/>
          <w:shd w:val="clear" w:color="auto" w:fill="FFFFFF"/>
          <w:lang w:val="en-GB"/>
        </w:rPr>
        <w:t xml:space="preserve">IC-HD </w:t>
      </w:r>
      <w:r>
        <w:rPr>
          <w:rFonts w:ascii="Arial" w:hAnsi="Arial"/>
          <w:color w:val="000000"/>
          <w:shd w:val="clear" w:color="auto" w:fill="FFFFFF"/>
          <w:lang w:val="en-GB"/>
        </w:rPr>
        <w:t xml:space="preserve">is </w:t>
      </w:r>
      <w:r w:rsidR="004F0F62">
        <w:rPr>
          <w:rFonts w:ascii="Arial" w:hAnsi="Arial"/>
          <w:color w:val="000000"/>
          <w:shd w:val="clear" w:color="auto" w:fill="FFFFFF"/>
          <w:lang w:val="en-GB"/>
        </w:rPr>
        <w:t>outsourced t</w:t>
      </w:r>
      <w:r>
        <w:rPr>
          <w:rFonts w:ascii="Arial" w:hAnsi="Arial"/>
          <w:color w:val="000000"/>
          <w:shd w:val="clear" w:color="auto" w:fill="FFFFFF"/>
          <w:lang w:val="en-GB"/>
        </w:rPr>
        <w:t xml:space="preserve">o a private management </w:t>
      </w:r>
      <w:r>
        <w:rPr>
          <w:rFonts w:ascii="Arial" w:hAnsi="Arial"/>
          <w:bCs/>
          <w:color w:val="000000"/>
          <w:shd w:val="clear" w:color="auto" w:fill="FFFFFF"/>
          <w:lang w:val="en-GB"/>
        </w:rPr>
        <w:t xml:space="preserve">firm </w:t>
      </w:r>
      <w:r>
        <w:rPr>
          <w:rFonts w:ascii="Arial" w:hAnsi="Arial"/>
          <w:color w:val="000000"/>
          <w:shd w:val="clear" w:color="auto" w:fill="FFFFFF"/>
          <w:lang w:val="en-GB"/>
        </w:rPr>
        <w:t xml:space="preserve">that also provides the daily supply of consumables </w:t>
      </w:r>
      <w:r>
        <w:rPr>
          <w:rFonts w:ascii="Arial" w:hAnsi="Arial"/>
          <w:bCs/>
          <w:color w:val="000000"/>
          <w:shd w:val="clear" w:color="auto" w:fill="FFFFFF"/>
          <w:lang w:val="en-GB"/>
        </w:rPr>
        <w:t>to</w:t>
      </w:r>
      <w:r>
        <w:rPr>
          <w:rFonts w:ascii="Arial" w:hAnsi="Arial"/>
          <w:color w:val="000000"/>
          <w:shd w:val="clear" w:color="auto" w:fill="FFFFFF"/>
          <w:lang w:val="en-GB"/>
        </w:rPr>
        <w:t xml:space="preserve"> the dialysis </w:t>
      </w:r>
      <w:r w:rsidR="00835428">
        <w:rPr>
          <w:rFonts w:ascii="Arial" w:hAnsi="Arial"/>
          <w:color w:val="000000"/>
          <w:shd w:val="clear" w:color="auto" w:fill="FFFFFF"/>
          <w:lang w:val="en-GB"/>
        </w:rPr>
        <w:t>c</w:t>
      </w:r>
      <w:r w:rsidR="00835428">
        <w:rPr>
          <w:rFonts w:ascii="Arial" w:hAnsi="Arial"/>
          <w:bCs/>
          <w:color w:val="000000"/>
          <w:shd w:val="clear" w:color="auto" w:fill="FFFFFF"/>
          <w:lang w:val="en-GB"/>
        </w:rPr>
        <w:t>entre</w:t>
      </w:r>
      <w:r>
        <w:rPr>
          <w:rFonts w:ascii="Arial" w:hAnsi="Arial"/>
          <w:color w:val="000000"/>
          <w:shd w:val="clear" w:color="auto" w:fill="FFFFFF"/>
          <w:lang w:val="en-GB"/>
        </w:rPr>
        <w:t>.</w:t>
      </w:r>
    </w:p>
    <w:p w14:paraId="5C9D5298" w14:textId="068C3C16" w:rsidR="0090168C" w:rsidRDefault="0090168C">
      <w:pPr>
        <w:spacing w:line="480" w:lineRule="auto"/>
        <w:jc w:val="both"/>
        <w:rPr>
          <w:rFonts w:ascii="Arial" w:hAnsi="Arial"/>
          <w:color w:val="222222"/>
          <w:shd w:val="clear" w:color="auto" w:fill="FFFFFF"/>
          <w:lang w:val="en-US"/>
        </w:rPr>
      </w:pPr>
      <w:r w:rsidRPr="001C0DEA">
        <w:rPr>
          <w:rFonts w:ascii="Arial" w:hAnsi="Arial"/>
          <w:color w:val="222222"/>
          <w:shd w:val="clear" w:color="auto" w:fill="FFFFFF"/>
          <w:lang w:val="en-US"/>
        </w:rPr>
        <w:t xml:space="preserve">The costs of the nursing staff (beside nursing service directly employed by the San Giovanni Bosco Hub Hospital) </w:t>
      </w:r>
      <w:r w:rsidR="009F3681" w:rsidRPr="001C0DEA">
        <w:rPr>
          <w:rFonts w:ascii="Arial" w:hAnsi="Arial"/>
          <w:color w:val="222222"/>
          <w:shd w:val="clear" w:color="auto" w:fill="FFFFFF"/>
          <w:lang w:val="en-US"/>
        </w:rPr>
        <w:t xml:space="preserve">included </w:t>
      </w:r>
      <w:r w:rsidRPr="001C0DEA">
        <w:rPr>
          <w:rFonts w:ascii="Arial" w:hAnsi="Arial"/>
          <w:color w:val="222222"/>
          <w:shd w:val="clear" w:color="auto" w:fill="FFFFFF"/>
          <w:lang w:val="en-US"/>
        </w:rPr>
        <w:t>those outsourced to a private service</w:t>
      </w:r>
      <w:r>
        <w:rPr>
          <w:rFonts w:ascii="Arial" w:hAnsi="Arial"/>
          <w:color w:val="222222"/>
          <w:shd w:val="clear" w:color="auto" w:fill="FFFFFF"/>
          <w:lang w:val="en-US"/>
        </w:rPr>
        <w:t>.</w:t>
      </w:r>
      <w:r w:rsidRPr="001C0DEA">
        <w:rPr>
          <w:rFonts w:ascii="Arial" w:hAnsi="Arial"/>
          <w:color w:val="222222"/>
          <w:shd w:val="clear" w:color="auto" w:fill="FFFFFF"/>
          <w:lang w:val="en-US"/>
        </w:rPr>
        <w:t xml:space="preserve"> The </w:t>
      </w:r>
      <w:r>
        <w:rPr>
          <w:rFonts w:ascii="Arial" w:hAnsi="Arial"/>
          <w:color w:val="222222"/>
          <w:shd w:val="clear" w:color="auto" w:fill="FFFFFF"/>
          <w:lang w:val="en-US"/>
        </w:rPr>
        <w:t>private</w:t>
      </w:r>
      <w:r w:rsidR="00835428">
        <w:rPr>
          <w:rFonts w:ascii="Arial" w:hAnsi="Arial"/>
          <w:color w:val="222222"/>
          <w:shd w:val="clear" w:color="auto" w:fill="FFFFFF"/>
          <w:lang w:val="en-US"/>
        </w:rPr>
        <w:t>ly</w:t>
      </w:r>
      <w:r>
        <w:rPr>
          <w:rFonts w:ascii="Arial" w:hAnsi="Arial"/>
          <w:color w:val="222222"/>
          <w:shd w:val="clear" w:color="auto" w:fill="FFFFFF"/>
          <w:lang w:val="en-US"/>
        </w:rPr>
        <w:t xml:space="preserve"> outsourced </w:t>
      </w:r>
      <w:r w:rsidR="00835428">
        <w:rPr>
          <w:rFonts w:ascii="Arial" w:hAnsi="Arial"/>
          <w:color w:val="222222"/>
          <w:shd w:val="clear" w:color="auto" w:fill="FFFFFF"/>
          <w:lang w:val="en-US"/>
        </w:rPr>
        <w:t xml:space="preserve">nursing staff </w:t>
      </w:r>
      <w:r w:rsidRPr="001C0DEA">
        <w:rPr>
          <w:rFonts w:ascii="Arial" w:hAnsi="Arial"/>
          <w:color w:val="222222"/>
          <w:shd w:val="clear" w:color="auto" w:fill="FFFFFF"/>
          <w:lang w:val="en-US"/>
        </w:rPr>
        <w:t>manages approximately half of IC-HD patients.</w:t>
      </w:r>
      <w:r w:rsidR="003E018C">
        <w:rPr>
          <w:rFonts w:ascii="Arial" w:hAnsi="Arial"/>
          <w:color w:val="222222"/>
          <w:shd w:val="clear" w:color="auto" w:fill="FFFFFF"/>
          <w:lang w:val="en-US"/>
        </w:rPr>
        <w:t xml:space="preserve"> When referring to the home dialysis, the </w:t>
      </w:r>
      <w:r w:rsidR="003E018C">
        <w:rPr>
          <w:rFonts w:ascii="Arial" w:hAnsi="Arial"/>
          <w:color w:val="222222"/>
          <w:lang w:val="en-US"/>
        </w:rPr>
        <w:t xml:space="preserve">remote assistance and management was related to the APD only. The nursing staff involved in the activities was directly </w:t>
      </w:r>
      <w:r w:rsidR="003E018C">
        <w:rPr>
          <w:rFonts w:ascii="Arial" w:hAnsi="Arial"/>
          <w:color w:val="222222"/>
          <w:shd w:val="clear" w:color="auto" w:fill="FFFFFF"/>
          <w:lang w:val="en-US"/>
        </w:rPr>
        <w:t>employed by the San Giovanni Bosco Hub Hospital</w:t>
      </w:r>
      <w:r w:rsidR="003E018C">
        <w:rPr>
          <w:rFonts w:ascii="Arial" w:hAnsi="Arial"/>
          <w:color w:val="222222"/>
          <w:lang w:val="en-US"/>
        </w:rPr>
        <w:t xml:space="preserve">. At the time of study, 13 patients were receiving APD. Due to these motivations, the remote assistance and management was conducted as iso-resource with no additional costs. </w:t>
      </w:r>
    </w:p>
    <w:p w14:paraId="1AD92E02" w14:textId="2C9AC5EA" w:rsidR="009F3681" w:rsidRDefault="00EC7B5B">
      <w:pPr>
        <w:spacing w:line="480" w:lineRule="auto"/>
        <w:jc w:val="both"/>
        <w:rPr>
          <w:rFonts w:ascii="Arial" w:eastAsia="Arial" w:hAnsi="Arial"/>
          <w:iCs/>
          <w:lang w:val="en-GB"/>
        </w:rPr>
      </w:pPr>
      <w:r>
        <w:rPr>
          <w:rFonts w:ascii="Arial" w:eastAsia="Arial" w:hAnsi="Arial"/>
          <w:i/>
          <w:iCs/>
          <w:lang w:val="en-GB"/>
        </w:rPr>
        <w:lastRenderedPageBreak/>
        <w:t>Indirect costs</w:t>
      </w:r>
      <w:r>
        <w:rPr>
          <w:rFonts w:ascii="Arial" w:eastAsia="Arial" w:hAnsi="Arial"/>
          <w:iCs/>
          <w:lang w:val="en-GB"/>
        </w:rPr>
        <w:t xml:space="preserve">. </w:t>
      </w:r>
      <w:r w:rsidR="009F3681" w:rsidRPr="009F3681">
        <w:rPr>
          <w:rFonts w:ascii="Arial" w:eastAsia="Arial" w:hAnsi="Arial" w:hint="eastAsia"/>
          <w:iCs/>
          <w:lang w:val="en-GB"/>
        </w:rPr>
        <w:t xml:space="preserve">Maintenance costs for dialysis or other costs that enable treatment but are not directly related to the procedure (such as transportation costs and general administrative costs as well as costs related to the dialysis facility's </w:t>
      </w:r>
      <w:r w:rsidR="009F3681" w:rsidRPr="009F3681">
        <w:rPr>
          <w:rFonts w:ascii="Arial" w:eastAsia="Arial" w:hAnsi="Arial"/>
          <w:iCs/>
          <w:lang w:val="en-GB"/>
        </w:rPr>
        <w:t>maintenance</w:t>
      </w:r>
      <w:r w:rsidR="009F3681" w:rsidRPr="009F3681">
        <w:rPr>
          <w:rFonts w:ascii="Arial" w:eastAsia="Arial" w:hAnsi="Arial" w:hint="eastAsia"/>
          <w:iCs/>
          <w:lang w:val="en-GB"/>
        </w:rPr>
        <w:t>, such as those related to power and water supply, heating, and cleaning supplies)</w:t>
      </w:r>
      <w:r>
        <w:rPr>
          <w:rFonts w:ascii="Arial" w:eastAsia="Arial" w:hAnsi="Arial"/>
          <w:iCs/>
          <w:lang w:val="en-GB"/>
        </w:rPr>
        <w:t xml:space="preserve">. </w:t>
      </w:r>
    </w:p>
    <w:p w14:paraId="7C898523" w14:textId="259A76FE" w:rsidR="007A601C" w:rsidRDefault="00835428">
      <w:pPr>
        <w:spacing w:line="480" w:lineRule="auto"/>
        <w:jc w:val="both"/>
        <w:rPr>
          <w:lang w:val="en-US"/>
        </w:rPr>
      </w:pPr>
      <w:r w:rsidRPr="00556D76">
        <w:rPr>
          <w:rFonts w:ascii="Arial" w:hAnsi="Arial"/>
          <w:color w:val="222222"/>
          <w:shd w:val="clear" w:color="auto" w:fill="FFFFFF"/>
          <w:lang w:val="en-US"/>
        </w:rPr>
        <w:t>The all-inclusive maintenance costs of the dialysis facility and the cost</w:t>
      </w:r>
      <w:r>
        <w:rPr>
          <w:rFonts w:ascii="Arial" w:hAnsi="Arial"/>
          <w:color w:val="222222"/>
          <w:shd w:val="clear" w:color="auto" w:fill="FFFFFF"/>
          <w:lang w:val="en-US"/>
        </w:rPr>
        <w:t>s</w:t>
      </w:r>
      <w:r w:rsidRPr="00556D76">
        <w:rPr>
          <w:rFonts w:ascii="Arial" w:hAnsi="Arial"/>
          <w:color w:val="222222"/>
          <w:shd w:val="clear" w:color="auto" w:fill="FFFFFF"/>
          <w:lang w:val="en-US"/>
        </w:rPr>
        <w:t xml:space="preserve"> of administrative staff were </w:t>
      </w:r>
      <w:r>
        <w:rPr>
          <w:rFonts w:ascii="Arial" w:hAnsi="Arial"/>
          <w:color w:val="222222"/>
          <w:shd w:val="clear" w:color="auto" w:fill="FFFFFF"/>
          <w:lang w:val="en-US"/>
        </w:rPr>
        <w:t xml:space="preserve">computed as provided by the </w:t>
      </w:r>
      <w:r w:rsidRPr="00556D76">
        <w:rPr>
          <w:rFonts w:ascii="Arial" w:hAnsi="Arial"/>
          <w:color w:val="222222"/>
          <w:shd w:val="clear" w:color="auto" w:fill="FFFFFF"/>
          <w:lang w:val="en-US"/>
        </w:rPr>
        <w:t>hospital's economic and financial management</w:t>
      </w:r>
      <w:r>
        <w:rPr>
          <w:rFonts w:ascii="Arial" w:hAnsi="Arial"/>
          <w:color w:val="222222"/>
          <w:shd w:val="clear" w:color="auto" w:fill="FFFFFF"/>
          <w:lang w:val="en-US"/>
        </w:rPr>
        <w:t xml:space="preserve"> office and calculated for the study period</w:t>
      </w:r>
      <w:r>
        <w:rPr>
          <w:rFonts w:ascii="Arial" w:eastAsia="Arial" w:hAnsi="Arial"/>
          <w:iCs/>
          <w:lang w:val="en-GB"/>
        </w:rPr>
        <w:t>. The cost</w:t>
      </w:r>
      <w:r w:rsidR="009F3681">
        <w:rPr>
          <w:rFonts w:ascii="Arial" w:eastAsia="Arial" w:hAnsi="Arial"/>
          <w:iCs/>
          <w:lang w:val="en-GB"/>
        </w:rPr>
        <w:t>s</w:t>
      </w:r>
      <w:r>
        <w:rPr>
          <w:rFonts w:ascii="Arial" w:eastAsia="Arial" w:hAnsi="Arial"/>
          <w:iCs/>
          <w:lang w:val="en-GB"/>
        </w:rPr>
        <w:t xml:space="preserve"> of transportation w</w:t>
      </w:r>
      <w:r w:rsidR="009F3681">
        <w:rPr>
          <w:rFonts w:ascii="Arial" w:eastAsia="Arial" w:hAnsi="Arial"/>
          <w:iCs/>
          <w:lang w:val="en-GB"/>
        </w:rPr>
        <w:t xml:space="preserve">ere </w:t>
      </w:r>
      <w:r>
        <w:rPr>
          <w:rFonts w:ascii="Arial" w:eastAsia="Arial" w:hAnsi="Arial"/>
          <w:iCs/>
          <w:lang w:val="en-GB"/>
        </w:rPr>
        <w:t>obtained</w:t>
      </w:r>
      <w:r>
        <w:rPr>
          <w:rFonts w:ascii="Arial" w:eastAsia="Arial" w:hAnsi="Arial"/>
          <w:bCs/>
          <w:iCs/>
          <w:lang w:val="en-GB"/>
        </w:rPr>
        <w:t xml:space="preserve"> on </w:t>
      </w:r>
      <w:r w:rsidRPr="00656945">
        <w:rPr>
          <w:rFonts w:ascii="Arial" w:eastAsia="Arial" w:hAnsi="Arial"/>
          <w:bCs/>
          <w:iCs/>
          <w:lang w:val="en-GB"/>
        </w:rPr>
        <w:t>the basis of</w:t>
      </w:r>
      <w:r w:rsidRPr="00656945">
        <w:rPr>
          <w:rFonts w:ascii="Arial" w:eastAsia="Arial" w:hAnsi="Arial"/>
          <w:iCs/>
          <w:lang w:val="en-GB"/>
        </w:rPr>
        <w:t xml:space="preserve"> the number of transports </w:t>
      </w:r>
      <w:r w:rsidRPr="00656945">
        <w:rPr>
          <w:rFonts w:ascii="Arial" w:eastAsia="Arial" w:hAnsi="Arial"/>
          <w:bCs/>
          <w:iCs/>
          <w:lang w:val="en-GB"/>
        </w:rPr>
        <w:t xml:space="preserve">that were provided </w:t>
      </w:r>
      <w:r w:rsidRPr="00656945">
        <w:rPr>
          <w:rFonts w:ascii="Arial" w:eastAsia="Arial" w:hAnsi="Arial"/>
          <w:iCs/>
          <w:lang w:val="en-GB"/>
        </w:rPr>
        <w:t xml:space="preserve">to and from the dialysis Centre in </w:t>
      </w:r>
      <w:r w:rsidR="00EC7B5B" w:rsidRPr="00656945">
        <w:rPr>
          <w:rFonts w:ascii="Arial" w:eastAsia="Arial" w:hAnsi="Arial"/>
          <w:iCs/>
          <w:lang w:val="en-GB"/>
        </w:rPr>
        <w:t>2019</w:t>
      </w:r>
      <w:r w:rsidRPr="00656945">
        <w:rPr>
          <w:rFonts w:ascii="Arial" w:eastAsia="Arial" w:hAnsi="Arial"/>
          <w:iCs/>
          <w:lang w:val="en-GB"/>
        </w:rPr>
        <w:t xml:space="preserve"> subdivided</w:t>
      </w:r>
      <w:r>
        <w:rPr>
          <w:rFonts w:ascii="Arial" w:eastAsia="Arial" w:hAnsi="Arial"/>
          <w:iCs/>
          <w:lang w:val="en-GB"/>
        </w:rPr>
        <w:t xml:space="preserve"> </w:t>
      </w:r>
      <w:r w:rsidR="009F3681">
        <w:rPr>
          <w:rFonts w:ascii="Arial" w:eastAsia="Arial" w:hAnsi="Arial"/>
          <w:iCs/>
          <w:lang w:val="en-GB"/>
        </w:rPr>
        <w:t xml:space="preserve">across the </w:t>
      </w:r>
      <w:r>
        <w:rPr>
          <w:rFonts w:ascii="Arial" w:eastAsia="Arial" w:hAnsi="Arial"/>
          <w:iCs/>
          <w:lang w:val="en-GB"/>
        </w:rPr>
        <w:t>dialysis modalit</w:t>
      </w:r>
      <w:r w:rsidR="009F3681">
        <w:rPr>
          <w:rFonts w:ascii="Arial" w:eastAsia="Arial" w:hAnsi="Arial"/>
          <w:iCs/>
          <w:lang w:val="en-GB"/>
        </w:rPr>
        <w:t>ies</w:t>
      </w:r>
      <w:r>
        <w:rPr>
          <w:rFonts w:ascii="Arial" w:eastAsia="Arial" w:hAnsi="Arial"/>
          <w:iCs/>
          <w:lang w:val="en-GB"/>
        </w:rPr>
        <w:t xml:space="preserve">. </w:t>
      </w:r>
    </w:p>
    <w:p w14:paraId="42C59D1B" w14:textId="606757D8" w:rsidR="007A601C" w:rsidRDefault="00EC7B5B">
      <w:pPr>
        <w:spacing w:line="480" w:lineRule="auto"/>
        <w:jc w:val="both"/>
        <w:rPr>
          <w:lang w:val="en-US"/>
        </w:rPr>
      </w:pPr>
      <w:r>
        <w:rPr>
          <w:rFonts w:ascii="Arial" w:eastAsia="Arial" w:hAnsi="Arial"/>
          <w:bCs/>
          <w:lang w:val="en-GB"/>
        </w:rPr>
        <w:t>The average cost of consumables required for a single dialysis session was obtained dividing the total cost</w:t>
      </w:r>
      <w:r w:rsidR="009F3681">
        <w:rPr>
          <w:rFonts w:ascii="Arial" w:eastAsia="Arial" w:hAnsi="Arial"/>
          <w:bCs/>
          <w:lang w:val="en-GB"/>
        </w:rPr>
        <w:t>s</w:t>
      </w:r>
      <w:r>
        <w:rPr>
          <w:rFonts w:ascii="Arial" w:eastAsia="Arial" w:hAnsi="Arial"/>
          <w:bCs/>
          <w:lang w:val="en-GB"/>
        </w:rPr>
        <w:t xml:space="preserve"> of materials </w:t>
      </w:r>
      <w:r w:rsidR="009F3681">
        <w:rPr>
          <w:rFonts w:ascii="Arial" w:eastAsia="Arial" w:hAnsi="Arial"/>
          <w:bCs/>
          <w:lang w:val="en-GB"/>
        </w:rPr>
        <w:t xml:space="preserve">as indicated by the </w:t>
      </w:r>
      <w:r>
        <w:rPr>
          <w:rFonts w:ascii="Arial" w:eastAsia="Arial" w:hAnsi="Arial"/>
          <w:bCs/>
          <w:lang w:val="en-GB"/>
        </w:rPr>
        <w:t xml:space="preserve">supply contracts by the number of dialysis sessions budgeted in </w:t>
      </w:r>
      <w:r w:rsidR="009F3681">
        <w:rPr>
          <w:rFonts w:ascii="Arial" w:eastAsia="Arial" w:hAnsi="Arial"/>
          <w:bCs/>
          <w:lang w:val="en-GB"/>
        </w:rPr>
        <w:t xml:space="preserve">the </w:t>
      </w:r>
      <w:r>
        <w:rPr>
          <w:rFonts w:ascii="Arial" w:eastAsia="Arial" w:hAnsi="Arial"/>
          <w:bCs/>
          <w:lang w:val="en-GB"/>
        </w:rPr>
        <w:t xml:space="preserve">supply contracts for each dialysis modality.  </w:t>
      </w:r>
    </w:p>
    <w:p w14:paraId="03F7F223" w14:textId="08477E04" w:rsidR="00827DCA" w:rsidRDefault="00827DCA">
      <w:pPr>
        <w:spacing w:line="480" w:lineRule="auto"/>
        <w:jc w:val="both"/>
        <w:rPr>
          <w:lang w:val="en-US"/>
        </w:rPr>
      </w:pPr>
      <w:r w:rsidRPr="00827DCA">
        <w:rPr>
          <w:rFonts w:ascii="Arial" w:eastAsia="Arial" w:hAnsi="Arial" w:hint="eastAsia"/>
          <w:bCs/>
          <w:lang w:val="en-GB"/>
        </w:rPr>
        <w:t>The yearly cost of each expenditure item was divided by the number of dialysis sessions completed during the analysis period to get the average cost per single session for dialysis monitors and balance beds, warehousing costs, staff costs, prescription costs, and maintenance costs.</w:t>
      </w:r>
      <w:r>
        <w:rPr>
          <w:rFonts w:ascii="Arial" w:eastAsia="Arial" w:hAnsi="Arial"/>
          <w:bCs/>
          <w:lang w:val="en-GB"/>
        </w:rPr>
        <w:t xml:space="preserve"> For peritoneal dialysis (CAPD and APD), a</w:t>
      </w:r>
      <w:r w:rsidRPr="00827DCA">
        <w:rPr>
          <w:rFonts w:ascii="Arial" w:eastAsia="Arial" w:hAnsi="Arial" w:hint="eastAsia"/>
          <w:bCs/>
          <w:lang w:val="en-GB"/>
        </w:rPr>
        <w:t>s the contract for the provision of consumables stipulates a flat-rate cost per day regardless of the amount and kind of fluids used, retaining the distinction between CAPD and APD, the cost of the entire treatment day was taken into account.</w:t>
      </w:r>
    </w:p>
    <w:p w14:paraId="51E730C4" w14:textId="77777777" w:rsidR="007A601C" w:rsidRDefault="007A601C">
      <w:pPr>
        <w:spacing w:line="480" w:lineRule="auto"/>
        <w:jc w:val="both"/>
        <w:rPr>
          <w:rFonts w:ascii="Arial" w:eastAsia="Arial" w:hAnsi="Arial"/>
          <w:bCs/>
          <w:u w:val="single"/>
          <w:lang w:val="en-GB"/>
        </w:rPr>
      </w:pPr>
    </w:p>
    <w:p w14:paraId="1EE4401C" w14:textId="77777777" w:rsidR="0090168C" w:rsidRDefault="0090168C" w:rsidP="0090168C">
      <w:pPr>
        <w:spacing w:line="480" w:lineRule="auto"/>
        <w:jc w:val="both"/>
        <w:rPr>
          <w:lang w:val="en-US"/>
        </w:rPr>
      </w:pPr>
      <w:r>
        <w:rPr>
          <w:rFonts w:ascii="Arial" w:eastAsia="Arial" w:hAnsi="Arial"/>
          <w:b/>
          <w:lang w:val="en-GB"/>
        </w:rPr>
        <w:t xml:space="preserve">Identifying </w:t>
      </w:r>
      <w:r>
        <w:rPr>
          <w:rFonts w:ascii="Arial" w:eastAsia="Arial" w:hAnsi="Arial"/>
          <w:b/>
          <w:iCs/>
          <w:lang w:val="en-GB"/>
        </w:rPr>
        <w:t>the average cost of the specific treatment modality</w:t>
      </w:r>
      <w:r>
        <w:rPr>
          <w:rFonts w:ascii="Arial" w:eastAsia="Arial" w:hAnsi="Arial"/>
          <w:b/>
          <w:bCs/>
          <w:lang w:val="en-GB"/>
        </w:rPr>
        <w:t xml:space="preserve">. </w:t>
      </w:r>
      <w:r>
        <w:rPr>
          <w:rFonts w:ascii="Arial" w:eastAsia="Arial" w:hAnsi="Arial"/>
          <w:bCs/>
          <w:lang w:val="en-GB"/>
        </w:rPr>
        <w:t xml:space="preserve">The calculation of the weekly cost for each patient was normalised by multiplying the cost of each dialysis session by the average frequency of each type of treatment (IC-BHD, IC-HDF, IC-AFB </w:t>
      </w:r>
      <w:r>
        <w:rPr>
          <w:rFonts w:ascii="Arial" w:eastAsia="Arial" w:hAnsi="Arial"/>
          <w:bCs/>
          <w:lang w:val="en-GB"/>
        </w:rPr>
        <w:lastRenderedPageBreak/>
        <w:t>3 session</w:t>
      </w:r>
      <w:r>
        <w:rPr>
          <w:rFonts w:ascii="Arial" w:eastAsia="Arial" w:hAnsi="Arial"/>
          <w:lang w:val="en-GB"/>
        </w:rPr>
        <w:t>s</w:t>
      </w:r>
      <w:r>
        <w:rPr>
          <w:rFonts w:ascii="Arial" w:eastAsia="Arial" w:hAnsi="Arial"/>
          <w:bCs/>
          <w:lang w:val="en-GB"/>
        </w:rPr>
        <w:t>/week</w:t>
      </w:r>
      <w:r>
        <w:rPr>
          <w:rFonts w:ascii="Arial" w:eastAsia="Arial" w:hAnsi="Arial"/>
          <w:b/>
          <w:bCs/>
          <w:lang w:val="en-GB"/>
        </w:rPr>
        <w:t xml:space="preserve">; </w:t>
      </w:r>
      <w:r>
        <w:rPr>
          <w:rFonts w:ascii="Arial" w:eastAsia="Arial" w:hAnsi="Arial"/>
          <w:bCs/>
          <w:lang w:val="en-GB"/>
        </w:rPr>
        <w:t>CAPD 7 days of treatment</w:t>
      </w:r>
      <w:r>
        <w:rPr>
          <w:rFonts w:ascii="Arial" w:eastAsia="Arial" w:hAnsi="Arial"/>
          <w:b/>
          <w:bCs/>
          <w:lang w:val="en-GB"/>
        </w:rPr>
        <w:t>/</w:t>
      </w:r>
      <w:r>
        <w:rPr>
          <w:rFonts w:ascii="Arial" w:eastAsia="Arial" w:hAnsi="Arial"/>
          <w:bCs/>
          <w:lang w:val="en-GB"/>
        </w:rPr>
        <w:t>week, APD 6.75 days of treatment/week; H-FHD 5 treatments/week, H-BHD 3.5 treatments/week).</w:t>
      </w:r>
    </w:p>
    <w:p w14:paraId="161728BB" w14:textId="77777777" w:rsidR="00561B74" w:rsidRDefault="00561B74">
      <w:pPr>
        <w:spacing w:line="480" w:lineRule="auto"/>
        <w:jc w:val="both"/>
        <w:rPr>
          <w:rFonts w:ascii="Arial" w:eastAsia="Arial" w:hAnsi="Arial"/>
          <w:b/>
          <w:i/>
          <w:iCs/>
          <w:lang w:val="en-GB"/>
        </w:rPr>
      </w:pPr>
    </w:p>
    <w:p w14:paraId="0D9B9C78" w14:textId="278E386B" w:rsidR="007A601C" w:rsidRDefault="00EC7B5B">
      <w:pPr>
        <w:spacing w:line="480" w:lineRule="auto"/>
        <w:jc w:val="both"/>
        <w:rPr>
          <w:lang w:val="en-US"/>
        </w:rPr>
      </w:pPr>
      <w:r>
        <w:rPr>
          <w:rFonts w:ascii="Arial" w:eastAsia="Arial" w:hAnsi="Arial"/>
          <w:b/>
          <w:i/>
          <w:iCs/>
          <w:lang w:val="en-GB"/>
        </w:rPr>
        <w:t>Estimating</w:t>
      </w:r>
      <w:r>
        <w:rPr>
          <w:rFonts w:ascii="Arial" w:eastAsia="Arial" w:hAnsi="Arial"/>
          <w:b/>
          <w:i/>
          <w:lang w:val="en-GB"/>
        </w:rPr>
        <w:t xml:space="preserve"> the average cost of the treatment for main techniques</w:t>
      </w:r>
      <w:r>
        <w:rPr>
          <w:rFonts w:ascii="Arial" w:eastAsia="Arial" w:hAnsi="Arial"/>
          <w:b/>
          <w:bCs/>
          <w:i/>
          <w:color w:val="000000"/>
          <w:lang w:val="en-GB"/>
        </w:rPr>
        <w:t xml:space="preserve">. </w:t>
      </w:r>
      <w:r>
        <w:rPr>
          <w:rFonts w:ascii="Arial" w:eastAsia="Arial" w:hAnsi="Arial"/>
          <w:bCs/>
          <w:i/>
          <w:color w:val="000000"/>
          <w:lang w:val="en-GB"/>
        </w:rPr>
        <w:t>“</w:t>
      </w:r>
      <w:r>
        <w:rPr>
          <w:rFonts w:ascii="Arial" w:eastAsia="Arial" w:hAnsi="Arial"/>
          <w:bCs/>
          <w:color w:val="000000"/>
          <w:lang w:val="en-GB"/>
        </w:rPr>
        <w:t xml:space="preserve">Per session </w:t>
      </w:r>
      <w:r>
        <w:rPr>
          <w:rFonts w:ascii="Arial" w:eastAsia="Arial" w:hAnsi="Arial"/>
          <w:color w:val="000000"/>
          <w:lang w:val="en-GB"/>
        </w:rPr>
        <w:t>cost” was normalized for the mean value of procedures delivered per week</w:t>
      </w:r>
      <w:r w:rsidR="00827DCA">
        <w:rPr>
          <w:rFonts w:ascii="Arial" w:eastAsia="Arial" w:hAnsi="Arial"/>
          <w:color w:val="000000"/>
          <w:lang w:val="en-GB"/>
        </w:rPr>
        <w:t>,</w:t>
      </w:r>
      <w:r>
        <w:rPr>
          <w:lang w:val="en-GB"/>
        </w:rPr>
        <w:t xml:space="preserve"> </w:t>
      </w:r>
      <w:r>
        <w:rPr>
          <w:rFonts w:ascii="Arial" w:eastAsia="Arial" w:hAnsi="Arial"/>
          <w:color w:val="000000"/>
          <w:lang w:val="en-GB"/>
        </w:rPr>
        <w:t>derived from the actual frequency of each patient's treatment program</w:t>
      </w:r>
      <w:r>
        <w:rPr>
          <w:rFonts w:ascii="Arial" w:eastAsia="Arial" w:hAnsi="Arial"/>
          <w:bCs/>
          <w:color w:val="000000"/>
          <w:lang w:val="en-GB"/>
        </w:rPr>
        <w:t>me</w:t>
      </w:r>
      <w:r>
        <w:rPr>
          <w:rFonts w:ascii="Arial" w:eastAsia="Arial" w:hAnsi="Arial"/>
          <w:color w:val="000000"/>
          <w:lang w:val="en-GB"/>
        </w:rPr>
        <w:t xml:space="preserve">s: </w:t>
      </w:r>
      <w:r>
        <w:rPr>
          <w:rFonts w:ascii="Arial" w:eastAsia="Arial" w:hAnsi="Arial"/>
          <w:bCs/>
          <w:color w:val="000000"/>
          <w:lang w:val="en-GB"/>
        </w:rPr>
        <w:t>IC-HD</w:t>
      </w:r>
      <w:r>
        <w:rPr>
          <w:rFonts w:ascii="Arial" w:eastAsia="Arial" w:hAnsi="Arial"/>
          <w:color w:val="000000"/>
          <w:lang w:val="en-GB"/>
        </w:rPr>
        <w:t xml:space="preserve"> 3 sessions per week, PD 6.94 sessions per week</w:t>
      </w:r>
      <w:r>
        <w:rPr>
          <w:rFonts w:ascii="Arial" w:eastAsia="Arial" w:hAnsi="Arial"/>
          <w:bCs/>
          <w:color w:val="000000"/>
          <w:lang w:val="en-GB"/>
        </w:rPr>
        <w:t xml:space="preserve">, </w:t>
      </w:r>
      <w:r>
        <w:rPr>
          <w:rFonts w:ascii="Arial" w:eastAsia="Arial" w:hAnsi="Arial"/>
          <w:color w:val="000000"/>
          <w:lang w:val="en-GB"/>
        </w:rPr>
        <w:t xml:space="preserve">H-HD 4.63 sessions per week. </w:t>
      </w:r>
    </w:p>
    <w:p w14:paraId="25CE644A" w14:textId="39BA18D9" w:rsidR="007A601C" w:rsidRDefault="00EC7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w:hAnsi="Arial"/>
          <w:iCs/>
          <w:color w:val="000000"/>
          <w:lang w:val="en-GB"/>
        </w:rPr>
      </w:pPr>
      <w:r>
        <w:rPr>
          <w:rFonts w:ascii="Arial" w:eastAsia="Arial" w:hAnsi="Arial"/>
          <w:bCs/>
          <w:iCs/>
          <w:color w:val="000000"/>
          <w:lang w:val="en-GB"/>
        </w:rPr>
        <w:t>T</w:t>
      </w:r>
      <w:r>
        <w:rPr>
          <w:rFonts w:ascii="Arial" w:eastAsia="Arial" w:hAnsi="Arial"/>
          <w:iCs/>
          <w:color w:val="000000"/>
          <w:lang w:val="en-GB"/>
        </w:rPr>
        <w:t>he weighted average cost for each patient, per week, month and per year</w:t>
      </w:r>
      <w:r>
        <w:rPr>
          <w:rFonts w:ascii="Arial" w:eastAsia="Arial" w:hAnsi="Arial"/>
          <w:bCs/>
          <w:iCs/>
          <w:color w:val="000000"/>
          <w:lang w:val="en-GB"/>
        </w:rPr>
        <w:t xml:space="preserve"> was</w:t>
      </w:r>
      <w:r>
        <w:rPr>
          <w:rFonts w:ascii="Arial" w:eastAsia="Arial" w:hAnsi="Arial"/>
          <w:iCs/>
          <w:color w:val="000000"/>
          <w:lang w:val="en-GB"/>
        </w:rPr>
        <w:t xml:space="preserve"> obtained</w:t>
      </w:r>
      <w:r w:rsidR="00827DCA">
        <w:rPr>
          <w:rFonts w:ascii="Arial" w:eastAsia="Arial" w:hAnsi="Arial"/>
          <w:iCs/>
          <w:color w:val="000000"/>
          <w:lang w:val="en-GB"/>
        </w:rPr>
        <w:t xml:space="preserve"> accordingly</w:t>
      </w:r>
      <w:r>
        <w:rPr>
          <w:rFonts w:ascii="Arial" w:eastAsia="Arial" w:hAnsi="Arial"/>
          <w:iCs/>
          <w:color w:val="000000"/>
          <w:lang w:val="en-GB"/>
        </w:rPr>
        <w:t xml:space="preserve">. </w:t>
      </w:r>
    </w:p>
    <w:p w14:paraId="236EE5A8" w14:textId="77777777" w:rsidR="00561B74" w:rsidRDefault="0056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w:hAnsi="Arial"/>
          <w:iCs/>
          <w:color w:val="000000"/>
          <w:lang w:val="en-GB"/>
        </w:rPr>
      </w:pPr>
    </w:p>
    <w:p w14:paraId="258A1FC7" w14:textId="5CBF238A" w:rsidR="00561B74" w:rsidRPr="00845C74" w:rsidRDefault="00561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w:hAnsi="Arial"/>
          <w:b/>
          <w:bCs/>
          <w:iCs/>
          <w:color w:val="000000"/>
          <w:lang w:val="en-GB"/>
        </w:rPr>
      </w:pPr>
      <w:r w:rsidRPr="00845C74">
        <w:rPr>
          <w:rFonts w:ascii="Arial" w:eastAsia="Arial" w:hAnsi="Arial"/>
          <w:b/>
          <w:bCs/>
          <w:iCs/>
          <w:color w:val="000000"/>
          <w:lang w:val="en-GB"/>
        </w:rPr>
        <w:t xml:space="preserve">Literature </w:t>
      </w:r>
      <w:r w:rsidR="00845C74">
        <w:rPr>
          <w:rFonts w:ascii="Arial" w:eastAsia="Arial" w:hAnsi="Arial"/>
          <w:b/>
          <w:bCs/>
          <w:iCs/>
          <w:color w:val="000000"/>
          <w:lang w:val="en-GB"/>
        </w:rPr>
        <w:t>Search</w:t>
      </w:r>
    </w:p>
    <w:p w14:paraId="0948B29E" w14:textId="341347F4" w:rsidR="00845C74" w:rsidRDefault="00845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w:hAnsi="Arial"/>
          <w:iCs/>
          <w:color w:val="000000"/>
          <w:lang w:val="en-GB"/>
        </w:rPr>
      </w:pPr>
      <w:r>
        <w:rPr>
          <w:rFonts w:ascii="Arial" w:eastAsia="Arial" w:hAnsi="Arial"/>
          <w:iCs/>
          <w:color w:val="000000"/>
          <w:lang w:val="en-GB"/>
        </w:rPr>
        <w:t>The following d</w:t>
      </w:r>
      <w:r w:rsidRPr="00845C74">
        <w:rPr>
          <w:rFonts w:ascii="Arial" w:eastAsia="Arial" w:hAnsi="Arial" w:hint="eastAsia"/>
          <w:iCs/>
          <w:color w:val="000000"/>
          <w:lang w:val="en-GB"/>
        </w:rPr>
        <w:t>atabases were consulted</w:t>
      </w:r>
      <w:r>
        <w:rPr>
          <w:rFonts w:ascii="Arial" w:eastAsia="Arial" w:hAnsi="Arial"/>
          <w:iCs/>
          <w:color w:val="000000"/>
          <w:lang w:val="en-GB"/>
        </w:rPr>
        <w:t xml:space="preserve">: PubMed, SCOPUS and </w:t>
      </w:r>
      <w:proofErr w:type="spellStart"/>
      <w:r>
        <w:rPr>
          <w:rFonts w:ascii="Arial" w:eastAsia="Arial" w:hAnsi="Arial"/>
          <w:iCs/>
          <w:color w:val="000000"/>
          <w:lang w:val="en-GB"/>
        </w:rPr>
        <w:t>WoS</w:t>
      </w:r>
      <w:proofErr w:type="spellEnd"/>
      <w:r>
        <w:rPr>
          <w:rFonts w:ascii="Arial" w:eastAsia="Arial" w:hAnsi="Arial"/>
          <w:iCs/>
          <w:color w:val="000000"/>
          <w:lang w:val="en-GB"/>
        </w:rPr>
        <w:t xml:space="preserve"> </w:t>
      </w:r>
      <w:r w:rsidRPr="00845C74">
        <w:rPr>
          <w:rFonts w:ascii="Arial" w:eastAsia="Arial" w:hAnsi="Arial" w:hint="eastAsia"/>
          <w:iCs/>
          <w:color w:val="000000"/>
          <w:lang w:val="en-GB"/>
        </w:rPr>
        <w:t>using controlled and free terms</w:t>
      </w:r>
      <w:r>
        <w:rPr>
          <w:rFonts w:ascii="Arial" w:eastAsia="Arial" w:hAnsi="Arial"/>
          <w:iCs/>
          <w:color w:val="000000"/>
          <w:lang w:val="en-GB"/>
        </w:rPr>
        <w:t xml:space="preserve"> (dialysis AND COSTS)</w:t>
      </w:r>
      <w:r w:rsidRPr="00845C74">
        <w:rPr>
          <w:rFonts w:ascii="Arial" w:eastAsia="Arial" w:hAnsi="Arial" w:hint="eastAsia"/>
          <w:iCs/>
          <w:color w:val="000000"/>
          <w:lang w:val="en-GB"/>
        </w:rPr>
        <w:t xml:space="preserve">. </w:t>
      </w:r>
      <w:proofErr w:type="gramStart"/>
      <w:r w:rsidR="00DF20C7">
        <w:rPr>
          <w:rFonts w:ascii="Arial" w:eastAsia="Arial" w:hAnsi="Arial"/>
          <w:iCs/>
          <w:color w:val="000000"/>
          <w:lang w:val="en-GB"/>
        </w:rPr>
        <w:t>A</w:t>
      </w:r>
      <w:r w:rsidRPr="00845C74">
        <w:rPr>
          <w:rFonts w:ascii="Arial" w:eastAsia="Arial" w:hAnsi="Arial" w:hint="eastAsia"/>
          <w:iCs/>
          <w:color w:val="000000"/>
          <w:lang w:val="en-GB"/>
        </w:rPr>
        <w:t xml:space="preserve">rticles  </w:t>
      </w:r>
      <w:r>
        <w:rPr>
          <w:rFonts w:ascii="Arial" w:eastAsia="Arial" w:hAnsi="Arial"/>
          <w:iCs/>
          <w:color w:val="000000"/>
          <w:lang w:val="en-GB"/>
        </w:rPr>
        <w:t>reporting</w:t>
      </w:r>
      <w:proofErr w:type="gramEnd"/>
      <w:r>
        <w:rPr>
          <w:rFonts w:ascii="Arial" w:eastAsia="Arial" w:hAnsi="Arial"/>
          <w:iCs/>
          <w:color w:val="000000"/>
          <w:lang w:val="en-GB"/>
        </w:rPr>
        <w:t xml:space="preserve"> </w:t>
      </w:r>
      <w:r w:rsidR="00DF20C7">
        <w:rPr>
          <w:rFonts w:ascii="Arial" w:eastAsia="Arial" w:hAnsi="Arial"/>
          <w:iCs/>
          <w:color w:val="000000"/>
          <w:lang w:val="en-GB"/>
        </w:rPr>
        <w:t xml:space="preserve">on </w:t>
      </w:r>
      <w:r>
        <w:rPr>
          <w:rFonts w:ascii="Arial" w:eastAsia="Arial" w:hAnsi="Arial"/>
          <w:iCs/>
          <w:color w:val="000000"/>
          <w:lang w:val="en-GB"/>
        </w:rPr>
        <w:t xml:space="preserve">costs </w:t>
      </w:r>
      <w:r w:rsidRPr="00845C74">
        <w:rPr>
          <w:rFonts w:ascii="Arial" w:eastAsia="Arial" w:hAnsi="Arial" w:hint="eastAsia"/>
          <w:iCs/>
          <w:color w:val="000000"/>
          <w:lang w:val="en-GB"/>
        </w:rPr>
        <w:t>across the types of treatments</w:t>
      </w:r>
      <w:r w:rsidR="00DF20C7">
        <w:rPr>
          <w:rFonts w:ascii="Arial" w:eastAsia="Arial" w:hAnsi="Arial"/>
          <w:iCs/>
          <w:color w:val="000000"/>
          <w:lang w:val="en-GB"/>
        </w:rPr>
        <w:t xml:space="preserve"> in different areas were summarised in Table 4</w:t>
      </w:r>
      <w:r w:rsidR="00387923">
        <w:rPr>
          <w:rFonts w:ascii="Arial" w:eastAsia="Arial" w:hAnsi="Arial"/>
          <w:iCs/>
          <w:color w:val="000000"/>
          <w:lang w:val="en-GB"/>
        </w:rPr>
        <w:t>.</w:t>
      </w:r>
    </w:p>
    <w:p w14:paraId="0900CC6D" w14:textId="62A3C830" w:rsidR="00387923" w:rsidRDefault="0038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rFonts w:ascii="Arial" w:eastAsia="Arial" w:hAnsi="Arial"/>
          <w:iCs/>
          <w:color w:val="000000"/>
          <w:lang w:val="en-GB"/>
        </w:rPr>
      </w:pPr>
      <w:r>
        <w:rPr>
          <w:rFonts w:ascii="Arial" w:eastAsia="Arial" w:hAnsi="Arial"/>
          <w:iCs/>
          <w:color w:val="000000"/>
          <w:lang w:val="en-GB"/>
        </w:rPr>
        <w:t xml:space="preserve">It was out of the scope of this study to perform a systematic review of the literature. </w:t>
      </w:r>
    </w:p>
    <w:p w14:paraId="2F32D4E4" w14:textId="77777777" w:rsidR="00561B74" w:rsidRDefault="00561B74">
      <w:pPr>
        <w:rPr>
          <w:rFonts w:ascii="Arial" w:eastAsia="Arial" w:hAnsi="Arial"/>
          <w:color w:val="000000"/>
          <w:lang w:val="en-GB"/>
        </w:rPr>
      </w:pPr>
      <w:r>
        <w:rPr>
          <w:rFonts w:ascii="Arial" w:eastAsia="Arial" w:hAnsi="Arial"/>
          <w:color w:val="000000"/>
          <w:lang w:val="en-GB"/>
        </w:rPr>
        <w:br w:type="page"/>
      </w:r>
    </w:p>
    <w:p w14:paraId="79EA234D" w14:textId="0BB4B93B" w:rsidR="007A601C" w:rsidRDefault="00EC7B5B">
      <w:pPr>
        <w:spacing w:line="480" w:lineRule="auto"/>
        <w:jc w:val="both"/>
        <w:rPr>
          <w:rFonts w:ascii="Arial" w:eastAsia="Arial" w:hAnsi="Arial"/>
          <w:color w:val="000000"/>
          <w:lang w:val="en-GB"/>
        </w:rPr>
      </w:pPr>
      <w:r>
        <w:rPr>
          <w:rFonts w:ascii="Arial" w:eastAsia="Arial" w:hAnsi="Arial"/>
          <w:color w:val="000000"/>
          <w:lang w:val="en-GB"/>
        </w:rPr>
        <w:lastRenderedPageBreak/>
        <w:t xml:space="preserve">Supplementary Tables </w:t>
      </w:r>
    </w:p>
    <w:tbl>
      <w:tblPr>
        <w:tblW w:w="8016" w:type="dxa"/>
        <w:tblInd w:w="113" w:type="dxa"/>
        <w:tblLayout w:type="fixed"/>
        <w:tblCellMar>
          <w:left w:w="113" w:type="dxa"/>
        </w:tblCellMar>
        <w:tblLook w:val="0000" w:firstRow="0" w:lastRow="0" w:firstColumn="0" w:lastColumn="0" w:noHBand="0" w:noVBand="0"/>
      </w:tblPr>
      <w:tblGrid>
        <w:gridCol w:w="1684"/>
        <w:gridCol w:w="1990"/>
        <w:gridCol w:w="2149"/>
        <w:gridCol w:w="2193"/>
      </w:tblGrid>
      <w:tr w:rsidR="007A601C" w14:paraId="1D80496D" w14:textId="77777777">
        <w:tc>
          <w:tcPr>
            <w:tcW w:w="1683" w:type="dxa"/>
            <w:tcBorders>
              <w:top w:val="single" w:sz="4" w:space="0" w:color="000000"/>
              <w:left w:val="single" w:sz="4" w:space="0" w:color="000000"/>
              <w:bottom w:val="single" w:sz="4" w:space="0" w:color="000000"/>
            </w:tcBorders>
            <w:shd w:val="clear" w:color="auto" w:fill="auto"/>
          </w:tcPr>
          <w:p w14:paraId="2659388F" w14:textId="77777777" w:rsidR="007A601C" w:rsidRDefault="007A601C">
            <w:pPr>
              <w:widowControl w:val="0"/>
              <w:snapToGrid w:val="0"/>
              <w:spacing w:line="480" w:lineRule="auto"/>
              <w:jc w:val="center"/>
              <w:rPr>
                <w:rFonts w:ascii="Arial" w:eastAsia="Arial" w:hAnsi="Arial"/>
                <w:b/>
                <w:color w:val="000000"/>
                <w:sz w:val="20"/>
                <w:szCs w:val="20"/>
                <w:lang w:val="en-GB"/>
              </w:rPr>
            </w:pPr>
          </w:p>
        </w:tc>
        <w:tc>
          <w:tcPr>
            <w:tcW w:w="1990" w:type="dxa"/>
            <w:tcBorders>
              <w:top w:val="single" w:sz="4" w:space="0" w:color="000000"/>
              <w:left w:val="single" w:sz="4" w:space="0" w:color="000000"/>
              <w:bottom w:val="single" w:sz="4" w:space="0" w:color="000000"/>
            </w:tcBorders>
            <w:shd w:val="clear" w:color="auto" w:fill="auto"/>
          </w:tcPr>
          <w:p w14:paraId="47DB9BE4" w14:textId="77777777" w:rsidR="007A601C" w:rsidRDefault="00EC7B5B">
            <w:pPr>
              <w:widowControl w:val="0"/>
              <w:spacing w:line="480" w:lineRule="auto"/>
              <w:jc w:val="center"/>
            </w:pPr>
            <w:r>
              <w:rPr>
                <w:rFonts w:ascii="Arial" w:eastAsia="Arial" w:hAnsi="Arial"/>
                <w:b/>
                <w:color w:val="000000"/>
                <w:sz w:val="20"/>
                <w:szCs w:val="20"/>
                <w:lang w:val="en-GB"/>
              </w:rPr>
              <w:t>CENSIS - 2009</w:t>
            </w:r>
          </w:p>
          <w:p w14:paraId="4EF860C7" w14:textId="77777777" w:rsidR="007A601C" w:rsidRDefault="00EC7B5B">
            <w:pPr>
              <w:widowControl w:val="0"/>
              <w:spacing w:line="480" w:lineRule="auto"/>
              <w:jc w:val="center"/>
            </w:pPr>
            <w:r>
              <w:rPr>
                <w:rFonts w:ascii="Arial" w:eastAsia="Arial" w:hAnsi="Arial"/>
                <w:b/>
                <w:color w:val="000000"/>
                <w:sz w:val="20"/>
                <w:szCs w:val="20"/>
                <w:lang w:val="en-GB"/>
              </w:rPr>
              <w:t>(ITALY)</w:t>
            </w:r>
          </w:p>
        </w:tc>
        <w:tc>
          <w:tcPr>
            <w:tcW w:w="2149" w:type="dxa"/>
            <w:tcBorders>
              <w:top w:val="single" w:sz="4" w:space="0" w:color="000000"/>
              <w:left w:val="single" w:sz="4" w:space="0" w:color="000000"/>
              <w:bottom w:val="single" w:sz="4" w:space="0" w:color="000000"/>
            </w:tcBorders>
            <w:shd w:val="clear" w:color="auto" w:fill="auto"/>
          </w:tcPr>
          <w:p w14:paraId="29A5A22A" w14:textId="77777777" w:rsidR="007A601C" w:rsidRDefault="00EC7B5B">
            <w:pPr>
              <w:widowControl w:val="0"/>
              <w:spacing w:line="480" w:lineRule="auto"/>
              <w:jc w:val="center"/>
            </w:pPr>
            <w:r>
              <w:rPr>
                <w:rFonts w:ascii="Arial" w:eastAsia="Arial" w:hAnsi="Arial"/>
                <w:b/>
                <w:color w:val="000000"/>
                <w:sz w:val="20"/>
                <w:szCs w:val="20"/>
                <w:lang w:val="en-GB"/>
              </w:rPr>
              <w:t>CENSIS - 2009  (PIEDMONT)</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524AE000" w14:textId="77777777" w:rsidR="007A601C" w:rsidRDefault="00EC7B5B">
            <w:pPr>
              <w:widowControl w:val="0"/>
              <w:spacing w:line="480" w:lineRule="auto"/>
              <w:jc w:val="center"/>
            </w:pPr>
            <w:r>
              <w:rPr>
                <w:rFonts w:ascii="Arial" w:eastAsia="Arial" w:hAnsi="Arial"/>
                <w:b/>
                <w:color w:val="000000"/>
                <w:sz w:val="20"/>
                <w:szCs w:val="20"/>
                <w:lang w:val="en-GB"/>
              </w:rPr>
              <w:t>CICCHETTI – 2010  (ITALY)</w:t>
            </w:r>
          </w:p>
        </w:tc>
      </w:tr>
      <w:tr w:rsidR="007A601C" w14:paraId="11C3C197" w14:textId="77777777">
        <w:tc>
          <w:tcPr>
            <w:tcW w:w="1683" w:type="dxa"/>
            <w:tcBorders>
              <w:top w:val="single" w:sz="4" w:space="0" w:color="000000"/>
              <w:left w:val="single" w:sz="4" w:space="0" w:color="000000"/>
              <w:bottom w:val="single" w:sz="4" w:space="0" w:color="000000"/>
            </w:tcBorders>
            <w:shd w:val="clear" w:color="auto" w:fill="auto"/>
          </w:tcPr>
          <w:p w14:paraId="5D8DA3E0" w14:textId="77777777" w:rsidR="007A601C" w:rsidRDefault="00EC7B5B">
            <w:pPr>
              <w:widowControl w:val="0"/>
              <w:spacing w:line="480" w:lineRule="auto"/>
              <w:jc w:val="center"/>
            </w:pPr>
            <w:r>
              <w:rPr>
                <w:rFonts w:ascii="Arial" w:eastAsia="Arial" w:hAnsi="Arial"/>
                <w:b/>
                <w:color w:val="000000"/>
                <w:sz w:val="20"/>
                <w:szCs w:val="20"/>
                <w:lang w:val="en-GB"/>
              </w:rPr>
              <w:t>IC-HD</w:t>
            </w:r>
          </w:p>
        </w:tc>
        <w:tc>
          <w:tcPr>
            <w:tcW w:w="1990" w:type="dxa"/>
            <w:tcBorders>
              <w:top w:val="single" w:sz="4" w:space="0" w:color="000000"/>
              <w:left w:val="single" w:sz="4" w:space="0" w:color="000000"/>
              <w:bottom w:val="single" w:sz="4" w:space="0" w:color="000000"/>
            </w:tcBorders>
            <w:shd w:val="clear" w:color="auto" w:fill="auto"/>
          </w:tcPr>
          <w:p w14:paraId="1DD4BAF1" w14:textId="77777777" w:rsidR="007A601C" w:rsidRDefault="00EC7B5B">
            <w:pPr>
              <w:widowControl w:val="0"/>
              <w:spacing w:line="480" w:lineRule="auto"/>
              <w:jc w:val="center"/>
            </w:pPr>
            <w:r>
              <w:rPr>
                <w:rFonts w:ascii="Arial" w:eastAsia="Arial" w:hAnsi="Arial"/>
                <w:b/>
                <w:color w:val="000000"/>
                <w:sz w:val="20"/>
                <w:szCs w:val="20"/>
                <w:lang w:val="en-GB"/>
              </w:rPr>
              <w:t>715.87</w:t>
            </w:r>
          </w:p>
        </w:tc>
        <w:tc>
          <w:tcPr>
            <w:tcW w:w="2149" w:type="dxa"/>
            <w:tcBorders>
              <w:top w:val="single" w:sz="4" w:space="0" w:color="000000"/>
              <w:left w:val="single" w:sz="4" w:space="0" w:color="000000"/>
              <w:bottom w:val="single" w:sz="4" w:space="0" w:color="000000"/>
            </w:tcBorders>
            <w:shd w:val="clear" w:color="auto" w:fill="auto"/>
          </w:tcPr>
          <w:p w14:paraId="05147EFB" w14:textId="77777777" w:rsidR="007A601C" w:rsidRDefault="00EC7B5B">
            <w:pPr>
              <w:widowControl w:val="0"/>
              <w:spacing w:line="480" w:lineRule="auto"/>
              <w:jc w:val="center"/>
            </w:pPr>
            <w:r>
              <w:rPr>
                <w:rFonts w:ascii="Arial" w:eastAsia="Arial" w:hAnsi="Arial"/>
                <w:b/>
                <w:color w:val="000000"/>
                <w:sz w:val="20"/>
                <w:szCs w:val="20"/>
                <w:lang w:val="en-GB"/>
              </w:rPr>
              <w:t>810.23</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7E5804F9" w14:textId="77777777" w:rsidR="007A601C" w:rsidRDefault="00EC7B5B">
            <w:pPr>
              <w:widowControl w:val="0"/>
              <w:spacing w:line="480" w:lineRule="auto"/>
              <w:jc w:val="center"/>
            </w:pPr>
            <w:r>
              <w:rPr>
                <w:rFonts w:ascii="Arial" w:eastAsia="Arial" w:hAnsi="Arial"/>
                <w:b/>
                <w:color w:val="000000"/>
                <w:sz w:val="20"/>
                <w:szCs w:val="20"/>
                <w:lang w:val="en-GB"/>
              </w:rPr>
              <w:t>975.00</w:t>
            </w:r>
          </w:p>
        </w:tc>
      </w:tr>
      <w:tr w:rsidR="007A601C" w14:paraId="1CC4190A" w14:textId="77777777">
        <w:tc>
          <w:tcPr>
            <w:tcW w:w="1683" w:type="dxa"/>
            <w:tcBorders>
              <w:top w:val="single" w:sz="4" w:space="0" w:color="000000"/>
              <w:left w:val="single" w:sz="4" w:space="0" w:color="000000"/>
              <w:bottom w:val="single" w:sz="4" w:space="0" w:color="000000"/>
            </w:tcBorders>
            <w:shd w:val="clear" w:color="auto" w:fill="auto"/>
          </w:tcPr>
          <w:p w14:paraId="1DE67E85" w14:textId="77777777" w:rsidR="007A601C" w:rsidRDefault="00EC7B5B">
            <w:pPr>
              <w:widowControl w:val="0"/>
              <w:spacing w:line="480" w:lineRule="auto"/>
              <w:jc w:val="center"/>
            </w:pPr>
            <w:r>
              <w:rPr>
                <w:rFonts w:ascii="Arial" w:eastAsia="Arial" w:hAnsi="Arial"/>
                <w:b/>
                <w:color w:val="000000"/>
                <w:sz w:val="20"/>
                <w:szCs w:val="20"/>
                <w:lang w:val="en-GB"/>
              </w:rPr>
              <w:t>PD</w:t>
            </w:r>
          </w:p>
        </w:tc>
        <w:tc>
          <w:tcPr>
            <w:tcW w:w="1990" w:type="dxa"/>
            <w:tcBorders>
              <w:top w:val="single" w:sz="4" w:space="0" w:color="000000"/>
              <w:left w:val="single" w:sz="4" w:space="0" w:color="000000"/>
              <w:bottom w:val="single" w:sz="4" w:space="0" w:color="000000"/>
            </w:tcBorders>
            <w:shd w:val="clear" w:color="auto" w:fill="auto"/>
          </w:tcPr>
          <w:p w14:paraId="2E9084CA" w14:textId="77777777" w:rsidR="007A601C" w:rsidRDefault="00EC7B5B">
            <w:pPr>
              <w:widowControl w:val="0"/>
              <w:spacing w:line="480" w:lineRule="auto"/>
              <w:jc w:val="center"/>
            </w:pPr>
            <w:r>
              <w:rPr>
                <w:rFonts w:ascii="Arial" w:eastAsia="Arial" w:hAnsi="Arial"/>
                <w:b/>
                <w:color w:val="000000"/>
                <w:sz w:val="20"/>
                <w:szCs w:val="20"/>
                <w:lang w:val="en-GB"/>
              </w:rPr>
              <w:t>551.74</w:t>
            </w:r>
          </w:p>
        </w:tc>
        <w:tc>
          <w:tcPr>
            <w:tcW w:w="2149" w:type="dxa"/>
            <w:tcBorders>
              <w:top w:val="single" w:sz="4" w:space="0" w:color="000000"/>
              <w:left w:val="single" w:sz="4" w:space="0" w:color="000000"/>
              <w:bottom w:val="single" w:sz="4" w:space="0" w:color="000000"/>
            </w:tcBorders>
            <w:shd w:val="clear" w:color="auto" w:fill="auto"/>
          </w:tcPr>
          <w:p w14:paraId="7943165E" w14:textId="77777777" w:rsidR="007A601C" w:rsidRDefault="00EC7B5B">
            <w:pPr>
              <w:widowControl w:val="0"/>
              <w:spacing w:line="480" w:lineRule="auto"/>
              <w:jc w:val="center"/>
            </w:pPr>
            <w:r>
              <w:rPr>
                <w:rFonts w:ascii="Arial" w:eastAsia="Arial" w:hAnsi="Arial"/>
                <w:b/>
                <w:color w:val="000000"/>
                <w:sz w:val="20"/>
                <w:szCs w:val="20"/>
                <w:lang w:val="en-GB"/>
              </w:rPr>
              <w:t>582.50</w:t>
            </w: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1DBDFDF3" w14:textId="77777777" w:rsidR="007A601C" w:rsidRDefault="00EC7B5B">
            <w:pPr>
              <w:widowControl w:val="0"/>
              <w:spacing w:line="480" w:lineRule="auto"/>
              <w:jc w:val="center"/>
            </w:pPr>
            <w:r>
              <w:rPr>
                <w:rFonts w:ascii="Arial" w:eastAsia="Arial" w:hAnsi="Arial"/>
                <w:b/>
                <w:color w:val="000000"/>
                <w:sz w:val="20"/>
                <w:szCs w:val="20"/>
                <w:lang w:val="en-GB"/>
              </w:rPr>
              <w:t>574.00</w:t>
            </w:r>
          </w:p>
        </w:tc>
      </w:tr>
      <w:tr w:rsidR="007A601C" w14:paraId="0D71B6DB" w14:textId="77777777">
        <w:tc>
          <w:tcPr>
            <w:tcW w:w="1683" w:type="dxa"/>
            <w:tcBorders>
              <w:top w:val="single" w:sz="4" w:space="0" w:color="000000"/>
              <w:left w:val="single" w:sz="4" w:space="0" w:color="000000"/>
              <w:bottom w:val="single" w:sz="4" w:space="0" w:color="000000"/>
            </w:tcBorders>
            <w:shd w:val="clear" w:color="auto" w:fill="auto"/>
          </w:tcPr>
          <w:p w14:paraId="2A014C3B" w14:textId="77777777" w:rsidR="007A601C" w:rsidRDefault="00EC7B5B">
            <w:pPr>
              <w:widowControl w:val="0"/>
              <w:spacing w:line="480" w:lineRule="auto"/>
              <w:jc w:val="center"/>
            </w:pPr>
            <w:r>
              <w:rPr>
                <w:rFonts w:ascii="Arial" w:eastAsia="Arial" w:hAnsi="Arial"/>
                <w:b/>
                <w:color w:val="000000"/>
                <w:sz w:val="20"/>
                <w:szCs w:val="20"/>
                <w:lang w:val="en-GB"/>
              </w:rPr>
              <w:t>H-HD</w:t>
            </w:r>
          </w:p>
        </w:tc>
        <w:tc>
          <w:tcPr>
            <w:tcW w:w="1990" w:type="dxa"/>
            <w:tcBorders>
              <w:top w:val="single" w:sz="4" w:space="0" w:color="000000"/>
              <w:left w:val="single" w:sz="4" w:space="0" w:color="000000"/>
              <w:bottom w:val="single" w:sz="4" w:space="0" w:color="000000"/>
            </w:tcBorders>
            <w:shd w:val="clear" w:color="auto" w:fill="auto"/>
          </w:tcPr>
          <w:p w14:paraId="0ED644BC" w14:textId="77777777" w:rsidR="007A601C" w:rsidRDefault="00EC7B5B">
            <w:pPr>
              <w:widowControl w:val="0"/>
              <w:spacing w:line="480" w:lineRule="auto"/>
              <w:jc w:val="center"/>
            </w:pPr>
            <w:r>
              <w:rPr>
                <w:rFonts w:ascii="Arial" w:eastAsia="Arial" w:hAnsi="Arial"/>
                <w:b/>
                <w:color w:val="000000"/>
                <w:sz w:val="20"/>
                <w:szCs w:val="20"/>
                <w:lang w:val="en-GB"/>
              </w:rPr>
              <w:t>-</w:t>
            </w:r>
          </w:p>
        </w:tc>
        <w:tc>
          <w:tcPr>
            <w:tcW w:w="2149" w:type="dxa"/>
            <w:tcBorders>
              <w:top w:val="single" w:sz="4" w:space="0" w:color="000000"/>
              <w:left w:val="single" w:sz="4" w:space="0" w:color="000000"/>
              <w:bottom w:val="single" w:sz="4" w:space="0" w:color="000000"/>
            </w:tcBorders>
            <w:shd w:val="clear" w:color="auto" w:fill="auto"/>
          </w:tcPr>
          <w:p w14:paraId="4D1796D8" w14:textId="77777777" w:rsidR="007A601C" w:rsidRDefault="007A601C">
            <w:pPr>
              <w:widowControl w:val="0"/>
              <w:snapToGrid w:val="0"/>
              <w:spacing w:line="480" w:lineRule="auto"/>
              <w:jc w:val="center"/>
              <w:rPr>
                <w:rFonts w:ascii="Arial" w:eastAsia="Arial" w:hAnsi="Arial"/>
                <w:b/>
                <w:color w:val="000000"/>
                <w:sz w:val="20"/>
                <w:szCs w:val="20"/>
                <w:lang w:val="en-GB"/>
              </w:rPr>
            </w:pPr>
          </w:p>
        </w:tc>
        <w:tc>
          <w:tcPr>
            <w:tcW w:w="2193" w:type="dxa"/>
            <w:tcBorders>
              <w:top w:val="single" w:sz="4" w:space="0" w:color="000000"/>
              <w:left w:val="single" w:sz="4" w:space="0" w:color="000000"/>
              <w:bottom w:val="single" w:sz="4" w:space="0" w:color="000000"/>
              <w:right w:val="single" w:sz="4" w:space="0" w:color="000000"/>
            </w:tcBorders>
            <w:shd w:val="clear" w:color="auto" w:fill="auto"/>
          </w:tcPr>
          <w:p w14:paraId="1D02BF4D" w14:textId="77777777" w:rsidR="007A601C" w:rsidRDefault="00EC7B5B">
            <w:pPr>
              <w:widowControl w:val="0"/>
              <w:spacing w:line="480" w:lineRule="auto"/>
              <w:jc w:val="center"/>
            </w:pPr>
            <w:r>
              <w:rPr>
                <w:rFonts w:ascii="Arial" w:eastAsia="Arial" w:hAnsi="Arial"/>
                <w:b/>
                <w:color w:val="000000"/>
                <w:sz w:val="20"/>
                <w:szCs w:val="20"/>
                <w:lang w:val="en-GB"/>
              </w:rPr>
              <w:t>-</w:t>
            </w:r>
          </w:p>
        </w:tc>
      </w:tr>
    </w:tbl>
    <w:p w14:paraId="5E80A6C7" w14:textId="77777777" w:rsidR="007A601C" w:rsidRDefault="007A601C">
      <w:pPr>
        <w:spacing w:line="480" w:lineRule="auto"/>
        <w:jc w:val="both"/>
        <w:rPr>
          <w:lang w:val="en-GB"/>
        </w:rPr>
      </w:pPr>
    </w:p>
    <w:p w14:paraId="088B1B7B" w14:textId="77777777" w:rsidR="007A601C" w:rsidRDefault="00EC7B5B">
      <w:pPr>
        <w:spacing w:line="480" w:lineRule="auto"/>
        <w:jc w:val="both"/>
        <w:rPr>
          <w:lang w:val="en-US"/>
        </w:rPr>
      </w:pPr>
      <w:r>
        <w:rPr>
          <w:rFonts w:ascii="Arial" w:eastAsia="Arial" w:hAnsi="Arial"/>
          <w:i/>
          <w:color w:val="000000"/>
          <w:lang w:val="en-GB"/>
        </w:rPr>
        <w:t>Tab. 1S Average cost in euro of dialysis treatments (direct health and non-health costs), excluding social costs/non-health indirect costs, in Italy per patient per week, according to dialysis modality (IC-HD 3 dialysis / week; PD 7 dialysis/week).</w:t>
      </w:r>
    </w:p>
    <w:p w14:paraId="5BA9E279" w14:textId="77777777" w:rsidR="007A601C" w:rsidRDefault="007A601C">
      <w:pPr>
        <w:spacing w:line="480" w:lineRule="auto"/>
        <w:jc w:val="both"/>
        <w:rPr>
          <w:rFonts w:ascii="Arial" w:hAnsi="Arial"/>
          <w:i/>
          <w:lang w:val="en-GB"/>
        </w:rPr>
      </w:pPr>
    </w:p>
    <w:tbl>
      <w:tblPr>
        <w:tblW w:w="8158" w:type="dxa"/>
        <w:tblInd w:w="-40" w:type="dxa"/>
        <w:tblLayout w:type="fixed"/>
        <w:tblLook w:val="0000" w:firstRow="0" w:lastRow="0" w:firstColumn="0" w:lastColumn="0" w:noHBand="0" w:noVBand="0"/>
      </w:tblPr>
      <w:tblGrid>
        <w:gridCol w:w="2020"/>
        <w:gridCol w:w="2019"/>
        <w:gridCol w:w="2020"/>
        <w:gridCol w:w="2099"/>
      </w:tblGrid>
      <w:tr w:rsidR="007A601C" w14:paraId="6B5D1A4C" w14:textId="77777777">
        <w:tc>
          <w:tcPr>
            <w:tcW w:w="2019" w:type="dxa"/>
            <w:tcBorders>
              <w:top w:val="single" w:sz="4" w:space="0" w:color="000000"/>
              <w:left w:val="single" w:sz="4" w:space="0" w:color="000000"/>
              <w:bottom w:val="single" w:sz="4" w:space="0" w:color="000000"/>
            </w:tcBorders>
            <w:shd w:val="clear" w:color="auto" w:fill="auto"/>
          </w:tcPr>
          <w:p w14:paraId="1F621CEB" w14:textId="77777777" w:rsidR="007A601C" w:rsidRDefault="007A601C">
            <w:pPr>
              <w:pStyle w:val="Default"/>
              <w:widowControl w:val="0"/>
              <w:snapToGrid w:val="0"/>
              <w:spacing w:line="480" w:lineRule="auto"/>
              <w:jc w:val="both"/>
              <w:rPr>
                <w:rFonts w:ascii="Arial" w:eastAsia="Arial" w:hAnsi="Arial" w:cs="Arial"/>
                <w:b/>
                <w:sz w:val="20"/>
                <w:szCs w:val="20"/>
                <w:lang w:val="en-GB"/>
              </w:rPr>
            </w:pPr>
          </w:p>
        </w:tc>
        <w:tc>
          <w:tcPr>
            <w:tcW w:w="2019" w:type="dxa"/>
            <w:tcBorders>
              <w:top w:val="single" w:sz="4" w:space="0" w:color="000000"/>
              <w:left w:val="single" w:sz="4" w:space="0" w:color="000000"/>
              <w:bottom w:val="single" w:sz="4" w:space="0" w:color="000000"/>
            </w:tcBorders>
            <w:shd w:val="clear" w:color="auto" w:fill="auto"/>
          </w:tcPr>
          <w:p w14:paraId="11FC1880" w14:textId="77777777" w:rsidR="007A601C" w:rsidRDefault="00EC7B5B">
            <w:pPr>
              <w:pStyle w:val="Default"/>
              <w:widowControl w:val="0"/>
              <w:spacing w:line="480" w:lineRule="auto"/>
              <w:jc w:val="center"/>
            </w:pPr>
            <w:r>
              <w:rPr>
                <w:rFonts w:ascii="Arial" w:eastAsia="Arial" w:hAnsi="Arial" w:cs="Arial"/>
                <w:b/>
                <w:sz w:val="20"/>
                <w:szCs w:val="20"/>
                <w:lang w:val="en-GB"/>
              </w:rPr>
              <w:t>IC-HD</w:t>
            </w:r>
          </w:p>
        </w:tc>
        <w:tc>
          <w:tcPr>
            <w:tcW w:w="2020" w:type="dxa"/>
            <w:tcBorders>
              <w:top w:val="single" w:sz="4" w:space="0" w:color="000000"/>
              <w:left w:val="single" w:sz="4" w:space="0" w:color="000000"/>
              <w:bottom w:val="single" w:sz="4" w:space="0" w:color="000000"/>
            </w:tcBorders>
            <w:shd w:val="clear" w:color="auto" w:fill="auto"/>
          </w:tcPr>
          <w:p w14:paraId="0F4491A9" w14:textId="77777777" w:rsidR="007A601C" w:rsidRDefault="00EC7B5B">
            <w:pPr>
              <w:pStyle w:val="Default"/>
              <w:widowControl w:val="0"/>
              <w:spacing w:line="480" w:lineRule="auto"/>
              <w:jc w:val="center"/>
            </w:pPr>
            <w:r>
              <w:rPr>
                <w:rFonts w:ascii="Arial" w:eastAsia="Arial" w:hAnsi="Arial" w:cs="Arial"/>
                <w:b/>
                <w:sz w:val="20"/>
                <w:szCs w:val="20"/>
                <w:lang w:val="en-GB"/>
              </w:rPr>
              <w:t>PD</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5494CBD9" w14:textId="77777777" w:rsidR="007A601C" w:rsidRDefault="00EC7B5B">
            <w:pPr>
              <w:pStyle w:val="Default"/>
              <w:widowControl w:val="0"/>
              <w:spacing w:line="480" w:lineRule="auto"/>
              <w:jc w:val="center"/>
            </w:pPr>
            <w:r>
              <w:rPr>
                <w:rFonts w:ascii="Arial" w:eastAsia="Arial" w:hAnsi="Arial" w:cs="Arial"/>
                <w:b/>
                <w:sz w:val="20"/>
                <w:szCs w:val="20"/>
                <w:lang w:val="en-GB"/>
              </w:rPr>
              <w:t>H-HD</w:t>
            </w:r>
          </w:p>
        </w:tc>
      </w:tr>
      <w:tr w:rsidR="007A601C" w14:paraId="32DE946A" w14:textId="77777777">
        <w:tc>
          <w:tcPr>
            <w:tcW w:w="2019" w:type="dxa"/>
            <w:tcBorders>
              <w:top w:val="single" w:sz="4" w:space="0" w:color="000000"/>
              <w:left w:val="single" w:sz="4" w:space="0" w:color="000000"/>
              <w:bottom w:val="single" w:sz="4" w:space="0" w:color="000000"/>
            </w:tcBorders>
            <w:shd w:val="clear" w:color="auto" w:fill="auto"/>
          </w:tcPr>
          <w:p w14:paraId="6DC6C6F9" w14:textId="77777777" w:rsidR="007A601C" w:rsidRDefault="00EC7B5B">
            <w:pPr>
              <w:pStyle w:val="Default"/>
              <w:widowControl w:val="0"/>
              <w:spacing w:line="480" w:lineRule="auto"/>
              <w:jc w:val="both"/>
            </w:pPr>
            <w:r>
              <w:rPr>
                <w:rFonts w:ascii="Arial" w:eastAsia="Arial" w:hAnsi="Arial" w:cs="Arial"/>
                <w:b/>
                <w:sz w:val="20"/>
                <w:szCs w:val="20"/>
                <w:lang w:val="en-GB"/>
              </w:rPr>
              <w:t>Belgium</w:t>
            </w:r>
          </w:p>
        </w:tc>
        <w:tc>
          <w:tcPr>
            <w:tcW w:w="2019" w:type="dxa"/>
            <w:tcBorders>
              <w:top w:val="single" w:sz="4" w:space="0" w:color="000000"/>
              <w:left w:val="single" w:sz="4" w:space="0" w:color="000000"/>
              <w:bottom w:val="single" w:sz="4" w:space="0" w:color="000000"/>
            </w:tcBorders>
            <w:shd w:val="clear" w:color="auto" w:fill="auto"/>
          </w:tcPr>
          <w:p w14:paraId="7DCC37EA" w14:textId="77777777" w:rsidR="007A601C" w:rsidRDefault="00EC7B5B">
            <w:pPr>
              <w:pStyle w:val="Default"/>
              <w:widowControl w:val="0"/>
              <w:spacing w:line="480" w:lineRule="auto"/>
              <w:jc w:val="center"/>
            </w:pPr>
            <w:r>
              <w:rPr>
                <w:rFonts w:ascii="Arial" w:hAnsi="Arial" w:cs="Arial"/>
                <w:sz w:val="20"/>
                <w:szCs w:val="20"/>
                <w:lang w:val="en-GB" w:eastAsia="it-IT"/>
              </w:rPr>
              <w:t>60,234.76</w:t>
            </w:r>
          </w:p>
        </w:tc>
        <w:tc>
          <w:tcPr>
            <w:tcW w:w="2020" w:type="dxa"/>
            <w:tcBorders>
              <w:top w:val="single" w:sz="4" w:space="0" w:color="000000"/>
              <w:left w:val="single" w:sz="4" w:space="0" w:color="000000"/>
              <w:bottom w:val="single" w:sz="4" w:space="0" w:color="000000"/>
            </w:tcBorders>
            <w:shd w:val="clear" w:color="auto" w:fill="auto"/>
          </w:tcPr>
          <w:p w14:paraId="1E89F6C8" w14:textId="77777777" w:rsidR="007A601C" w:rsidRDefault="00EC7B5B">
            <w:pPr>
              <w:pStyle w:val="Default"/>
              <w:widowControl w:val="0"/>
              <w:spacing w:line="480" w:lineRule="auto"/>
              <w:jc w:val="center"/>
            </w:pPr>
            <w:r>
              <w:rPr>
                <w:rFonts w:ascii="Arial" w:hAnsi="Arial" w:cs="Arial"/>
                <w:sz w:val="20"/>
                <w:szCs w:val="20"/>
                <w:lang w:val="en-GB" w:eastAsia="it-IT"/>
              </w:rPr>
              <w:t>36,897.54</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2DCD2A5A" w14:textId="77777777" w:rsidR="007A601C" w:rsidRDefault="00EC7B5B">
            <w:pPr>
              <w:pStyle w:val="Default"/>
              <w:widowControl w:val="0"/>
              <w:spacing w:line="480" w:lineRule="auto"/>
              <w:jc w:val="center"/>
            </w:pPr>
            <w:r>
              <w:rPr>
                <w:rFonts w:ascii="Arial" w:hAnsi="Arial" w:cs="Arial"/>
                <w:sz w:val="20"/>
                <w:szCs w:val="20"/>
                <w:lang w:val="en-GB" w:eastAsia="it-IT"/>
              </w:rPr>
              <w:t>39,145.1</w:t>
            </w:r>
          </w:p>
        </w:tc>
      </w:tr>
      <w:tr w:rsidR="007A601C" w14:paraId="559967FB" w14:textId="77777777">
        <w:tc>
          <w:tcPr>
            <w:tcW w:w="2019" w:type="dxa"/>
            <w:tcBorders>
              <w:top w:val="single" w:sz="4" w:space="0" w:color="000000"/>
              <w:left w:val="single" w:sz="4" w:space="0" w:color="000000"/>
              <w:bottom w:val="single" w:sz="4" w:space="0" w:color="000000"/>
            </w:tcBorders>
            <w:shd w:val="clear" w:color="auto" w:fill="auto"/>
          </w:tcPr>
          <w:p w14:paraId="1FF0788E" w14:textId="77777777" w:rsidR="007A601C" w:rsidRDefault="00EC7B5B">
            <w:pPr>
              <w:pStyle w:val="Default"/>
              <w:widowControl w:val="0"/>
              <w:spacing w:line="480" w:lineRule="auto"/>
              <w:jc w:val="both"/>
            </w:pPr>
            <w:r>
              <w:rPr>
                <w:rFonts w:ascii="Arial" w:hAnsi="Arial" w:cs="Arial"/>
                <w:b/>
                <w:sz w:val="20"/>
                <w:szCs w:val="20"/>
                <w:lang w:val="en-GB" w:eastAsia="it-IT"/>
              </w:rPr>
              <w:t>Germany</w:t>
            </w:r>
          </w:p>
        </w:tc>
        <w:tc>
          <w:tcPr>
            <w:tcW w:w="2019" w:type="dxa"/>
            <w:tcBorders>
              <w:top w:val="single" w:sz="4" w:space="0" w:color="000000"/>
              <w:left w:val="single" w:sz="4" w:space="0" w:color="000000"/>
              <w:bottom w:val="single" w:sz="4" w:space="0" w:color="000000"/>
            </w:tcBorders>
            <w:shd w:val="clear" w:color="auto" w:fill="auto"/>
          </w:tcPr>
          <w:p w14:paraId="674DB574" w14:textId="77777777" w:rsidR="007A601C" w:rsidRDefault="00EC7B5B">
            <w:pPr>
              <w:pStyle w:val="Default"/>
              <w:widowControl w:val="0"/>
              <w:spacing w:line="480" w:lineRule="auto"/>
              <w:jc w:val="center"/>
            </w:pPr>
            <w:r>
              <w:rPr>
                <w:rFonts w:ascii="Arial" w:hAnsi="Arial" w:cs="Arial"/>
                <w:sz w:val="20"/>
                <w:szCs w:val="20"/>
                <w:lang w:val="en-GB" w:eastAsia="it-IT"/>
              </w:rPr>
              <w:t>42,366.61</w:t>
            </w:r>
          </w:p>
        </w:tc>
        <w:tc>
          <w:tcPr>
            <w:tcW w:w="2020" w:type="dxa"/>
            <w:tcBorders>
              <w:top w:val="single" w:sz="4" w:space="0" w:color="000000"/>
              <w:left w:val="single" w:sz="4" w:space="0" w:color="000000"/>
              <w:bottom w:val="single" w:sz="4" w:space="0" w:color="000000"/>
            </w:tcBorders>
            <w:shd w:val="clear" w:color="auto" w:fill="auto"/>
          </w:tcPr>
          <w:p w14:paraId="2B370320" w14:textId="77777777" w:rsidR="007A601C" w:rsidRDefault="00EC7B5B">
            <w:pPr>
              <w:pStyle w:val="Default"/>
              <w:widowControl w:val="0"/>
              <w:spacing w:line="480" w:lineRule="auto"/>
              <w:jc w:val="center"/>
            </w:pPr>
            <w:r>
              <w:rPr>
                <w:rFonts w:ascii="Arial" w:hAnsi="Arial" w:cs="Arial"/>
                <w:sz w:val="20"/>
                <w:szCs w:val="20"/>
                <w:lang w:val="en-GB" w:eastAsia="it-IT"/>
              </w:rPr>
              <w:t>40,343.8</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787FB03F" w14:textId="77777777" w:rsidR="007A601C" w:rsidRDefault="00EC7B5B">
            <w:pPr>
              <w:pStyle w:val="Default"/>
              <w:widowControl w:val="0"/>
              <w:spacing w:line="480" w:lineRule="auto"/>
              <w:jc w:val="center"/>
            </w:pPr>
            <w:r>
              <w:rPr>
                <w:rFonts w:ascii="Arial" w:hAnsi="Arial" w:cs="Arial"/>
                <w:sz w:val="20"/>
                <w:szCs w:val="20"/>
                <w:lang w:val="en-GB" w:eastAsia="it-IT"/>
              </w:rPr>
              <w:t>25,285.11</w:t>
            </w:r>
          </w:p>
        </w:tc>
      </w:tr>
      <w:tr w:rsidR="007A601C" w14:paraId="7C3771D6" w14:textId="77777777">
        <w:tc>
          <w:tcPr>
            <w:tcW w:w="2019" w:type="dxa"/>
            <w:tcBorders>
              <w:top w:val="single" w:sz="4" w:space="0" w:color="000000"/>
              <w:left w:val="single" w:sz="4" w:space="0" w:color="000000"/>
              <w:bottom w:val="single" w:sz="4" w:space="0" w:color="000000"/>
            </w:tcBorders>
            <w:shd w:val="clear" w:color="auto" w:fill="auto"/>
          </w:tcPr>
          <w:p w14:paraId="7936F533" w14:textId="77777777" w:rsidR="007A601C" w:rsidRDefault="00EC7B5B">
            <w:pPr>
              <w:pStyle w:val="Default"/>
              <w:widowControl w:val="0"/>
              <w:spacing w:line="480" w:lineRule="auto"/>
              <w:jc w:val="both"/>
            </w:pPr>
            <w:r>
              <w:rPr>
                <w:rFonts w:ascii="Arial" w:hAnsi="Arial" w:cs="Arial"/>
                <w:b/>
                <w:sz w:val="20"/>
                <w:szCs w:val="20"/>
                <w:lang w:val="en-GB" w:eastAsia="it-IT"/>
              </w:rPr>
              <w:t>The Netherlands</w:t>
            </w:r>
          </w:p>
        </w:tc>
        <w:tc>
          <w:tcPr>
            <w:tcW w:w="2019" w:type="dxa"/>
            <w:tcBorders>
              <w:top w:val="single" w:sz="4" w:space="0" w:color="000000"/>
              <w:left w:val="single" w:sz="4" w:space="0" w:color="000000"/>
              <w:bottom w:val="single" w:sz="4" w:space="0" w:color="000000"/>
            </w:tcBorders>
            <w:shd w:val="clear" w:color="auto" w:fill="auto"/>
          </w:tcPr>
          <w:p w14:paraId="4C69B0BE" w14:textId="77777777" w:rsidR="007A601C" w:rsidRDefault="00EC7B5B">
            <w:pPr>
              <w:pStyle w:val="Default"/>
              <w:widowControl w:val="0"/>
              <w:spacing w:line="480" w:lineRule="auto"/>
              <w:jc w:val="center"/>
            </w:pPr>
            <w:r>
              <w:rPr>
                <w:rFonts w:ascii="Arial" w:hAnsi="Arial" w:cs="Arial"/>
                <w:sz w:val="20"/>
                <w:szCs w:val="20"/>
                <w:lang w:val="en-GB" w:eastAsia="it-IT"/>
              </w:rPr>
              <w:t>62,482.33</w:t>
            </w:r>
          </w:p>
        </w:tc>
        <w:tc>
          <w:tcPr>
            <w:tcW w:w="2020" w:type="dxa"/>
            <w:tcBorders>
              <w:top w:val="single" w:sz="4" w:space="0" w:color="000000"/>
              <w:left w:val="single" w:sz="4" w:space="0" w:color="000000"/>
              <w:bottom w:val="single" w:sz="4" w:space="0" w:color="000000"/>
            </w:tcBorders>
            <w:shd w:val="clear" w:color="auto" w:fill="auto"/>
          </w:tcPr>
          <w:p w14:paraId="0DAE55BF" w14:textId="77777777" w:rsidR="007A601C" w:rsidRDefault="00EC7B5B">
            <w:pPr>
              <w:pStyle w:val="Default"/>
              <w:widowControl w:val="0"/>
              <w:spacing w:line="480" w:lineRule="auto"/>
              <w:jc w:val="center"/>
            </w:pPr>
            <w:r>
              <w:rPr>
                <w:rFonts w:ascii="Arial" w:hAnsi="Arial" w:cs="Arial"/>
                <w:sz w:val="20"/>
                <w:szCs w:val="20"/>
                <w:lang w:val="en-GB" w:eastAsia="it-IT"/>
              </w:rPr>
              <w:t>42,179.32</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741C495D" w14:textId="77777777" w:rsidR="007A601C" w:rsidRDefault="00EC7B5B">
            <w:pPr>
              <w:pStyle w:val="Default"/>
              <w:widowControl w:val="0"/>
              <w:spacing w:line="480" w:lineRule="auto"/>
              <w:jc w:val="center"/>
            </w:pPr>
            <w:r>
              <w:rPr>
                <w:rFonts w:ascii="Arial" w:hAnsi="Arial" w:cs="Arial"/>
                <w:sz w:val="20"/>
                <w:szCs w:val="20"/>
                <w:lang w:val="en-GB" w:eastAsia="it-IT"/>
              </w:rPr>
              <w:t>46,674.45</w:t>
            </w:r>
          </w:p>
        </w:tc>
      </w:tr>
      <w:tr w:rsidR="007A601C" w14:paraId="6F02867D" w14:textId="77777777">
        <w:tc>
          <w:tcPr>
            <w:tcW w:w="2019" w:type="dxa"/>
            <w:tcBorders>
              <w:top w:val="single" w:sz="4" w:space="0" w:color="000000"/>
              <w:left w:val="single" w:sz="4" w:space="0" w:color="000000"/>
              <w:bottom w:val="single" w:sz="4" w:space="0" w:color="000000"/>
            </w:tcBorders>
            <w:shd w:val="clear" w:color="auto" w:fill="auto"/>
          </w:tcPr>
          <w:p w14:paraId="76172516" w14:textId="77777777" w:rsidR="007A601C" w:rsidRDefault="00EC7B5B">
            <w:pPr>
              <w:pStyle w:val="Default"/>
              <w:widowControl w:val="0"/>
              <w:spacing w:line="480" w:lineRule="auto"/>
              <w:jc w:val="both"/>
            </w:pPr>
            <w:r>
              <w:rPr>
                <w:rFonts w:ascii="Arial" w:eastAsia="Arial" w:hAnsi="Arial" w:cs="Arial"/>
                <w:b/>
                <w:sz w:val="20"/>
                <w:szCs w:val="20"/>
                <w:lang w:val="en-GB"/>
              </w:rPr>
              <w:t>United Kingdom</w:t>
            </w:r>
          </w:p>
        </w:tc>
        <w:tc>
          <w:tcPr>
            <w:tcW w:w="2019" w:type="dxa"/>
            <w:tcBorders>
              <w:top w:val="single" w:sz="4" w:space="0" w:color="000000"/>
              <w:left w:val="single" w:sz="4" w:space="0" w:color="000000"/>
              <w:bottom w:val="single" w:sz="4" w:space="0" w:color="000000"/>
            </w:tcBorders>
            <w:shd w:val="clear" w:color="auto" w:fill="auto"/>
          </w:tcPr>
          <w:p w14:paraId="70F6B10E" w14:textId="77777777" w:rsidR="007A601C" w:rsidRDefault="00EC7B5B">
            <w:pPr>
              <w:pStyle w:val="Default"/>
              <w:widowControl w:val="0"/>
              <w:spacing w:line="480" w:lineRule="auto"/>
              <w:jc w:val="center"/>
            </w:pPr>
            <w:r>
              <w:rPr>
                <w:rFonts w:ascii="Arial" w:hAnsi="Arial" w:cs="Arial"/>
                <w:sz w:val="20"/>
                <w:szCs w:val="20"/>
                <w:lang w:val="en-GB" w:eastAsia="it-IT"/>
              </w:rPr>
              <w:t>27,869.81</w:t>
            </w:r>
          </w:p>
        </w:tc>
        <w:tc>
          <w:tcPr>
            <w:tcW w:w="2020" w:type="dxa"/>
            <w:tcBorders>
              <w:top w:val="single" w:sz="4" w:space="0" w:color="000000"/>
              <w:left w:val="single" w:sz="4" w:space="0" w:color="000000"/>
              <w:bottom w:val="single" w:sz="4" w:space="0" w:color="000000"/>
            </w:tcBorders>
            <w:shd w:val="clear" w:color="auto" w:fill="auto"/>
          </w:tcPr>
          <w:p w14:paraId="42F34DDD" w14:textId="77777777" w:rsidR="007A601C" w:rsidRDefault="00EC7B5B">
            <w:pPr>
              <w:pStyle w:val="Default"/>
              <w:widowControl w:val="0"/>
              <w:spacing w:line="480" w:lineRule="auto"/>
              <w:jc w:val="center"/>
            </w:pPr>
            <w:r>
              <w:rPr>
                <w:rFonts w:ascii="Arial" w:hAnsi="Arial" w:cs="Arial"/>
                <w:sz w:val="20"/>
                <w:szCs w:val="20"/>
                <w:lang w:val="en-GB" w:eastAsia="it-IT"/>
              </w:rPr>
              <w:t>20,864.9</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0AFEE0CB" w14:textId="77777777" w:rsidR="007A601C" w:rsidRDefault="00EC7B5B">
            <w:pPr>
              <w:pStyle w:val="Default"/>
              <w:widowControl w:val="0"/>
              <w:spacing w:line="480" w:lineRule="auto"/>
              <w:jc w:val="center"/>
            </w:pPr>
            <w:r>
              <w:rPr>
                <w:rFonts w:ascii="Arial" w:hAnsi="Arial" w:cs="Arial"/>
                <w:sz w:val="20"/>
                <w:szCs w:val="20"/>
                <w:lang w:val="en-GB" w:eastAsia="it-IT"/>
              </w:rPr>
              <w:t>27,869.81</w:t>
            </w:r>
          </w:p>
        </w:tc>
      </w:tr>
      <w:tr w:rsidR="007A601C" w14:paraId="5BE342E6" w14:textId="77777777">
        <w:tc>
          <w:tcPr>
            <w:tcW w:w="2019" w:type="dxa"/>
            <w:tcBorders>
              <w:top w:val="single" w:sz="4" w:space="0" w:color="000000"/>
              <w:left w:val="single" w:sz="4" w:space="0" w:color="000000"/>
              <w:bottom w:val="single" w:sz="4" w:space="0" w:color="000000"/>
            </w:tcBorders>
            <w:shd w:val="clear" w:color="auto" w:fill="auto"/>
          </w:tcPr>
          <w:p w14:paraId="4EEE52D5" w14:textId="77777777" w:rsidR="007A601C" w:rsidRDefault="00EC7B5B">
            <w:pPr>
              <w:pStyle w:val="Default"/>
              <w:widowControl w:val="0"/>
              <w:spacing w:line="480" w:lineRule="auto"/>
              <w:jc w:val="both"/>
            </w:pPr>
            <w:r>
              <w:rPr>
                <w:rFonts w:ascii="Arial" w:eastAsia="Arial" w:hAnsi="Arial" w:cs="Arial"/>
                <w:b/>
                <w:sz w:val="20"/>
                <w:szCs w:val="20"/>
                <w:lang w:val="en-GB"/>
              </w:rPr>
              <w:t>France</w:t>
            </w:r>
          </w:p>
        </w:tc>
        <w:tc>
          <w:tcPr>
            <w:tcW w:w="2019" w:type="dxa"/>
            <w:tcBorders>
              <w:top w:val="single" w:sz="4" w:space="0" w:color="000000"/>
              <w:left w:val="single" w:sz="4" w:space="0" w:color="000000"/>
              <w:bottom w:val="single" w:sz="4" w:space="0" w:color="000000"/>
            </w:tcBorders>
            <w:shd w:val="clear" w:color="auto" w:fill="auto"/>
          </w:tcPr>
          <w:p w14:paraId="27ECA519" w14:textId="77777777" w:rsidR="007A601C" w:rsidRDefault="00EC7B5B">
            <w:pPr>
              <w:pStyle w:val="Default"/>
              <w:widowControl w:val="0"/>
              <w:spacing w:line="480" w:lineRule="auto"/>
              <w:jc w:val="center"/>
            </w:pPr>
            <w:r>
              <w:rPr>
                <w:rFonts w:ascii="Arial" w:hAnsi="Arial" w:cs="Arial"/>
                <w:sz w:val="20"/>
                <w:szCs w:val="20"/>
                <w:lang w:val="en-GB" w:eastAsia="it-IT"/>
              </w:rPr>
              <w:t>51,094.66</w:t>
            </w:r>
          </w:p>
        </w:tc>
        <w:tc>
          <w:tcPr>
            <w:tcW w:w="2020" w:type="dxa"/>
            <w:tcBorders>
              <w:top w:val="single" w:sz="4" w:space="0" w:color="000000"/>
              <w:left w:val="single" w:sz="4" w:space="0" w:color="000000"/>
              <w:bottom w:val="single" w:sz="4" w:space="0" w:color="000000"/>
            </w:tcBorders>
            <w:shd w:val="clear" w:color="auto" w:fill="auto"/>
          </w:tcPr>
          <w:p w14:paraId="3C868341" w14:textId="77777777" w:rsidR="007A601C" w:rsidRDefault="00EC7B5B">
            <w:pPr>
              <w:pStyle w:val="Default"/>
              <w:widowControl w:val="0"/>
              <w:spacing w:line="480" w:lineRule="auto"/>
              <w:jc w:val="center"/>
            </w:pPr>
            <w:r>
              <w:rPr>
                <w:rFonts w:ascii="Arial" w:hAnsi="Arial" w:cs="Arial"/>
                <w:sz w:val="20"/>
                <w:szCs w:val="20"/>
                <w:lang w:val="en-GB" w:eastAsia="it-IT"/>
              </w:rPr>
              <w:t>30,772.92</w:t>
            </w:r>
          </w:p>
        </w:tc>
        <w:tc>
          <w:tcPr>
            <w:tcW w:w="2099" w:type="dxa"/>
            <w:tcBorders>
              <w:top w:val="single" w:sz="4" w:space="0" w:color="000000"/>
              <w:left w:val="single" w:sz="4" w:space="0" w:color="000000"/>
              <w:bottom w:val="single" w:sz="4" w:space="0" w:color="000000"/>
              <w:right w:val="single" w:sz="4" w:space="0" w:color="000000"/>
            </w:tcBorders>
            <w:shd w:val="clear" w:color="auto" w:fill="auto"/>
          </w:tcPr>
          <w:p w14:paraId="0F661FEB" w14:textId="77777777" w:rsidR="007A601C" w:rsidRDefault="00EC7B5B">
            <w:pPr>
              <w:pStyle w:val="Default"/>
              <w:widowControl w:val="0"/>
              <w:spacing w:line="480" w:lineRule="auto"/>
              <w:jc w:val="center"/>
            </w:pPr>
            <w:r>
              <w:rPr>
                <w:rFonts w:ascii="Arial" w:hAnsi="Arial" w:cs="Arial"/>
                <w:sz w:val="20"/>
                <w:szCs w:val="20"/>
                <w:lang w:val="en-GB" w:eastAsia="it-IT"/>
              </w:rPr>
              <w:t>30,566.89</w:t>
            </w:r>
          </w:p>
        </w:tc>
      </w:tr>
    </w:tbl>
    <w:p w14:paraId="388A6B2A" w14:textId="77777777" w:rsidR="007A601C" w:rsidRDefault="007A601C">
      <w:pPr>
        <w:pStyle w:val="Default"/>
        <w:spacing w:line="480" w:lineRule="auto"/>
        <w:jc w:val="both"/>
        <w:rPr>
          <w:rFonts w:ascii="Arial" w:eastAsia="Arial" w:hAnsi="Arial" w:cs="Arial"/>
          <w:lang w:val="en-GB"/>
        </w:rPr>
      </w:pPr>
    </w:p>
    <w:p w14:paraId="313DFC88" w14:textId="77777777" w:rsidR="007A601C" w:rsidRDefault="00EC7B5B">
      <w:pPr>
        <w:pStyle w:val="Default"/>
        <w:spacing w:line="480" w:lineRule="auto"/>
        <w:jc w:val="both"/>
        <w:rPr>
          <w:lang w:val="en-US"/>
        </w:rPr>
      </w:pPr>
      <w:r>
        <w:rPr>
          <w:rFonts w:ascii="Arial" w:eastAsia="Arial" w:hAnsi="Arial" w:cs="Arial"/>
          <w:i/>
          <w:lang w:val="en-GB"/>
        </w:rPr>
        <w:t xml:space="preserve">Tab. 2S Estimate of the costs of dialysis in Europe, based on reimbursements. Conversion from U.S. dollars to euro at the average exchange value of 2012, mod. from </w:t>
      </w:r>
      <w:proofErr w:type="spellStart"/>
      <w:r>
        <w:rPr>
          <w:rFonts w:ascii="Arial" w:eastAsia="Arial" w:hAnsi="Arial" w:cs="Arial"/>
          <w:i/>
          <w:lang w:val="en-GB"/>
        </w:rPr>
        <w:t>Vanholder</w:t>
      </w:r>
      <w:proofErr w:type="spellEnd"/>
      <w:r>
        <w:rPr>
          <w:rFonts w:ascii="Arial" w:eastAsia="Arial" w:hAnsi="Arial" w:cs="Arial"/>
          <w:i/>
          <w:lang w:val="en-GB"/>
        </w:rPr>
        <w:t xml:space="preserve">, </w:t>
      </w:r>
      <w:r>
        <w:rPr>
          <w:rFonts w:ascii="Arial" w:hAnsi="Arial" w:cs="Arial"/>
          <w:lang w:val="en-GB"/>
        </w:rPr>
        <w:t>[Nephrol Dial Transplant. 2016 Aug;31(8):1251-61.]</w:t>
      </w:r>
    </w:p>
    <w:p w14:paraId="320DB1D1" w14:textId="77777777" w:rsidR="007A601C" w:rsidRDefault="007A6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lang w:val="en-US"/>
        </w:rPr>
      </w:pPr>
    </w:p>
    <w:sectPr w:rsidR="007A601C">
      <w:pgSz w:w="11906" w:h="16838"/>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Droid Sans Fallback">
    <w:panose1 w:val="020B0604020202020204"/>
    <w:charset w:val="00"/>
    <w:family w:val="roman"/>
    <w:notTrueType/>
    <w:pitch w:val="default"/>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01C"/>
    <w:rsid w:val="001374C3"/>
    <w:rsid w:val="00353B07"/>
    <w:rsid w:val="00387923"/>
    <w:rsid w:val="003E018C"/>
    <w:rsid w:val="004F0F62"/>
    <w:rsid w:val="00556D76"/>
    <w:rsid w:val="00561B74"/>
    <w:rsid w:val="00656945"/>
    <w:rsid w:val="007A601C"/>
    <w:rsid w:val="00827DCA"/>
    <w:rsid w:val="00835428"/>
    <w:rsid w:val="00845C74"/>
    <w:rsid w:val="0090168C"/>
    <w:rsid w:val="009F3681"/>
    <w:rsid w:val="00DF20C7"/>
    <w:rsid w:val="00EC7B5B"/>
  </w:rsids>
  <m:mathPr>
    <m:mathFont m:val="Cambria Math"/>
    <m:brkBin m:val="before"/>
    <m:brkBinSub m:val="--"/>
    <m:smallFrac m:val="0"/>
    <m:dispDef/>
    <m:lMargin m:val="0"/>
    <m:rMargin m:val="0"/>
    <m:defJc m:val="centerGroup"/>
    <m:wrapIndent m:val="1440"/>
    <m:intLim m:val="subSup"/>
    <m:naryLim m:val="undOvr"/>
  </m:mathPr>
  <w:themeFontLang w:val="en-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339B"/>
  <w15:docId w15:val="{F7861AB6-1AC3-0F4C-9677-673BF627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5A5"/>
    <w:rPr>
      <w:rFonts w:ascii="Liberation Serif" w:eastAsia="NSimSun" w:hAnsi="Liberation Serif" w:cs="Arial"/>
      <w:kern w:val="2"/>
      <w:lang w:val="it-IT"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1">
    <w:name w:val="Titolo1"/>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ice">
    <w:name w:val="Indice"/>
    <w:basedOn w:val="Normal"/>
    <w:qFormat/>
    <w:pPr>
      <w:suppressLineNumbers/>
    </w:pPr>
  </w:style>
  <w:style w:type="paragraph" w:customStyle="1" w:styleId="Default">
    <w:name w:val="Default"/>
    <w:qFormat/>
    <w:rsid w:val="002E5A3E"/>
    <w:rPr>
      <w:rFonts w:ascii="Times New Roman" w:eastAsia="Droid Sans Fallback" w:hAnsi="Times New Roman" w:cs="Times New Roman"/>
      <w:color w:val="000000"/>
      <w:kern w:val="2"/>
      <w:lang w:val="it-IT" w:eastAsia="zh-CN"/>
    </w:rPr>
  </w:style>
  <w:style w:type="paragraph" w:styleId="Revision">
    <w:name w:val="Revision"/>
    <w:hidden/>
    <w:uiPriority w:val="99"/>
    <w:semiHidden/>
    <w:rsid w:val="0090168C"/>
    <w:pPr>
      <w:suppressAutoHyphens w:val="0"/>
    </w:pPr>
    <w:rPr>
      <w:rFonts w:ascii="Liberation Serif" w:eastAsia="NSimSun" w:hAnsi="Liberation Serif" w:cs="Mangal"/>
      <w:kern w:val="2"/>
      <w:szCs w:val="21"/>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773</Words>
  <Characters>4407</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Savino Sciascia</dc:creator>
  <dc:description/>
  <cp:lastModifiedBy>Savino Sciascia</cp:lastModifiedBy>
  <cp:revision>3</cp:revision>
  <dcterms:created xsi:type="dcterms:W3CDTF">2024-02-12T11:01:00Z</dcterms:created>
  <dcterms:modified xsi:type="dcterms:W3CDTF">2024-02-14T13:20:00Z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