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3F8C" w14:textId="77777777" w:rsidR="00320AB7" w:rsidRPr="00320AB7" w:rsidRDefault="00320AB7" w:rsidP="00320AB7">
      <w:pPr>
        <w:spacing w:after="0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14:ligatures w14:val="standardContextual"/>
        </w:rPr>
      </w:pPr>
      <w:bookmarkStart w:id="0" w:name="_Hlk148436802"/>
      <w:r w:rsidRPr="00320AB7"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14:ligatures w14:val="standardContextual"/>
        </w:rPr>
        <w:t>Supplemental Material for</w:t>
      </w:r>
    </w:p>
    <w:p w14:paraId="2D289E99" w14:textId="77777777" w:rsidR="00320AB7" w:rsidRPr="00320AB7" w:rsidRDefault="00320AB7" w:rsidP="00320AB7">
      <w:pPr>
        <w:spacing w:after="0"/>
        <w:rPr>
          <w:rFonts w:ascii="Times New Roman" w:eastAsiaTheme="minorHAns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0A592B07" w14:textId="77777777" w:rsidR="00320AB7" w:rsidRPr="00320AB7" w:rsidRDefault="00320AB7" w:rsidP="00320AB7">
      <w:pPr>
        <w:spacing w:after="0"/>
        <w:rPr>
          <w:rFonts w:ascii="Times New Roman" w:eastAsiaTheme="minorHAnsi" w:hAnsi="Times New Roman" w:cs="Times New Roman"/>
          <w:b/>
          <w:bCs/>
          <w:kern w:val="2"/>
          <w:sz w:val="36"/>
          <w:szCs w:val="36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Preparing for a </w:t>
      </w:r>
      <w:proofErr w:type="spellStart"/>
      <w:r w:rsidRPr="00320AB7">
        <w:rPr>
          <w:rFonts w:ascii="Times New Roman" w:eastAsiaTheme="minorHAnsi" w:hAnsi="Times New Roman" w:cs="Times New Roman"/>
          <w:b/>
          <w:bCs/>
          <w:i/>
          <w:iCs/>
          <w:kern w:val="2"/>
          <w:sz w:val="36"/>
          <w:szCs w:val="36"/>
          <w14:ligatures w14:val="standardContextual"/>
        </w:rPr>
        <w:t>Bsal</w:t>
      </w:r>
      <w:proofErr w:type="spellEnd"/>
      <w:r w:rsidRPr="00320AB7">
        <w:rPr>
          <w:rFonts w:ascii="Times New Roman" w:eastAsiaTheme="minorHAnsi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 invasion into North America has improved multi-sector </w:t>
      </w:r>
      <w:proofErr w:type="gramStart"/>
      <w:r w:rsidRPr="00320AB7">
        <w:rPr>
          <w:rFonts w:ascii="Times New Roman" w:eastAsiaTheme="minorHAnsi" w:hAnsi="Times New Roman" w:cs="Times New Roman"/>
          <w:b/>
          <w:bCs/>
          <w:kern w:val="2"/>
          <w:sz w:val="36"/>
          <w:szCs w:val="36"/>
          <w14:ligatures w14:val="standardContextual"/>
        </w:rPr>
        <w:t>readiness</w:t>
      </w:r>
      <w:bookmarkEnd w:id="0"/>
      <w:proofErr w:type="gramEnd"/>
    </w:p>
    <w:p w14:paraId="19D45E0C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14:paraId="0328B62C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Deanna H. Olson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*, Evan H. Campbell Grant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Molly Bletz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2,3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Jonah Piovia-Scott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4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David Lesbarrères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5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Jacob L. Kerby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6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Michael J. Adams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7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Maria Florencia Breitman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8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Michelle R. Christman</w:t>
      </w:r>
      <w:r w:rsidRPr="00320AB7">
        <w:rPr>
          <w:rFonts w:ascii="Times New Roman" w:eastAsiaTheme="minorHAnsi" w:hAnsi="Times New Roman" w:cs="Times New Roman"/>
          <w:smallCaps/>
          <w:sz w:val="24"/>
          <w:szCs w:val="24"/>
          <w:vertAlign w:val="superscript"/>
          <w14:ligatures w14:val="standardContextual"/>
        </w:rPr>
        <w:t>9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María J. Forzán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10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Matthew J. Gray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Aubree J. Hill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Michelle S. Koo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13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Olga Milenkaya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14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Eria A. Rebollar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15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Louise A. Rollins-Smith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16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Megan Serr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17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Alexander Shepack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18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Leonard Shirose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19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Laura Sprague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20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Jenifer B. Walke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, Alexa R. Warwick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and Brittany A. Mosher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23</w:t>
      </w:r>
    </w:p>
    <w:p w14:paraId="4BE17838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14:paraId="23CDEC11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Pacific Northwest Research Station, Forest Service (USDA), Corvallis, OR,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U.S.</w:t>
      </w:r>
    </w:p>
    <w:p w14:paraId="2DE60BFD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Geological Survey, Eastern Ecological Research Center/Patuxent Wildlife Research Center, Turners Falls, MS,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3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Biology, University of Massachusetts Amherst, Amherst, MA,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4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School of Biological Sciences, Washington State University Vancouver, Vancouver, WA,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5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Environment and Climate Change Canada (ECCC), Ottawa, ON, Canada,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6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Biology Department, University of South Dakota, Vermillion, SD,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7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Forest and Rangeland Ecosystem Science Center, U.S. Geological Survey (USGS), Corvallis, OR,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8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Biology and Environmental Science, Auburn University at Montgomery, Montgomery, AL,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9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National Wildlife Refuge System, United States Fish and Wildlife Service (USFWS), Washington, DC,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10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College of Veterinary Medicine, Long Island University, Brookville, NY,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School of Natural Resources, The University of Tennessee, Knoxville, Knoxville, TN,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Biology, Tennessee Technological University, Cookeville, TN,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13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Museum of Vertebrate Zoology, University of California, Berkeley, Berkeley, CA, United States,</w:t>
      </w:r>
    </w:p>
    <w:p w14:paraId="6D66AB25" w14:textId="77777777" w:rsidR="00320AB7" w:rsidRPr="00320AB7" w:rsidRDefault="00320AB7" w:rsidP="00320A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14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Conservation Biology Program, Warren Wilson College, Swannanoa, NC,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15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Faculty of Higher Studies Zaragoza (</w:t>
      </w:r>
      <w:proofErr w:type="spellStart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Facultad</w:t>
      </w:r>
      <w:proofErr w:type="spellEnd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de </w:t>
      </w:r>
      <w:proofErr w:type="spellStart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estudios</w:t>
      </w:r>
      <w:proofErr w:type="spellEnd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superiores</w:t>
      </w:r>
      <w:proofErr w:type="spellEnd"/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Zaragoza), National Autonomous University of Mexico, México City, Mexico,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16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School of Medicine, Vanderbilt University, Nashville, TN,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17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Biology, Meredith College, Raleigh, NC,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18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Biological Sciences, Florida International University, Miami, FL,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19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Canadian Wildlife Health Cooperative, Department of Pathobiology, University of Guelph, Guelph, ON, Canada,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20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Pacific Region Fish Health Program, U.S. Fish and Wildlife Service (USFWS), Orofino, ID,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21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Biology, Eastern Washington University, Cheney, WA,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22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Department of Fisheries and Wildlife, Michigan State University, East Lansing, MI, United States, </w:t>
      </w:r>
      <w:r w:rsidRPr="00320AB7">
        <w:rPr>
          <w:rFonts w:ascii="Times New Roman" w:eastAsiaTheme="minorHAnsi" w:hAnsi="Times New Roman" w:cs="Times New Roman"/>
          <w:sz w:val="24"/>
          <w:szCs w:val="24"/>
          <w:vertAlign w:val="superscript"/>
          <w14:ligatures w14:val="standardContextual"/>
        </w:rPr>
        <w:t>23</w:t>
      </w: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Rubenstein School of</w:t>
      </w:r>
    </w:p>
    <w:p w14:paraId="16C09A2A" w14:textId="77777777" w:rsidR="00320AB7" w:rsidRPr="00320AB7" w:rsidRDefault="00320AB7" w:rsidP="00320AB7">
      <w:pP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Environment and Natural Resources, University of Vermont, Burlington, VT, United States</w:t>
      </w:r>
    </w:p>
    <w:p w14:paraId="75E6EA23" w14:textId="77777777" w:rsidR="00320AB7" w:rsidRPr="00320AB7" w:rsidRDefault="00320AB7" w:rsidP="00320AB7">
      <w:pP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</w:p>
    <w:p w14:paraId="36B1395A" w14:textId="77777777" w:rsidR="00320AB7" w:rsidRPr="00320AB7" w:rsidRDefault="00320AB7" w:rsidP="00320AB7">
      <w:pP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Any use of trade, product, or firm names is for descriptive purposes only and does not imply endorsement by the U.S. Government.</w:t>
      </w:r>
    </w:p>
    <w:p w14:paraId="47F1F641" w14:textId="77777777" w:rsidR="00320AB7" w:rsidRPr="00320AB7" w:rsidRDefault="00320AB7" w:rsidP="00320AB7">
      <w:pP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</w:p>
    <w:p w14:paraId="2880FD2C" w14:textId="77777777" w:rsidR="00320AB7" w:rsidRPr="00320AB7" w:rsidRDefault="00320AB7" w:rsidP="00320AB7">
      <w:pP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320AB7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Front. Amphib. Reptile Sci. 2:1347541</w:t>
      </w:r>
    </w:p>
    <w:p w14:paraId="121DA3C5" w14:textId="77777777" w:rsidR="00DD139C" w:rsidRDefault="00DD139C" w:rsidP="00DD13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Olson et al. Supplementary Materials</w:t>
      </w:r>
    </w:p>
    <w:p w14:paraId="16207451" w14:textId="77777777" w:rsidR="00DD139C" w:rsidRPr="000B3F69" w:rsidRDefault="00DD139C" w:rsidP="00DD13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Amphibian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pecies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usceptibility to </w:t>
      </w:r>
      <w:r w:rsidRPr="000655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Batrachochytrium </w:t>
      </w:r>
      <w:proofErr w:type="spellStart"/>
      <w:r w:rsidRPr="000655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salamandrivorans</w:t>
      </w:r>
      <w:proofErr w:type="spellEnd"/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ased 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aboratory-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xposure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065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xperiments</w:t>
      </w:r>
    </w:p>
    <w:p w14:paraId="761B004B" w14:textId="77777777" w:rsidR="00DD139C" w:rsidRPr="000B3F69" w:rsidRDefault="00DD139C" w:rsidP="00DD13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F69">
        <w:rPr>
          <w:rFonts w:ascii="Times New Roman" w:hAnsi="Times New Roman" w:cs="Times New Roman"/>
          <w:sz w:val="24"/>
          <w:szCs w:val="24"/>
        </w:rPr>
        <w:t xml:space="preserve">A review of the literature was conducted to compile amphibian species that have been tested for </w:t>
      </w:r>
      <w:r>
        <w:rPr>
          <w:rFonts w:ascii="Times New Roman" w:hAnsi="Times New Roman" w:cs="Times New Roman"/>
          <w:sz w:val="24"/>
          <w:szCs w:val="24"/>
        </w:rPr>
        <w:t xml:space="preserve">susceptibility to </w:t>
      </w:r>
      <w:r w:rsidRPr="000B3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Batrachochytrium </w:t>
      </w:r>
      <w:proofErr w:type="spellStart"/>
      <w:r w:rsidRPr="000B3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salamandrivorans</w:t>
      </w:r>
      <w:proofErr w:type="spellEnd"/>
      <w:r w:rsidRPr="000B3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3F6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B3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Bsal</w:t>
      </w:r>
      <w:proofErr w:type="spellEnd"/>
      <w:r w:rsidRPr="000B3F69">
        <w:rPr>
          <w:rFonts w:ascii="Times New Roman" w:hAnsi="Times New Roman" w:cs="Times New Roman"/>
          <w:color w:val="000000"/>
          <w:sz w:val="24"/>
          <w:szCs w:val="24"/>
        </w:rPr>
        <w:t xml:space="preserve">) infection, and the subset of those with </w:t>
      </w:r>
      <w:proofErr w:type="spellStart"/>
      <w:r w:rsidRPr="000B3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Bsal</w:t>
      </w:r>
      <w:proofErr w:type="spellEnd"/>
      <w:r w:rsidRPr="000B3F69">
        <w:rPr>
          <w:rFonts w:ascii="Times New Roman" w:hAnsi="Times New Roman" w:cs="Times New Roman"/>
          <w:color w:val="000000"/>
          <w:sz w:val="24"/>
          <w:szCs w:val="24"/>
        </w:rPr>
        <w:t>-chytridiomycosis mortality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(Supplementary Materials Table 1, attached file)</w:t>
      </w:r>
      <w:r w:rsidRPr="000B3F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B3F69">
        <w:rPr>
          <w:rFonts w:ascii="Times New Roman" w:hAnsi="Times New Roman" w:cs="Times New Roman"/>
          <w:sz w:val="24"/>
          <w:szCs w:val="24"/>
        </w:rPr>
        <w:t xml:space="preserve">Table 1 metadata are included below, with study references.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73848" w14:textId="77777777" w:rsidR="00DD139C" w:rsidRPr="000B3F69" w:rsidRDefault="00DD139C" w:rsidP="00DD139C">
      <w:pPr>
        <w:rPr>
          <w:rFonts w:ascii="Times New Roman" w:hAnsi="Times New Roman" w:cs="Times New Roman"/>
          <w:sz w:val="24"/>
          <w:szCs w:val="24"/>
        </w:rPr>
      </w:pPr>
      <w:r w:rsidRPr="000B3F69">
        <w:rPr>
          <w:rFonts w:ascii="Times New Roman" w:hAnsi="Times New Roman" w:cs="Times New Roman"/>
          <w:sz w:val="24"/>
          <w:szCs w:val="24"/>
        </w:rPr>
        <w:t>Each row of</w:t>
      </w:r>
      <w:r w:rsidRPr="0066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Supplementary Materials</w:t>
      </w:r>
      <w:r w:rsidRPr="000B3F69">
        <w:rPr>
          <w:rFonts w:ascii="Times New Roman" w:hAnsi="Times New Roman" w:cs="Times New Roman"/>
          <w:sz w:val="24"/>
          <w:szCs w:val="24"/>
        </w:rPr>
        <w:t xml:space="preserve"> Table 1 represents a unique experiment on a particular life stage of a particular species. Field names in the </w:t>
      </w:r>
      <w:r>
        <w:rPr>
          <w:rFonts w:ascii="Times New Roman" w:hAnsi="Times New Roman" w:cs="Times New Roman"/>
          <w:sz w:val="24"/>
          <w:szCs w:val="24"/>
        </w:rPr>
        <w:t>list</w:t>
      </w:r>
      <w:r w:rsidRPr="000B3F69">
        <w:rPr>
          <w:rFonts w:ascii="Times New Roman" w:hAnsi="Times New Roman" w:cs="Times New Roman"/>
          <w:sz w:val="24"/>
          <w:szCs w:val="24"/>
        </w:rPr>
        <w:t xml:space="preserve"> below correspond to columns of </w:t>
      </w:r>
      <w:r>
        <w:rPr>
          <w:rFonts w:ascii="Times New Roman" w:eastAsia="Times New Roman" w:hAnsi="Times New Roman" w:cs="Times New Roman"/>
          <w:sz w:val="24"/>
          <w:szCs w:val="24"/>
        </w:rPr>
        <w:t>Supplementary Materials</w:t>
      </w:r>
      <w:r w:rsidRPr="000B3F69">
        <w:rPr>
          <w:rFonts w:ascii="Times New Roman" w:hAnsi="Times New Roman" w:cs="Times New Roman"/>
          <w:sz w:val="24"/>
          <w:szCs w:val="24"/>
        </w:rPr>
        <w:t xml:space="preserve"> Table 1. Table format is adapted from Castro-Monzon et al. (2022). </w:t>
      </w:r>
    </w:p>
    <w:tbl>
      <w:tblPr>
        <w:tblW w:w="9975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7994"/>
      </w:tblGrid>
      <w:tr w:rsidR="00DD139C" w:rsidRPr="00551A5F" w14:paraId="19777CA4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566DF86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4699E874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DD139C" w:rsidRPr="00551A5F" w14:paraId="7D4933A1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17F55288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96BF2AA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Short citation; see below for bibliography with full citation information.</w:t>
            </w:r>
          </w:p>
        </w:tc>
      </w:tr>
      <w:tr w:rsidR="00DD139C" w:rsidRPr="00551A5F" w14:paraId="3B332C91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7C4E9973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pubyear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6E61DB9E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Publication year.</w:t>
            </w:r>
          </w:p>
        </w:tc>
      </w:tr>
      <w:tr w:rsidR="00DD139C" w:rsidRPr="00551A5F" w14:paraId="5CEF191B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5418D5E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r_genus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2ED92F0F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Genus of the species “as reported” in the source paper.</w:t>
            </w:r>
          </w:p>
        </w:tc>
      </w:tr>
      <w:tr w:rsidR="00DD139C" w:rsidRPr="00551A5F" w14:paraId="2E20B523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5BA305A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r_species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181D10F8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Species name “as reported” in the source paper.</w:t>
            </w:r>
          </w:p>
        </w:tc>
      </w:tr>
      <w:tr w:rsidR="00DD139C" w:rsidRPr="00551A5F" w14:paraId="78DC53EE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7D1DEA6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09576578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 xml:space="preserve">Order of the species as per </w:t>
            </w:r>
            <w:bookmarkStart w:id="1" w:name="__DdeLink__1239_761559537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Amphibian Species of the World database</w:t>
            </w:r>
            <w:bookmarkEnd w:id="1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139C" w:rsidRPr="00551A5F" w14:paraId="4E146B1A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78CB92A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2CA842B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Family of the species as per Amphibian Species of the World database.</w:t>
            </w:r>
          </w:p>
        </w:tc>
      </w:tr>
      <w:tr w:rsidR="00DD139C" w:rsidRPr="00551A5F" w14:paraId="659F70FB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005DB19F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subfamily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2573C6D4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Subfamily of the species as per Amphibian Species of the World database.</w:t>
            </w:r>
          </w:p>
        </w:tc>
      </w:tr>
      <w:tr w:rsidR="00DD139C" w:rsidRPr="00551A5F" w14:paraId="3EC1F375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0BE3DBA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genus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0D52DBAB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Genus of the species as per Amphibian Species of the World database.</w:t>
            </w:r>
          </w:p>
        </w:tc>
      </w:tr>
      <w:tr w:rsidR="00DD139C" w:rsidRPr="00551A5F" w14:paraId="5F2BAE36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1A59C28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9647D67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Species as per Amphibian Species of the World database.</w:t>
            </w:r>
          </w:p>
        </w:tc>
      </w:tr>
      <w:tr w:rsidR="00DD139C" w:rsidRPr="00551A5F" w14:paraId="27985BF1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29C726A2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iucn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5821E69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IUCN Red List conservation status.</w:t>
            </w:r>
          </w:p>
        </w:tc>
      </w:tr>
      <w:tr w:rsidR="00DD139C" w:rsidRPr="00551A5F" w14:paraId="35D6885A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1B0BF6A8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NA_pres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3502572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Presence in North America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 xml:space="preserve"> (native, introduced, </w:t>
            </w: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rare</w:t>
            </w:r>
            <w:proofErr w:type="spellEnd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DD139C" w:rsidRPr="00551A5F" w14:paraId="14446D3C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0239B0FA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US_import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7A4716D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Is the species commonly imported into the United States? (yes or no)</w:t>
            </w:r>
          </w:p>
        </w:tc>
      </w:tr>
      <w:tr w:rsidR="00DD139C" w:rsidRPr="00551A5F" w14:paraId="1B460E19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201F5EA8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Lifestage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6E7F0DEC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Life stage used in experiment (larva, juvenile</w:t>
            </w:r>
            <w:r w:rsidRPr="000B3F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, adult)</w:t>
            </w:r>
          </w:p>
        </w:tc>
      </w:tr>
      <w:tr w:rsidR="00DD139C" w:rsidRPr="00551A5F" w14:paraId="3160A041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69979631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Bsal_infection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7769D015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 xml:space="preserve">Were any exposed amphibians infected with </w:t>
            </w: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Bsal</w:t>
            </w:r>
            <w:proofErr w:type="spellEnd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? (yes or no)</w:t>
            </w:r>
          </w:p>
        </w:tc>
      </w:tr>
      <w:tr w:rsidR="00DD139C" w:rsidRPr="00551A5F" w14:paraId="6E1A6040" w14:textId="77777777" w:rsidTr="00E671A8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62F0A35F" w14:textId="77777777" w:rsidR="00DD139C" w:rsidRPr="000B3F69" w:rsidRDefault="00DD139C" w:rsidP="00E671A8">
            <w:pPr>
              <w:pStyle w:val="Standard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Bsal_mortality</w:t>
            </w:r>
            <w:proofErr w:type="spellEnd"/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hideMark/>
          </w:tcPr>
          <w:p w14:paraId="44B85179" w14:textId="77777777" w:rsidR="00DD139C" w:rsidRPr="000B3F69" w:rsidRDefault="00DD139C" w:rsidP="00E671A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69">
              <w:rPr>
                <w:rFonts w:ascii="Times New Roman" w:hAnsi="Times New Roman" w:cs="Times New Roman"/>
                <w:sz w:val="20"/>
                <w:szCs w:val="20"/>
              </w:rPr>
              <w:t xml:space="preserve">Were any </w:t>
            </w:r>
            <w:proofErr w:type="spellStart"/>
            <w:r w:rsidRPr="000B3F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Bsal</w:t>
            </w:r>
            <w:proofErr w:type="spellEnd"/>
            <w:r w:rsidRPr="000B3F69">
              <w:rPr>
                <w:rFonts w:ascii="Times New Roman" w:hAnsi="Times New Roman" w:cs="Times New Roman"/>
                <w:sz w:val="20"/>
                <w:szCs w:val="20"/>
              </w:rPr>
              <w:t>-related deaths reported? (yes or no)</w:t>
            </w:r>
          </w:p>
        </w:tc>
      </w:tr>
    </w:tbl>
    <w:p w14:paraId="04EB7A87" w14:textId="77777777" w:rsidR="00DD139C" w:rsidRPr="000B3F69" w:rsidRDefault="00DD139C" w:rsidP="00DD139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When the same experimental results are presented in multiple </w:t>
      </w:r>
      <w:proofErr w:type="gramStart"/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papers,</w:t>
      </w:r>
      <w:proofErr w:type="gramEnd"/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 listed the results under the reference in which results on both </w:t>
      </w:r>
      <w:proofErr w:type="spellStart"/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Bsal</w:t>
      </w:r>
      <w:proofErr w:type="spellEnd"/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infection and mortality were first reported.</w:t>
      </w:r>
    </w:p>
    <w:p w14:paraId="58C84982" w14:textId="77777777" w:rsidR="00DD139C" w:rsidRPr="000B3F69" w:rsidRDefault="00DD139C" w:rsidP="00DD139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LC = least concern; NT = near threatened; VU = vulnerable; EN = endangered; CR = critically endangered; DD = data deficient. </w:t>
      </w:r>
    </w:p>
    <w:p w14:paraId="16B8F079" w14:textId="77777777" w:rsidR="00DD139C" w:rsidRPr="000B3F69" w:rsidRDefault="00DD139C" w:rsidP="00DD139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Occurrence data from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mphibia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</w:t>
      </w:r>
      <w:proofErr w:type="spellEnd"/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(amphibiaweb.org)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FEE092E" w14:textId="77777777" w:rsidR="00DD139C" w:rsidRPr="000B3F69" w:rsidRDefault="00DD139C" w:rsidP="00DD139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4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Commonly traded means &gt;100 individuals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are 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imported into the United States per year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reported in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U.S. Fish and Wildlife Service’s 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LEMIS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(Law Enforcement Management Information System) 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database between 2016 and 2021 (LEMIS data from Connelly et al. 2023)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9E2FE87" w14:textId="77777777" w:rsidR="00DD139C" w:rsidRPr="000B3F69" w:rsidRDefault="00DD139C" w:rsidP="00DD139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 w:rsidRPr="000B3F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Juveniles are defined as animals &lt;1 year old; animals &gt;1 year old are considered adults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4B7290" w14:textId="77777777" w:rsidR="00DD139C" w:rsidRDefault="00DD139C" w:rsidP="00DD139C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Supplementary Materials:  Literature Cited</w:t>
      </w:r>
    </w:p>
    <w:p w14:paraId="2D76B8FC" w14:textId="77777777" w:rsidR="00DD139C" w:rsidRPr="00551A5F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A5F">
        <w:rPr>
          <w:rFonts w:ascii="Times New Roman" w:eastAsia="Times New Roman" w:hAnsi="Times New Roman" w:cs="Times New Roman"/>
          <w:sz w:val="24"/>
          <w:szCs w:val="24"/>
        </w:rPr>
        <w:t>Barnhart, K., Bletz,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M.C.,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 LaBumbard,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B., 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>Tokash-Peters,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A.,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 Gabor,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C.R.,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 Woodhams</w:t>
      </w:r>
      <w:r>
        <w:rPr>
          <w:rFonts w:ascii="Times New Roman" w:eastAsia="Times New Roman" w:hAnsi="Times New Roman" w:cs="Times New Roman"/>
          <w:sz w:val="24"/>
          <w:szCs w:val="24"/>
        </w:rPr>
        <w:t>, D.C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2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B22F9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 w:rsidRPr="00BB22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>elicits acute stress response in spotted salamanders but not infection or mortality. Anim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A5F">
        <w:rPr>
          <w:rFonts w:ascii="Times New Roman" w:eastAsia="Times New Roman" w:hAnsi="Times New Roman" w:cs="Times New Roman"/>
          <w:sz w:val="24"/>
          <w:szCs w:val="24"/>
        </w:rPr>
        <w:t>Conserv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1A5F">
        <w:rPr>
          <w:rFonts w:ascii="Times New Roman" w:eastAsia="Times New Roman" w:hAnsi="Times New Roman" w:cs="Times New Roman"/>
          <w:sz w:val="24"/>
          <w:szCs w:val="24"/>
        </w:rPr>
        <w:t>533–546.</w:t>
      </w:r>
    </w:p>
    <w:p w14:paraId="3EA357A4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Bates, K.A., Shelton, J.M.G., Mercier, V.L., Hopkins, K.P., Harrison, X.A.,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S.O., Fisher, M.C. (2019). Captivity and infection by the fungal pathogen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perturb the amphibian skin microbiome. Front.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10, 1834.</w:t>
      </w:r>
    </w:p>
    <w:p w14:paraId="1B65FBFB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Beukema, W., Pasmans, F., Van Praet, S., Ferri-Yáñez, F., Kelly, M., Laking, A.E., et al. (2021). Microclimate limits thermal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disease control in a nocturnal amphibian. Ecol. Lett. 24, 27–37.</w:t>
      </w:r>
    </w:p>
    <w:p w14:paraId="32809803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Pasmans,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Rouffaer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Haesebrouck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Vercammen, F., Martel, A. (2015). Successful treatment of </w:t>
      </w:r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infections in salamanders requires synergy between voriconazole, polymyxin E and temperature. Sci. Rep.–UK 5, 11788.</w:t>
      </w:r>
    </w:p>
    <w:p w14:paraId="2E561C13" w14:textId="158FFB94" w:rsidR="001F3DC7" w:rsidRDefault="001F3DC7" w:rsidP="00EF5F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Bosch, J., Martel,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DC7">
        <w:rPr>
          <w:rFonts w:ascii="Times New Roman" w:eastAsia="Times New Roman" w:hAnsi="Times New Roman" w:cs="Times New Roman"/>
          <w:sz w:val="24"/>
          <w:szCs w:val="24"/>
        </w:rPr>
        <w:t>Sopniewski</w:t>
      </w:r>
      <w:proofErr w:type="spellEnd"/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J.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DC7">
        <w:rPr>
          <w:rFonts w:ascii="Times New Roman" w:eastAsia="Times New Roman" w:hAnsi="Times New Roman" w:cs="Times New Roman"/>
          <w:sz w:val="24"/>
          <w:szCs w:val="24"/>
        </w:rPr>
        <w:t>Thumsová</w:t>
      </w:r>
      <w:proofErr w:type="spellEnd"/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704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, Ayres,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C.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Scheele,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B.C.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Velo-Antón,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G.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>Pasmans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39F" w:rsidRPr="00704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39F" w:rsidRPr="001F3DC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4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39F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hreat to the Iberian 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 xml:space="preserve">rodele 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>otspot. Journal of Fungi 7</w:t>
      </w:r>
      <w:r w:rsidR="00704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3DC7">
        <w:rPr>
          <w:rFonts w:ascii="Times New Roman" w:eastAsia="Times New Roman" w:hAnsi="Times New Roman" w:cs="Times New Roman"/>
          <w:sz w:val="24"/>
          <w:szCs w:val="24"/>
        </w:rPr>
        <w:t>644.</w:t>
      </w:r>
    </w:p>
    <w:p w14:paraId="0A547E0A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Carter, E.D., Bletz, M.C., Sage, M.L., LaBumbard, B., Rollins-Smith, L.A., Woodhams, D.C., et al. (2021). Winter is coming – temperature affects immune defenses and susceptibility to </w:t>
      </w:r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17, e1009234.</w:t>
      </w:r>
    </w:p>
    <w:p w14:paraId="6673FC07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Carter, E.D., Miller, D.L., Peterson, A.C., Sutton, W.B., Cusaac, J.P.W., Spatz, J.A., et al. 2020. Conservation risk of </w:t>
      </w:r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endemic lungless salamanders.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Lett. 13, e12675.</w:t>
      </w:r>
    </w:p>
    <w:p w14:paraId="0A9893CE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Castro Monzon,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Rödel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M.-O., Ruland, F., Parra-Olea, G., Jeschke, J.M. (2022). </w:t>
      </w:r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amphibian host species and invasion range. EcoHealth 19, 475–486.</w:t>
      </w:r>
    </w:p>
    <w:p w14:paraId="1A6AF199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Connelly, P.J., Ross, N., Stringham, O.C., Eskew, E.A. (2023). United States amphibian imports pose a disease risk to salamanders despite Lacey Act regulations. Nat.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Earth Environ.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4,art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351.</w:t>
      </w:r>
    </w:p>
    <w:p w14:paraId="13C3310F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DiRenzo, G.V., Longo, A.V., Muletz-Wolz, C.R., Pessier, A.P., Goodheart, J.A., Lips, K.R. (2021). Plethodontid salamanders show variable disease dynamics in response to </w:t>
      </w:r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B1021A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chytridiomycosis. Biol.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23, 2797–2815.</w:t>
      </w:r>
    </w:p>
    <w:p w14:paraId="423DC1F3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1E4">
        <w:rPr>
          <w:rFonts w:ascii="Times New Roman" w:eastAsia="Times New Roman" w:hAnsi="Times New Roman" w:cs="Times New Roman"/>
          <w:sz w:val="24"/>
          <w:szCs w:val="24"/>
        </w:rPr>
        <w:t xml:space="preserve">Friday,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Holzheuser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Lips, K.R., Longo, A.V. (2020). Preparing for invasion: assessing risk of infection by chytrid fungi in southeastern plethodontid salamanders.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Zool. A: Ecol.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Physiol. 333:829–840.</w:t>
      </w:r>
    </w:p>
    <w:p w14:paraId="56465547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Gray, M.J., Carter, E.D., Piovia-Scott, J., Cusaac, J.P.W., Peterson, A.C., Whetstone, R.D., et al. (2023). Broad host susceptibility of North American amphibian species to 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suggests high invasion potential and biodiversity risk. Nat.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14, 3270.</w:t>
      </w:r>
    </w:p>
    <w:p w14:paraId="63426200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Greener, M.S.,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Verbrugghe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Kelly,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Beukema, W., Canessa, S., et al. (2020). Presence of low virulence chytrid fungi could protect European amphibians from more deadly strains. Nat.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11, 5393.</w:t>
      </w:r>
    </w:p>
    <w:p w14:paraId="04B698B5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Kumar, R., Malagon, D.A., Carter, E.D., Miller, D.L., Bohanon, M.L., Cusaac, J.P.W., et al. (2020). Experimental methodologies can affect pathogenicity of </w:t>
      </w:r>
      <w:r w:rsidRPr="006F66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6F66AB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infections.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ONE 15, e0235370.</w:t>
      </w:r>
    </w:p>
    <w:p w14:paraId="6C0D1126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Li, Z., Martel, A., Bogaerts, S., Göçmen,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Pafilis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Lymberakis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P., et al. (2020a). Landscape connectivity limits the predicted impact of fungal pathogen invasion. J. Fungi 6(4), 205.</w:t>
      </w:r>
    </w:p>
    <w:p w14:paraId="4C57BDE3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Verbrugghe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Konstanjšek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Lukač, M., Pasmans,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Cizelj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Martel, A. (2020b). Dampened virulence and limited proliferation of 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subclinical infection of the troglobiont olm (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Proteus anguinus</w:t>
      </w:r>
      <w:r>
        <w:rPr>
          <w:rFonts w:ascii="Times New Roman" w:eastAsia="Times New Roman" w:hAnsi="Times New Roman" w:cs="Times New Roman"/>
          <w:sz w:val="24"/>
          <w:szCs w:val="24"/>
        </w:rPr>
        <w:t>). Sci. Rep.–UK 10, 16480.</w:t>
      </w:r>
    </w:p>
    <w:p w14:paraId="5D1C9AA2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Longo, A.V., Fleischer, R.C., Lips, K.R. (2019). Double trouble: co-infections of chytrid fungi will severely impact widely distributed newts. Biol. Invasions 21, 2233–2245.</w:t>
      </w:r>
    </w:p>
    <w:p w14:paraId="2D652BA5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Malagon, D.A., Melara, L.A., Prosper, O.F., Lenhart, S., Carter, E.D., Fordyce, J.A., et al. (2020). Host density and habitat structure influence host contact rates and 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transmission. Sci. Rep.–UK 10, 5584.</w:t>
      </w:r>
    </w:p>
    <w:p w14:paraId="1D4816E9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Martel,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Adriaensen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P.V., Beukema, W., Fisher, M.C., et al. (2014). Recent introduction of a chytrid fungus endangers Western Palearctic salamanders. Science 346, 630–631.</w:t>
      </w:r>
    </w:p>
    <w:p w14:paraId="71A3A46F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Martel, A., Spitzen-van der Sluijs,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Bert, W.,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Ducatelle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Fisher, M.C., et al. (2013). 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lethal chytridiomycosis in amphibians. P. Natl. Acad. Sci. USA 110, 15325–15329.</w:t>
      </w:r>
    </w:p>
    <w:p w14:paraId="2DE83494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Martel, A., Vila-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M., Fernández-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Giberteau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D., Martinez-Silvestre, A., Canessa, S., Van Praet, S., et al. (2020). Integral chain management of wildlife diseases.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Lett. 13, e12707.</w:t>
      </w:r>
    </w:p>
    <w:p w14:paraId="4035EE27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Ossiboff, R.J., Towe, A.E., Brown, M.A., Longo, A.V., Lips, K.R., Miller, D.L., et al. (2019). Differentiating </w:t>
      </w:r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>dendrobatidis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B. </w:t>
      </w:r>
      <w:proofErr w:type="spellStart"/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amphibian chytridiomycosis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RNAScope®in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situ hybridization. Front. Vet. Sci. 6, 304.</w:t>
      </w:r>
    </w:p>
    <w:p w14:paraId="6FFE2695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Spitzen-van der Sluijs, A., Stegen, G., Bogaerts, S., Canessa,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Steinfartz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Janssen, N., et al. (2018). Post-epizootic salamander persistence in a disease-free refugium suggests poor dispersal ability of </w:t>
      </w:r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Sci. Rep–UK 8, 3800.</w:t>
      </w:r>
    </w:p>
    <w:p w14:paraId="041B08DC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Stegen, G., Pasmans, F., Schmidt, B.R.,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Rouffaer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L.O., Van Praet, S., Schaub, M., et al. (2017). Drivers of salamander extirpation mediated by </w:t>
      </w:r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041E4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Nature 544, 353–356.</w:t>
      </w:r>
    </w:p>
    <w:p w14:paraId="1C2F9499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Tavarez-Jimenez, E.J., Bletz, M.C., Piovia-Scott, J., Draculan, M.; Horan, S., McCartney, J.A., Woodhams, D.C. 2022. Commonly traded amphibians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suscveptible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emerging fungal pathogen </w:t>
      </w:r>
      <w:r w:rsidRPr="007240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72405C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P. 119 in GARD: First Global Amphibian and Reptile Disease Conference, Knoxville, TN, USA, 4-10 August 2022:  Book of Abstracts. </w:t>
      </w:r>
      <w:hyperlink r:id="rId6" w:history="1">
        <w:r w:rsidRPr="00563F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https://az659834.vo.msecnd.net/eventsairsthcusprod/production-utconferences-public/e86b91e30be542f89e75af8298f9bda6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accessed 16 November 2023.</w:t>
      </w:r>
    </w:p>
    <w:p w14:paraId="68647FA8" w14:textId="77777777" w:rsidR="00DD139C" w:rsidRDefault="00DD139C" w:rsidP="00DD1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Towe, A.E., Gray, M.J., Carter, E.D., Wilber, M.Q., Ossiboff, R.J., Ash, K., et al. 2021. </w:t>
      </w:r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Batrachochytrium </w:t>
      </w:r>
      <w:proofErr w:type="spellStart"/>
      <w:r w:rsidRPr="000B3F69">
        <w:rPr>
          <w:rFonts w:ascii="Times New Roman" w:eastAsia="Times New Roman" w:hAnsi="Times New Roman" w:cs="Times New Roman"/>
          <w:i/>
          <w:iCs/>
          <w:sz w:val="24"/>
          <w:szCs w:val="24"/>
        </w:rPr>
        <w:t>salamandrivorans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devour more than salamanders. J. Wildlife Dis. 57, 942–948.</w:t>
      </w:r>
    </w:p>
    <w:p w14:paraId="026A228E" w14:textId="4A1B0F5C" w:rsidR="00816D72" w:rsidRPr="0035160E" w:rsidRDefault="00DD139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Wilber, M.Q., Carter, E.D., Gray, M.J., Briggs, C.J. (2021). Putative resistance and tolerance mechanisms have little impact on disease progression for an emerging salamander pathogen.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Ecol. 35, 847–859.</w:t>
      </w:r>
    </w:p>
    <w:sectPr w:rsidR="00816D72" w:rsidRPr="0035160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1F" w14:textId="77777777" w:rsidR="00745A38" w:rsidRDefault="00745A38">
      <w:pPr>
        <w:spacing w:after="0" w:line="240" w:lineRule="auto"/>
      </w:pPr>
      <w:r>
        <w:separator/>
      </w:r>
    </w:p>
  </w:endnote>
  <w:endnote w:type="continuationSeparator" w:id="0">
    <w:p w14:paraId="0F7A5215" w14:textId="77777777" w:rsidR="00745A38" w:rsidRDefault="0074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343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9CFD7" w14:textId="77777777" w:rsidR="005239C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724E0" w14:textId="77777777" w:rsidR="005239C4" w:rsidRDefault="00523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BBBA" w14:textId="77777777" w:rsidR="00745A38" w:rsidRDefault="00745A38">
      <w:pPr>
        <w:spacing w:after="0" w:line="240" w:lineRule="auto"/>
      </w:pPr>
      <w:r>
        <w:separator/>
      </w:r>
    </w:p>
  </w:footnote>
  <w:footnote w:type="continuationSeparator" w:id="0">
    <w:p w14:paraId="6F55BA23" w14:textId="77777777" w:rsidR="00745A38" w:rsidRDefault="00745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9C"/>
    <w:rsid w:val="000C6A62"/>
    <w:rsid w:val="001F3DC7"/>
    <w:rsid w:val="00314F48"/>
    <w:rsid w:val="00320AB7"/>
    <w:rsid w:val="0035160E"/>
    <w:rsid w:val="005239C4"/>
    <w:rsid w:val="0070439F"/>
    <w:rsid w:val="00745A38"/>
    <w:rsid w:val="00816D72"/>
    <w:rsid w:val="00B1616A"/>
    <w:rsid w:val="00DD139C"/>
    <w:rsid w:val="00DF52DE"/>
    <w:rsid w:val="00EA1B40"/>
    <w:rsid w:val="00EF5FBC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3AA2"/>
  <w15:chartTrackingRefBased/>
  <w15:docId w15:val="{6E725232-A564-492D-9ECE-634DE3B1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9C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39C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D139C"/>
    <w:rPr>
      <w:color w:val="0563C1"/>
      <w:u w:val="single"/>
    </w:rPr>
  </w:style>
  <w:style w:type="paragraph" w:customStyle="1" w:styleId="Standard">
    <w:name w:val="Standard"/>
    <w:rsid w:val="00DD139C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D13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659834.vo.msecnd.net/eventsairsthcusprod/production-utconferences-public/e86b91e30be542f89e75af8298f9bd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Dede - FS, OR</dc:creator>
  <cp:keywords/>
  <dc:description/>
  <cp:lastModifiedBy>Olson, Dede - FS, OR</cp:lastModifiedBy>
  <cp:revision>2</cp:revision>
  <dcterms:created xsi:type="dcterms:W3CDTF">2024-03-04T20:14:00Z</dcterms:created>
  <dcterms:modified xsi:type="dcterms:W3CDTF">2024-03-04T20:14:00Z</dcterms:modified>
</cp:coreProperties>
</file>