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2B1A0724" w14:textId="77777777" w:rsidR="00594182" w:rsidRPr="00376CC5" w:rsidRDefault="00594182" w:rsidP="00594182">
      <w:pPr>
        <w:pStyle w:val="Title"/>
      </w:pPr>
      <w:r w:rsidRPr="000F1E3F">
        <w:t xml:space="preserve">Application of geochemical weathering indices to loess-paleosol sequences from </w:t>
      </w:r>
      <w:r>
        <w:t>C</w:t>
      </w:r>
      <w:r w:rsidRPr="000F1E3F">
        <w:t xml:space="preserve">entral </w:t>
      </w:r>
      <w:r>
        <w:t>A</w:t>
      </w:r>
      <w:r w:rsidRPr="000F1E3F">
        <w:t>sia (</w:t>
      </w:r>
      <w:r>
        <w:t>T</w:t>
      </w:r>
      <w:r w:rsidRPr="000F1E3F">
        <w:t>ajikistan)</w:t>
      </w:r>
    </w:p>
    <w:p w14:paraId="774F1773" w14:textId="602BE786" w:rsidR="007752BE" w:rsidRPr="00E707BC" w:rsidRDefault="007752BE" w:rsidP="007752BE">
      <w:pPr>
        <w:rPr>
          <w:b/>
          <w:vertAlign w:val="superscript"/>
          <w:lang w:val="en-GB"/>
        </w:rPr>
      </w:pPr>
      <w:bookmarkStart w:id="0" w:name="_Hlk134634795"/>
      <w:r w:rsidRPr="00E707BC">
        <w:rPr>
          <w:b/>
          <w:lang w:val="en-GB"/>
        </w:rPr>
        <w:t xml:space="preserve">Andrea Aquino*, Giancarlo </w:t>
      </w:r>
      <w:proofErr w:type="spellStart"/>
      <w:r w:rsidRPr="00E707BC">
        <w:rPr>
          <w:b/>
          <w:lang w:val="en-GB"/>
        </w:rPr>
        <w:t>Scardia</w:t>
      </w:r>
      <w:proofErr w:type="spellEnd"/>
      <w:r w:rsidRPr="00E707BC">
        <w:rPr>
          <w:b/>
          <w:lang w:val="en-GB"/>
        </w:rPr>
        <w:t xml:space="preserve">, Charlotte </w:t>
      </w:r>
      <w:proofErr w:type="spellStart"/>
      <w:r w:rsidRPr="00E707BC">
        <w:rPr>
          <w:b/>
          <w:lang w:val="en-GB"/>
        </w:rPr>
        <w:t>Prud’homme</w:t>
      </w:r>
      <w:proofErr w:type="spellEnd"/>
      <w:r w:rsidRPr="00E707BC">
        <w:rPr>
          <w:b/>
          <w:lang w:val="en-GB"/>
        </w:rPr>
        <w:t xml:space="preserve">, Aditi K. Dave, Marco </w:t>
      </w:r>
      <w:proofErr w:type="spellStart"/>
      <w:r w:rsidRPr="00E707BC">
        <w:rPr>
          <w:b/>
          <w:lang w:val="en-GB"/>
        </w:rPr>
        <w:t>Lezzerini</w:t>
      </w:r>
      <w:proofErr w:type="spellEnd"/>
      <w:r w:rsidRPr="00E707BC">
        <w:rPr>
          <w:b/>
          <w:lang w:val="en-GB"/>
        </w:rPr>
        <w:t xml:space="preserve">, Alexandra Engström Johansson, Laurent Marquer, Nosir </w:t>
      </w:r>
      <w:proofErr w:type="spellStart"/>
      <w:r w:rsidRPr="00E707BC">
        <w:rPr>
          <w:b/>
          <w:lang w:val="en-GB"/>
        </w:rPr>
        <w:t>Safaraliev</w:t>
      </w:r>
      <w:proofErr w:type="spellEnd"/>
      <w:r w:rsidRPr="00E707BC">
        <w:rPr>
          <w:b/>
          <w:lang w:val="en-GB"/>
        </w:rPr>
        <w:t>, Tobias Lauer, Kathryn E. Fitzsimmons</w:t>
      </w:r>
    </w:p>
    <w:bookmarkEnd w:id="0"/>
    <w:p w14:paraId="217F3AE0" w14:textId="0121FDA6" w:rsidR="002868E2" w:rsidRPr="00994A3D" w:rsidRDefault="002868E2" w:rsidP="00994A3D">
      <w:pPr>
        <w:spacing w:before="240" w:after="0"/>
        <w:rPr>
          <w:rFonts w:cs="Times New Roman"/>
        </w:rPr>
      </w:pPr>
      <w:r w:rsidRPr="00994A3D">
        <w:rPr>
          <w:rFonts w:cs="Times New Roman"/>
          <w:b/>
        </w:rPr>
        <w:t xml:space="preserve">* Correspondence: </w:t>
      </w:r>
      <w:r w:rsidR="0019177B">
        <w:rPr>
          <w:rFonts w:cs="Times New Roman"/>
        </w:rPr>
        <w:t>andrea.aquino@uni-tuebingen.de</w:t>
      </w:r>
    </w:p>
    <w:p w14:paraId="29026311" w14:textId="033DCEBE" w:rsidR="00EA3D3C" w:rsidRDefault="00763C12" w:rsidP="0001436A">
      <w:pPr>
        <w:pStyle w:val="Heading1"/>
      </w:pPr>
      <w:r>
        <w:t>Luminescence dating</w:t>
      </w:r>
    </w:p>
    <w:p w14:paraId="7531117B" w14:textId="7FEB4A8B" w:rsidR="00763C12" w:rsidRPr="00763C12" w:rsidRDefault="00763C12" w:rsidP="00763C12">
      <w:pPr>
        <w:pStyle w:val="Heading2"/>
      </w:pPr>
      <w:r>
        <w:t>Sample preparation and instrumentation</w:t>
      </w:r>
    </w:p>
    <w:p w14:paraId="40ED7A7A" w14:textId="77777777" w:rsidR="00606640" w:rsidRPr="00A37D6B" w:rsidRDefault="00606640" w:rsidP="00606640">
      <w:pPr>
        <w:jc w:val="both"/>
        <w:rPr>
          <w:rFonts w:cs="Times New Roman"/>
          <w:szCs w:val="24"/>
        </w:rPr>
      </w:pPr>
      <w:r w:rsidRPr="00A37D6B">
        <w:rPr>
          <w:rFonts w:cs="Times New Roman"/>
          <w:szCs w:val="24"/>
        </w:rPr>
        <w:t xml:space="preserve">12 samples for luminescence dating were collected from a c. 15 m deep loess-palaeosol section at Karamaidan (KAR), Tajikistan. These samples were processed under filtered red-light conditions at the Johannes Gutenberg University and Max Planck Institute for Chemistry, Mainz. All the samples were </w:t>
      </w:r>
      <w:proofErr w:type="gramStart"/>
      <w:r w:rsidRPr="00A37D6B">
        <w:rPr>
          <w:rFonts w:cs="Times New Roman"/>
          <w:szCs w:val="24"/>
        </w:rPr>
        <w:t>wet-sieved</w:t>
      </w:r>
      <w:proofErr w:type="gramEnd"/>
      <w:r w:rsidRPr="00A37D6B">
        <w:rPr>
          <w:rFonts w:cs="Times New Roman"/>
          <w:szCs w:val="24"/>
        </w:rPr>
        <w:t xml:space="preserve"> to grains of different size fractions. Of these, &lt;63 µm fraction, being in abundance was further processed to obtain fine-grained (4-11 µm) quartz and polyminerals for luminescence dating. The &lt;63 µm was treated with 10% HCl and 10% H</w:t>
      </w:r>
      <w:r w:rsidRPr="00A37D6B">
        <w:rPr>
          <w:rFonts w:cs="Times New Roman"/>
          <w:szCs w:val="24"/>
          <w:vertAlign w:val="subscript"/>
        </w:rPr>
        <w:t>2</w:t>
      </w:r>
      <w:r w:rsidRPr="00A37D6B">
        <w:rPr>
          <w:rFonts w:cs="Times New Roman"/>
          <w:szCs w:val="24"/>
        </w:rPr>
        <w:t>O</w:t>
      </w:r>
      <w:r w:rsidRPr="00A37D6B">
        <w:rPr>
          <w:rFonts w:cs="Times New Roman"/>
          <w:szCs w:val="24"/>
          <w:vertAlign w:val="subscript"/>
        </w:rPr>
        <w:t>2</w:t>
      </w:r>
      <w:r w:rsidRPr="00A37D6B">
        <w:rPr>
          <w:rFonts w:cs="Times New Roman"/>
          <w:szCs w:val="24"/>
        </w:rPr>
        <w:t xml:space="preserve"> to remove carbonates and organics respectively. Following which, it was treated with 0.1 N sodium oxalate to remove clays. Every successive chemical pre-treatment step was followed by multiple-wash steps with </w:t>
      </w:r>
      <w:proofErr w:type="spellStart"/>
      <w:r w:rsidRPr="00A37D6B">
        <w:rPr>
          <w:rFonts w:cs="Times New Roman"/>
          <w:szCs w:val="24"/>
        </w:rPr>
        <w:t>deionised</w:t>
      </w:r>
      <w:proofErr w:type="spellEnd"/>
      <w:r w:rsidRPr="00A37D6B">
        <w:rPr>
          <w:rFonts w:cs="Times New Roman"/>
          <w:szCs w:val="24"/>
        </w:rPr>
        <w:t xml:space="preserve"> water. The separation of the fine-grained (4-11 µm) polyminerals from the bulk (&lt;63 µm) was done using Stokes law. A portion of the 4-11 µm polyminerals was treated with 37 % hexafluorosilicic acid for 7 days, followed by a wash with 10% HCl to remove feldspars and fluoride precipitates respectively, to obtain fine grain quartz.</w:t>
      </w:r>
    </w:p>
    <w:p w14:paraId="7180670B" w14:textId="20394714" w:rsidR="00606640" w:rsidRPr="00A37D6B" w:rsidRDefault="00606640" w:rsidP="00606640">
      <w:pPr>
        <w:jc w:val="both"/>
        <w:rPr>
          <w:rFonts w:cs="Times New Roman"/>
          <w:szCs w:val="24"/>
        </w:rPr>
      </w:pPr>
      <w:r w:rsidRPr="00A37D6B">
        <w:rPr>
          <w:rFonts w:cs="Times New Roman"/>
          <w:szCs w:val="24"/>
        </w:rPr>
        <w:t xml:space="preserve">All luminescence measurements were performed on an automated Risø TL-DA-20 reader equipped with a </w:t>
      </w:r>
      <w:r w:rsidRPr="00A37D6B">
        <w:rPr>
          <w:rFonts w:cs="Times New Roman"/>
          <w:szCs w:val="24"/>
          <w:vertAlign w:val="superscript"/>
        </w:rPr>
        <w:t>90</w:t>
      </w:r>
      <w:r w:rsidRPr="00A37D6B">
        <w:rPr>
          <w:rFonts w:cs="Times New Roman"/>
          <w:szCs w:val="24"/>
        </w:rPr>
        <w:t>Sr/</w:t>
      </w:r>
      <w:r w:rsidRPr="00A37D6B">
        <w:rPr>
          <w:rFonts w:cs="Times New Roman"/>
          <w:szCs w:val="24"/>
          <w:vertAlign w:val="superscript"/>
        </w:rPr>
        <w:t>90</w:t>
      </w:r>
      <w:r w:rsidRPr="00A37D6B">
        <w:rPr>
          <w:rFonts w:cs="Times New Roman"/>
          <w:szCs w:val="24"/>
        </w:rPr>
        <w:t>Y beta source</w:t>
      </w:r>
      <w:r w:rsidR="002C3689">
        <w:rPr>
          <w:rFonts w:cs="Times New Roman"/>
          <w:szCs w:val="24"/>
        </w:rPr>
        <w:t xml:space="preserve"> </w:t>
      </w:r>
      <w:r w:rsidR="002C3689" w:rsidRPr="002C3689">
        <w:rPr>
          <w:rFonts w:cs="Times New Roman"/>
          <w:szCs w:val="24"/>
        </w:rPr>
        <w:t>(Thomsen et al., 2006)</w:t>
      </w:r>
      <w:r w:rsidRPr="00A37D6B">
        <w:rPr>
          <w:rFonts w:cs="Times New Roman"/>
          <w:szCs w:val="24"/>
        </w:rPr>
        <w:t xml:space="preserve">. The sample was stimulated using IR LED (870 ± 30 nm, 300 </w:t>
      </w:r>
      <w:proofErr w:type="spellStart"/>
      <w:r w:rsidRPr="00A37D6B">
        <w:rPr>
          <w:rFonts w:cs="Times New Roman"/>
          <w:szCs w:val="24"/>
        </w:rPr>
        <w:t>mW</w:t>
      </w:r>
      <w:proofErr w:type="spellEnd"/>
      <w:r w:rsidRPr="00A37D6B">
        <w:rPr>
          <w:rFonts w:cs="Times New Roman"/>
          <w:szCs w:val="24"/>
        </w:rPr>
        <w:t>/cm</w:t>
      </w:r>
      <w:r w:rsidRPr="00A37D6B">
        <w:rPr>
          <w:rFonts w:cs="Times New Roman"/>
          <w:szCs w:val="24"/>
          <w:vertAlign w:val="superscript"/>
        </w:rPr>
        <w:t>2</w:t>
      </w:r>
      <w:r w:rsidRPr="00A37D6B">
        <w:rPr>
          <w:rFonts w:cs="Times New Roman"/>
          <w:szCs w:val="24"/>
        </w:rPr>
        <w:t xml:space="preserve">) and blue LED (470±30 nm, 80 </w:t>
      </w:r>
      <w:proofErr w:type="spellStart"/>
      <w:r w:rsidRPr="00A37D6B">
        <w:rPr>
          <w:rFonts w:cs="Times New Roman"/>
          <w:szCs w:val="24"/>
        </w:rPr>
        <w:t>mW</w:t>
      </w:r>
      <w:proofErr w:type="spellEnd"/>
      <w:r w:rsidRPr="00A37D6B">
        <w:rPr>
          <w:rFonts w:cs="Times New Roman"/>
          <w:szCs w:val="24"/>
        </w:rPr>
        <w:t>/cm</w:t>
      </w:r>
      <w:r w:rsidRPr="00A37D6B">
        <w:rPr>
          <w:rFonts w:cs="Times New Roman"/>
          <w:szCs w:val="24"/>
          <w:vertAlign w:val="superscript"/>
        </w:rPr>
        <w:t>2</w:t>
      </w:r>
      <w:r w:rsidRPr="00A37D6B">
        <w:rPr>
          <w:rFonts w:cs="Times New Roman"/>
          <w:szCs w:val="24"/>
        </w:rPr>
        <w:t xml:space="preserve">) and the emitted luminescence signal was detected by EMI 9235QA photomultiplier tube fitted with a 7.5 mm Hoya U-340 and a combination of Schott BG-39 and BG-3 filters to detect quartz and feldspar emissions respectively. In order to avoid stimulation </w:t>
      </w:r>
      <w:proofErr w:type="gramStart"/>
      <w:r w:rsidRPr="00A37D6B">
        <w:rPr>
          <w:rFonts w:cs="Times New Roman"/>
          <w:szCs w:val="24"/>
        </w:rPr>
        <w:t>cross-talk</w:t>
      </w:r>
      <w:proofErr w:type="gramEnd"/>
      <w:r w:rsidRPr="00A37D6B">
        <w:rPr>
          <w:rFonts w:cs="Times New Roman"/>
          <w:szCs w:val="24"/>
        </w:rPr>
        <w:t>, aliquots were placed at alternate positions in the sample carousel. All luminescence measurements were conducted on aliquots prepared by suspending 4-11 µm quartz or polymineral grains on stainless steel cups.</w:t>
      </w:r>
    </w:p>
    <w:p w14:paraId="5E584EE8" w14:textId="242AA1EA" w:rsidR="00994A3D" w:rsidRPr="00994A3D" w:rsidRDefault="00A37D6B" w:rsidP="00A37D6B">
      <w:pPr>
        <w:pStyle w:val="Heading2"/>
      </w:pPr>
      <w:r>
        <w:t>Methodology</w:t>
      </w:r>
    </w:p>
    <w:p w14:paraId="160A9A1F" w14:textId="77777777" w:rsidR="006C2969" w:rsidRPr="002629B7" w:rsidRDefault="006C2969" w:rsidP="006C2969">
      <w:pPr>
        <w:jc w:val="both"/>
        <w:rPr>
          <w:szCs w:val="24"/>
        </w:rPr>
      </w:pPr>
      <w:r w:rsidRPr="002629B7">
        <w:rPr>
          <w:szCs w:val="24"/>
        </w:rPr>
        <w:t xml:space="preserve">Optically stimulated luminescence (OSL) dating technique allows us to measure the time elapsed since grains of quartz and feldspar were last exposed to </w:t>
      </w:r>
      <w:proofErr w:type="gramStart"/>
      <w:r w:rsidRPr="002629B7">
        <w:rPr>
          <w:szCs w:val="24"/>
        </w:rPr>
        <w:t>sunlight, and</w:t>
      </w:r>
      <w:proofErr w:type="gramEnd"/>
      <w:r w:rsidRPr="002629B7">
        <w:rPr>
          <w:szCs w:val="24"/>
        </w:rPr>
        <w:t xml:space="preserve"> is obtained by taking the ratio of the equivalent dose </w:t>
      </w:r>
      <w:r>
        <w:rPr>
          <w:szCs w:val="24"/>
        </w:rPr>
        <w:t>in</w:t>
      </w:r>
      <w:r w:rsidRPr="002629B7">
        <w:rPr>
          <w:szCs w:val="24"/>
        </w:rPr>
        <w:t xml:space="preserve"> the sample to the total environmental dose received by the sample during burial (Aitken, </w:t>
      </w:r>
      <w:r>
        <w:rPr>
          <w:szCs w:val="24"/>
        </w:rPr>
        <w:t>1998</w:t>
      </w:r>
      <w:r w:rsidRPr="002629B7">
        <w:rPr>
          <w:szCs w:val="24"/>
        </w:rPr>
        <w:t>). We measured the equivalent dose (D</w:t>
      </w:r>
      <w:r w:rsidRPr="002629B7">
        <w:rPr>
          <w:szCs w:val="24"/>
          <w:vertAlign w:val="subscript"/>
        </w:rPr>
        <w:t>e</w:t>
      </w:r>
      <w:r w:rsidRPr="002629B7">
        <w:rPr>
          <w:szCs w:val="24"/>
        </w:rPr>
        <w:t>) for fine-grained quartz samples using the Double - Single aliquot regenerative (DSAR) protocol (Banerjee et al 2001; Jain and Singhvi, 2005</w:t>
      </w:r>
      <w:r>
        <w:rPr>
          <w:szCs w:val="24"/>
        </w:rPr>
        <w:t>; Table S1a</w:t>
      </w:r>
      <w:r w:rsidRPr="002629B7">
        <w:rPr>
          <w:szCs w:val="24"/>
        </w:rPr>
        <w:t xml:space="preserve">), which includes an additional IR stimulation prior to all blue stimulation steps within the </w:t>
      </w:r>
      <w:r w:rsidRPr="002629B7">
        <w:rPr>
          <w:szCs w:val="24"/>
        </w:rPr>
        <w:lastRenderedPageBreak/>
        <w:t>SAR (Murray and Wintle, 2000; 2003) protocol. The D</w:t>
      </w:r>
      <w:r w:rsidRPr="002629B7">
        <w:rPr>
          <w:szCs w:val="24"/>
          <w:vertAlign w:val="subscript"/>
        </w:rPr>
        <w:t>e</w:t>
      </w:r>
      <w:r w:rsidRPr="002629B7">
        <w:rPr>
          <w:szCs w:val="24"/>
        </w:rPr>
        <w:t xml:space="preserve"> for polymineral fine-grained samples was obtained by applying the elevated temperature post-infrared - Infrared stimulated luminescence (pIRIR) dating </w:t>
      </w:r>
      <w:r w:rsidRPr="0093048E">
        <w:rPr>
          <w:szCs w:val="24"/>
        </w:rPr>
        <w:t>protocol (Thiel et al., 2011</w:t>
      </w:r>
      <w:r>
        <w:rPr>
          <w:szCs w:val="24"/>
        </w:rPr>
        <w:t>; Table S1(b)</w:t>
      </w:r>
      <w:r w:rsidRPr="0093048E">
        <w:rPr>
          <w:szCs w:val="24"/>
        </w:rPr>
        <w:t>).</w:t>
      </w:r>
      <w:bookmarkStart w:id="1" w:name="_Hlk100319495"/>
      <w:r w:rsidRPr="002629B7">
        <w:rPr>
          <w:szCs w:val="24"/>
        </w:rPr>
        <w:t xml:space="preserve"> </w:t>
      </w:r>
    </w:p>
    <w:bookmarkEnd w:id="1"/>
    <w:p w14:paraId="63BBE289" w14:textId="70AD2382" w:rsidR="005751AA" w:rsidRPr="00E359A6" w:rsidRDefault="006C2969" w:rsidP="005751AA">
      <w:pPr>
        <w:jc w:val="both"/>
        <w:rPr>
          <w:szCs w:val="24"/>
        </w:rPr>
      </w:pPr>
      <w:r w:rsidRPr="002629B7">
        <w:rPr>
          <w:szCs w:val="24"/>
        </w:rPr>
        <w:t xml:space="preserve">The environmental dose rate for the samples was calculated from </w:t>
      </w:r>
      <w:proofErr w:type="spellStart"/>
      <w:r w:rsidRPr="002629B7">
        <w:rPr>
          <w:szCs w:val="24"/>
        </w:rPr>
        <w:t>radioelemental</w:t>
      </w:r>
      <w:proofErr w:type="spellEnd"/>
      <w:r w:rsidRPr="002629B7">
        <w:rPr>
          <w:szCs w:val="24"/>
        </w:rPr>
        <w:t xml:space="preserve"> concentrations using published conversion factors (Guerin et al., 2011), combined with moisture content (10</w:t>
      </w:r>
      <w:r>
        <w:rPr>
          <w:szCs w:val="24"/>
        </w:rPr>
        <w:t xml:space="preserve"> </w:t>
      </w:r>
      <w:r w:rsidRPr="002629B7">
        <w:rPr>
          <w:rFonts w:cstheme="minorHAnsi"/>
          <w:szCs w:val="24"/>
        </w:rPr>
        <w:t>±</w:t>
      </w:r>
      <w:r>
        <w:rPr>
          <w:rFonts w:cstheme="minorHAnsi"/>
          <w:szCs w:val="24"/>
        </w:rPr>
        <w:t xml:space="preserve"> </w:t>
      </w:r>
      <w:r w:rsidRPr="002629B7">
        <w:rPr>
          <w:szCs w:val="24"/>
        </w:rPr>
        <w:t>5</w:t>
      </w:r>
      <w:r>
        <w:rPr>
          <w:szCs w:val="24"/>
        </w:rPr>
        <w:t xml:space="preserve"> </w:t>
      </w:r>
      <w:r w:rsidRPr="002629B7">
        <w:rPr>
          <w:szCs w:val="24"/>
        </w:rPr>
        <w:t>%, t</w:t>
      </w:r>
      <w:r>
        <w:rPr>
          <w:szCs w:val="24"/>
        </w:rPr>
        <w:t>y</w:t>
      </w:r>
      <w:r w:rsidRPr="002629B7">
        <w:rPr>
          <w:szCs w:val="24"/>
        </w:rPr>
        <w:t xml:space="preserve">pical for loess deposits) and published equations for cosmic-ray dose rate contributions (Prescott and Hutton, 1994). The </w:t>
      </w:r>
      <w:proofErr w:type="spellStart"/>
      <w:r w:rsidRPr="002629B7">
        <w:rPr>
          <w:szCs w:val="24"/>
        </w:rPr>
        <w:t>radioelemental</w:t>
      </w:r>
      <w:proofErr w:type="spellEnd"/>
      <w:r w:rsidRPr="002629B7">
        <w:rPr>
          <w:szCs w:val="24"/>
        </w:rPr>
        <w:t xml:space="preserve"> concentrations in the samples were measured using high-resolution germanium gamma spectrometry, </w:t>
      </w:r>
      <w:proofErr w:type="spellStart"/>
      <w:r w:rsidRPr="002629B7">
        <w:rPr>
          <w:szCs w:val="24"/>
        </w:rPr>
        <w:t>analysed</w:t>
      </w:r>
      <w:proofErr w:type="spellEnd"/>
      <w:r w:rsidRPr="002629B7">
        <w:rPr>
          <w:szCs w:val="24"/>
        </w:rPr>
        <w:t xml:space="preserve"> at the </w:t>
      </w:r>
      <w:proofErr w:type="spellStart"/>
      <w:r w:rsidRPr="002629B7">
        <w:rPr>
          <w:szCs w:val="24"/>
        </w:rPr>
        <w:t>Felsenkeller</w:t>
      </w:r>
      <w:proofErr w:type="spellEnd"/>
      <w:r w:rsidRPr="002629B7">
        <w:rPr>
          <w:szCs w:val="24"/>
        </w:rPr>
        <w:t xml:space="preserve">, VKTA Dresden. An alpha efficiency value of 0.038 </w:t>
      </w:r>
      <w:r w:rsidRPr="002629B7">
        <w:rPr>
          <w:rFonts w:cstheme="minorHAnsi"/>
          <w:szCs w:val="24"/>
        </w:rPr>
        <w:t xml:space="preserve">± </w:t>
      </w:r>
      <w:r w:rsidRPr="002629B7">
        <w:rPr>
          <w:szCs w:val="24"/>
        </w:rPr>
        <w:t xml:space="preserve">0.002 for fine-grained quartz and 0.086 </w:t>
      </w:r>
      <w:r w:rsidRPr="002629B7">
        <w:rPr>
          <w:rFonts w:cstheme="minorHAnsi"/>
          <w:szCs w:val="24"/>
        </w:rPr>
        <w:t>± 0.004 for polymineral fine grains was used for all dose rate calculations (Rees-Jones, 1995).</w:t>
      </w:r>
      <w:r w:rsidR="00CE7359">
        <w:rPr>
          <w:rFonts w:cstheme="minorHAnsi"/>
          <w:szCs w:val="24"/>
        </w:rPr>
        <w:t xml:space="preserve"> </w:t>
      </w:r>
      <w:r w:rsidR="005751AA">
        <w:rPr>
          <w:rFonts w:cstheme="minorHAnsi"/>
          <w:szCs w:val="24"/>
        </w:rPr>
        <w:t xml:space="preserve">The dose rates were calculated using the </w:t>
      </w:r>
      <w:r w:rsidR="005751AA" w:rsidRPr="00894C6D">
        <w:rPr>
          <w:rFonts w:cstheme="minorHAnsi"/>
          <w:szCs w:val="24"/>
        </w:rPr>
        <w:t>Dose Rate and Age Calculator</w:t>
      </w:r>
      <w:r w:rsidR="005751AA">
        <w:rPr>
          <w:rFonts w:cstheme="minorHAnsi"/>
          <w:szCs w:val="24"/>
        </w:rPr>
        <w:t xml:space="preserve"> (DRAC </w:t>
      </w:r>
      <w:proofErr w:type="spellStart"/>
      <w:r w:rsidR="005751AA">
        <w:rPr>
          <w:rFonts w:cstheme="minorHAnsi"/>
          <w:szCs w:val="24"/>
        </w:rPr>
        <w:t>ver</w:t>
      </w:r>
      <w:proofErr w:type="spellEnd"/>
      <w:r w:rsidR="005751AA">
        <w:rPr>
          <w:rFonts w:cstheme="minorHAnsi"/>
          <w:szCs w:val="24"/>
        </w:rPr>
        <w:t xml:space="preserve"> 1.2) by Durcan et al (2015).</w:t>
      </w:r>
    </w:p>
    <w:p w14:paraId="4BF727BA" w14:textId="77777777" w:rsidR="005751AA" w:rsidRDefault="005751AA" w:rsidP="005751AA">
      <w:pPr>
        <w:jc w:val="both"/>
        <w:rPr>
          <w:rFonts w:cstheme="minorHAnsi"/>
          <w:szCs w:val="24"/>
        </w:rPr>
      </w:pPr>
    </w:p>
    <w:p w14:paraId="0CC4583D" w14:textId="0AD3DC8B" w:rsidR="006C2969" w:rsidRPr="007A0E02" w:rsidRDefault="005751AA" w:rsidP="005751AA">
      <w:pPr>
        <w:jc w:val="both"/>
        <w:rPr>
          <w:b/>
          <w:bCs/>
        </w:rPr>
      </w:pPr>
      <w:r w:rsidRPr="007A0E02">
        <w:rPr>
          <w:b/>
          <w:bCs/>
        </w:rPr>
        <w:t xml:space="preserve">1.3. </w:t>
      </w:r>
      <w:r w:rsidR="006C2969" w:rsidRPr="007A0E02">
        <w:rPr>
          <w:b/>
          <w:bCs/>
        </w:rPr>
        <w:t>Results</w:t>
      </w:r>
    </w:p>
    <w:p w14:paraId="6379DA59" w14:textId="77777777" w:rsidR="006C2969" w:rsidRPr="002629B7" w:rsidRDefault="006C2969" w:rsidP="006C2969">
      <w:pPr>
        <w:jc w:val="both"/>
        <w:rPr>
          <w:szCs w:val="24"/>
        </w:rPr>
      </w:pPr>
      <w:r w:rsidRPr="002629B7">
        <w:rPr>
          <w:szCs w:val="24"/>
        </w:rPr>
        <w:t>Prior to D</w:t>
      </w:r>
      <w:r w:rsidRPr="002629B7">
        <w:rPr>
          <w:szCs w:val="24"/>
          <w:vertAlign w:val="subscript"/>
        </w:rPr>
        <w:t xml:space="preserve">e </w:t>
      </w:r>
      <w:r w:rsidRPr="002629B7">
        <w:rPr>
          <w:szCs w:val="24"/>
        </w:rPr>
        <w:t>measurements on fine grained quartz, preheat tests were performed on representative sample (A0226) to determine the optimal preheat temperature for application of the DSAR protocol. A DSAR protocol was applied to 3 aliquots each of sample A0226 with preheat temperatures of 180, 200, 220, 240, 260, 280 and 300</w:t>
      </w:r>
      <w:r w:rsidRPr="002629B7">
        <w:rPr>
          <w:szCs w:val="24"/>
          <w:vertAlign w:val="superscript"/>
        </w:rPr>
        <w:t>o</w:t>
      </w:r>
      <w:r w:rsidRPr="002629B7">
        <w:rPr>
          <w:szCs w:val="24"/>
        </w:rPr>
        <w:t xml:space="preserve">C respectively. Figure S1 </w:t>
      </w:r>
      <w:proofErr w:type="gramStart"/>
      <w:r w:rsidRPr="002629B7">
        <w:rPr>
          <w:szCs w:val="24"/>
        </w:rPr>
        <w:t>shows,</w:t>
      </w:r>
      <w:proofErr w:type="gramEnd"/>
      <w:r w:rsidRPr="002629B7">
        <w:rPr>
          <w:szCs w:val="24"/>
        </w:rPr>
        <w:t xml:space="preserve"> an acceptable preheat temperature at 280 </w:t>
      </w:r>
      <w:proofErr w:type="spellStart"/>
      <w:r w:rsidRPr="002629B7">
        <w:rPr>
          <w:szCs w:val="24"/>
          <w:vertAlign w:val="superscript"/>
        </w:rPr>
        <w:t>o</w:t>
      </w:r>
      <w:r w:rsidRPr="002629B7">
        <w:rPr>
          <w:szCs w:val="24"/>
        </w:rPr>
        <w:t>C</w:t>
      </w:r>
      <w:proofErr w:type="spellEnd"/>
      <w:r w:rsidRPr="002629B7">
        <w:rPr>
          <w:szCs w:val="24"/>
        </w:rPr>
        <w:t>, and hence a preheat of 280</w:t>
      </w:r>
      <w:r w:rsidRPr="002629B7">
        <w:rPr>
          <w:szCs w:val="24"/>
          <w:vertAlign w:val="superscript"/>
        </w:rPr>
        <w:t>o</w:t>
      </w:r>
      <w:r w:rsidRPr="002629B7">
        <w:rPr>
          <w:szCs w:val="24"/>
        </w:rPr>
        <w:t>C for 10s was chosen for all D</w:t>
      </w:r>
      <w:r w:rsidRPr="002629B7">
        <w:rPr>
          <w:szCs w:val="24"/>
          <w:vertAlign w:val="subscript"/>
        </w:rPr>
        <w:t>e</w:t>
      </w:r>
      <w:r w:rsidRPr="002629B7">
        <w:rPr>
          <w:szCs w:val="24"/>
        </w:rPr>
        <w:t xml:space="preserve"> measurements.</w:t>
      </w:r>
    </w:p>
    <w:p w14:paraId="54BA7F64" w14:textId="142981AB" w:rsidR="006C2969" w:rsidRDefault="006C2969" w:rsidP="006C2969">
      <w:pPr>
        <w:jc w:val="both"/>
        <w:rPr>
          <w:szCs w:val="24"/>
        </w:rPr>
      </w:pPr>
      <w:r w:rsidRPr="002629B7">
        <w:rPr>
          <w:szCs w:val="24"/>
        </w:rPr>
        <w:t>D</w:t>
      </w:r>
      <w:r w:rsidRPr="002629B7">
        <w:rPr>
          <w:szCs w:val="24"/>
          <w:vertAlign w:val="subscript"/>
        </w:rPr>
        <w:t>e</w:t>
      </w:r>
      <w:r w:rsidRPr="002629B7">
        <w:rPr>
          <w:szCs w:val="24"/>
        </w:rPr>
        <w:t xml:space="preserve"> was determined for </w:t>
      </w:r>
      <w:r w:rsidR="008C23DD">
        <w:rPr>
          <w:szCs w:val="24"/>
        </w:rPr>
        <w:t>15</w:t>
      </w:r>
      <w:r w:rsidRPr="002629B7">
        <w:rPr>
          <w:szCs w:val="24"/>
        </w:rPr>
        <w:t xml:space="preserve">-24 aliquots each, </w:t>
      </w:r>
      <w:r>
        <w:rPr>
          <w:szCs w:val="24"/>
        </w:rPr>
        <w:t>for</w:t>
      </w:r>
      <w:r w:rsidRPr="002629B7">
        <w:rPr>
          <w:szCs w:val="24"/>
        </w:rPr>
        <w:t xml:space="preserve"> all the 12 fine grained quartz samples from the KAR sequence. The DSAR protocol employed for measurements is presented in Table S1. The IR wash prior to OSL measurement (Table S1) showed no feldspar signal, suggesting no feldspar contamination in the samples. The recycling ratio was found to be within 10% of unity, while the recuperation ratio was less than 5% of the natural signal for all aliquots, thus suggesting the robustness of the DSAR protocol and it</w:t>
      </w:r>
      <w:r>
        <w:rPr>
          <w:szCs w:val="24"/>
        </w:rPr>
        <w:t>s</w:t>
      </w:r>
      <w:r w:rsidRPr="002629B7">
        <w:rPr>
          <w:szCs w:val="24"/>
        </w:rPr>
        <w:t xml:space="preserve"> suitability </w:t>
      </w:r>
      <w:r>
        <w:rPr>
          <w:szCs w:val="24"/>
        </w:rPr>
        <w:t>for D</w:t>
      </w:r>
      <w:r w:rsidRPr="002629B7">
        <w:rPr>
          <w:szCs w:val="24"/>
          <w:vertAlign w:val="subscript"/>
        </w:rPr>
        <w:t>e</w:t>
      </w:r>
      <w:r>
        <w:rPr>
          <w:szCs w:val="24"/>
        </w:rPr>
        <w:t xml:space="preserve"> determination. Th net OSL signal from each aliquot was determined from the first 0.8 s after subtraction of the average from the last 8 s of the background OSL signal. The </w:t>
      </w:r>
      <w:r w:rsidR="009D15B6">
        <w:rPr>
          <w:szCs w:val="24"/>
        </w:rPr>
        <w:t xml:space="preserve">average dose model </w:t>
      </w:r>
      <w:r>
        <w:rPr>
          <w:szCs w:val="24"/>
        </w:rPr>
        <w:t>was used for calculation of D</w:t>
      </w:r>
      <w:r w:rsidRPr="001C7E72">
        <w:rPr>
          <w:szCs w:val="24"/>
          <w:vertAlign w:val="subscript"/>
        </w:rPr>
        <w:t>e</w:t>
      </w:r>
      <w:r>
        <w:rPr>
          <w:szCs w:val="24"/>
        </w:rPr>
        <w:t>’s for all samples</w:t>
      </w:r>
      <w:r w:rsidR="009D15B6">
        <w:rPr>
          <w:szCs w:val="24"/>
        </w:rPr>
        <w:t>.</w:t>
      </w:r>
      <w:r w:rsidR="005274F6" w:rsidDel="005274F6">
        <w:rPr>
          <w:szCs w:val="24"/>
        </w:rPr>
        <w:t xml:space="preserve"> </w:t>
      </w:r>
      <w:r>
        <w:rPr>
          <w:szCs w:val="24"/>
        </w:rPr>
        <w:t>0. The D</w:t>
      </w:r>
      <w:r w:rsidRPr="00BA2A3F">
        <w:rPr>
          <w:szCs w:val="24"/>
          <w:vertAlign w:val="subscript"/>
        </w:rPr>
        <w:t>e</w:t>
      </w:r>
      <w:r>
        <w:rPr>
          <w:szCs w:val="24"/>
        </w:rPr>
        <w:t xml:space="preserve"> distribution of the fine-grained quartz sample A0240 showed a high dispersion in its D</w:t>
      </w:r>
      <w:r w:rsidRPr="001C7E72">
        <w:rPr>
          <w:szCs w:val="24"/>
          <w:vertAlign w:val="subscript"/>
        </w:rPr>
        <w:t>e</w:t>
      </w:r>
      <w:r>
        <w:rPr>
          <w:szCs w:val="24"/>
        </w:rPr>
        <w:t xml:space="preserve"> distribution (c. 75%), particularly due to one aliquot with suspiciously low D</w:t>
      </w:r>
      <w:r w:rsidRPr="0017636A">
        <w:rPr>
          <w:szCs w:val="24"/>
          <w:vertAlign w:val="subscript"/>
        </w:rPr>
        <w:t>e</w:t>
      </w:r>
      <w:r>
        <w:rPr>
          <w:szCs w:val="24"/>
        </w:rPr>
        <w:t>. After the removal of this aliquot, the dispersion in D</w:t>
      </w:r>
      <w:r w:rsidRPr="009170D2">
        <w:rPr>
          <w:szCs w:val="24"/>
          <w:vertAlign w:val="subscript"/>
        </w:rPr>
        <w:t>e</w:t>
      </w:r>
      <w:r>
        <w:rPr>
          <w:szCs w:val="24"/>
        </w:rPr>
        <w:t xml:space="preserve"> distribution is c. 30%. The reason for this over-dispersion in the sample, especially in fine grained sample, remains unknown. The D</w:t>
      </w:r>
      <w:r w:rsidRPr="00BA2A3F">
        <w:rPr>
          <w:szCs w:val="24"/>
          <w:vertAlign w:val="subscript"/>
        </w:rPr>
        <w:t>e</w:t>
      </w:r>
      <w:r>
        <w:rPr>
          <w:szCs w:val="24"/>
        </w:rPr>
        <w:t xml:space="preserve"> from all the samples </w:t>
      </w:r>
      <w:proofErr w:type="gramStart"/>
      <w:r>
        <w:rPr>
          <w:szCs w:val="24"/>
        </w:rPr>
        <w:t>are</w:t>
      </w:r>
      <w:proofErr w:type="gramEnd"/>
      <w:r>
        <w:rPr>
          <w:szCs w:val="24"/>
        </w:rPr>
        <w:t xml:space="preserve"> presented in </w:t>
      </w:r>
      <w:r w:rsidRPr="00C27FE8">
        <w:rPr>
          <w:szCs w:val="24"/>
        </w:rPr>
        <w:t xml:space="preserve">Table </w:t>
      </w:r>
      <w:r w:rsidR="00681637">
        <w:rPr>
          <w:szCs w:val="24"/>
        </w:rPr>
        <w:t>1</w:t>
      </w:r>
    </w:p>
    <w:p w14:paraId="11B61139" w14:textId="049FCBB0" w:rsidR="006C2969" w:rsidRDefault="006C2969" w:rsidP="006C2969">
      <w:pPr>
        <w:jc w:val="both"/>
        <w:rPr>
          <w:szCs w:val="24"/>
        </w:rPr>
      </w:pPr>
      <w:r>
        <w:rPr>
          <w:szCs w:val="24"/>
        </w:rPr>
        <w:t xml:space="preserve">From recent studies (Timar-Gabor et al, 2017) it is known that unlike coarse grain quartz, fine-grained quartz does not show saturation of the quartz signal even at high </w:t>
      </w:r>
      <w:proofErr w:type="gramStart"/>
      <w:r>
        <w:rPr>
          <w:szCs w:val="24"/>
        </w:rPr>
        <w:t>doses, yet</w:t>
      </w:r>
      <w:proofErr w:type="gramEnd"/>
      <w:r>
        <w:rPr>
          <w:szCs w:val="24"/>
        </w:rPr>
        <w:t xml:space="preserve"> is known to underestimate true depositional ages (after &gt; 40 ka). In our samples, after a depth of c. </w:t>
      </w:r>
      <w:r w:rsidR="00D33477">
        <w:rPr>
          <w:szCs w:val="24"/>
        </w:rPr>
        <w:t>9</w:t>
      </w:r>
      <w:r>
        <w:rPr>
          <w:szCs w:val="24"/>
        </w:rPr>
        <w:t>m, for sample A0240 (</w:t>
      </w:r>
      <w:r w:rsidR="00BA4C40">
        <w:rPr>
          <w:szCs w:val="24"/>
        </w:rPr>
        <w:t xml:space="preserve">at a </w:t>
      </w:r>
      <w:r>
        <w:rPr>
          <w:szCs w:val="24"/>
        </w:rPr>
        <w:t xml:space="preserve">depth </w:t>
      </w:r>
      <w:r w:rsidR="00BA4C40">
        <w:rPr>
          <w:szCs w:val="24"/>
        </w:rPr>
        <w:t>of</w:t>
      </w:r>
      <w:r>
        <w:rPr>
          <w:szCs w:val="24"/>
        </w:rPr>
        <w:t xml:space="preserve"> 9m) we observe a high dispersion in the fine-grained quartz, while for the subsequent samples A0242, A0243 and A0245 at depths 10, 10.5 and 11.5 respectively, we suspect a case of possible underestimation of the true depositional age. Therefore, for samples below 9 m (A0240, A0242, A0243 and A0245), we also evaluated the </w:t>
      </w:r>
      <w:r w:rsidRPr="00AB0AE5">
        <w:rPr>
          <w:szCs w:val="24"/>
        </w:rPr>
        <w:t>elevated pIRIR</w:t>
      </w:r>
      <w:r>
        <w:rPr>
          <w:szCs w:val="24"/>
        </w:rPr>
        <w:t xml:space="preserve"> ages </w:t>
      </w:r>
      <w:r w:rsidRPr="00AB0AE5">
        <w:rPr>
          <w:szCs w:val="24"/>
        </w:rPr>
        <w:t xml:space="preserve">from fine-grained polymineral samples </w:t>
      </w:r>
      <w:r>
        <w:rPr>
          <w:szCs w:val="24"/>
        </w:rPr>
        <w:t>using the pIRIR protocol as described in Table S2 (after Thiel et al, 2011).</w:t>
      </w:r>
      <w:r w:rsidRPr="0093048E">
        <w:t xml:space="preserve"> </w:t>
      </w:r>
      <w:r w:rsidRPr="0093048E">
        <w:rPr>
          <w:szCs w:val="24"/>
        </w:rPr>
        <w:t xml:space="preserve">Studies based on application of elevated temperature pIRIR protocol on feldspar have shown low fading rates for the resulting IRSL signal (Thomsen et al, 2008; </w:t>
      </w:r>
      <w:proofErr w:type="spellStart"/>
      <w:r w:rsidRPr="0093048E">
        <w:rPr>
          <w:szCs w:val="24"/>
        </w:rPr>
        <w:t>Buylaert</w:t>
      </w:r>
      <w:proofErr w:type="spellEnd"/>
      <w:r w:rsidRPr="0093048E">
        <w:rPr>
          <w:szCs w:val="24"/>
        </w:rPr>
        <w:t xml:space="preserve"> et al, 2008; Thiel et al, 2011) and therefore we consider fading to be minimum for our samples. Nonetheless, since the K-feldspar ages presented in this paper have not been corrected for residual dose and fading, we consider these as maximum ages for our samples</w:t>
      </w:r>
      <w:r>
        <w:rPr>
          <w:szCs w:val="24"/>
        </w:rPr>
        <w:t>.</w:t>
      </w:r>
      <w:r w:rsidRPr="0093048E">
        <w:rPr>
          <w:szCs w:val="24"/>
        </w:rPr>
        <w:t xml:space="preserve"> </w:t>
      </w:r>
      <w:r>
        <w:rPr>
          <w:szCs w:val="24"/>
        </w:rPr>
        <w:lastRenderedPageBreak/>
        <w:t xml:space="preserve">The robust ages for the top </w:t>
      </w:r>
      <w:r w:rsidR="007B0A11">
        <w:rPr>
          <w:szCs w:val="24"/>
        </w:rPr>
        <w:t>8</w:t>
      </w:r>
      <w:r>
        <w:rPr>
          <w:szCs w:val="24"/>
        </w:rPr>
        <w:t xml:space="preserve"> m of the section based on quartz OSL and the preliminary uncorrected pIRIR ages from below 9 m, provides us with a preliminary chronology for our site</w:t>
      </w:r>
      <w:r w:rsidRPr="0093048E">
        <w:rPr>
          <w:szCs w:val="24"/>
        </w:rPr>
        <w:t xml:space="preserve">. </w:t>
      </w:r>
      <w:r>
        <w:rPr>
          <w:szCs w:val="24"/>
        </w:rPr>
        <w:t>F</w:t>
      </w:r>
      <w:r w:rsidRPr="0093048E">
        <w:rPr>
          <w:szCs w:val="24"/>
        </w:rPr>
        <w:t xml:space="preserve">urther work </w:t>
      </w:r>
      <w:r>
        <w:rPr>
          <w:szCs w:val="24"/>
        </w:rPr>
        <w:t xml:space="preserve">based on high-resolution </w:t>
      </w:r>
      <w:r w:rsidRPr="0093048E">
        <w:rPr>
          <w:szCs w:val="24"/>
        </w:rPr>
        <w:t xml:space="preserve">multi-method luminescence dating </w:t>
      </w:r>
      <w:r>
        <w:rPr>
          <w:szCs w:val="24"/>
        </w:rPr>
        <w:t xml:space="preserve">at the site is currently </w:t>
      </w:r>
      <w:r w:rsidRPr="0093048E">
        <w:rPr>
          <w:szCs w:val="24"/>
        </w:rPr>
        <w:t>in preparation and will be presented elsewhere.</w:t>
      </w:r>
    </w:p>
    <w:p w14:paraId="15A0DD66" w14:textId="77777777" w:rsidR="00177BB9" w:rsidRDefault="00177BB9" w:rsidP="00177BB9">
      <w:pPr>
        <w:jc w:val="center"/>
        <w:rPr>
          <w:szCs w:val="24"/>
        </w:rPr>
      </w:pPr>
      <w:r>
        <w:rPr>
          <w:noProof/>
        </w:rPr>
        <w:drawing>
          <wp:inline distT="0" distB="0" distL="0" distR="0" wp14:anchorId="3F80292E" wp14:editId="32B895EA">
            <wp:extent cx="3155950" cy="2705100"/>
            <wp:effectExtent l="0" t="0" r="6350" b="0"/>
            <wp:docPr id="2"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5950" cy="2705100"/>
                    </a:xfrm>
                    <a:prstGeom prst="rect">
                      <a:avLst/>
                    </a:prstGeom>
                    <a:noFill/>
                    <a:ln>
                      <a:noFill/>
                    </a:ln>
                  </pic:spPr>
                </pic:pic>
              </a:graphicData>
            </a:graphic>
          </wp:inline>
        </w:drawing>
      </w:r>
    </w:p>
    <w:p w14:paraId="575A551D" w14:textId="77777777" w:rsidR="00177BB9" w:rsidRDefault="00177BB9" w:rsidP="00177BB9">
      <w:pPr>
        <w:jc w:val="both"/>
        <w:rPr>
          <w:szCs w:val="24"/>
        </w:rPr>
      </w:pPr>
      <w:r w:rsidRPr="00072D0C">
        <w:rPr>
          <w:b/>
          <w:bCs/>
          <w:szCs w:val="24"/>
        </w:rPr>
        <w:t>Figure S1.</w:t>
      </w:r>
      <w:r>
        <w:rPr>
          <w:szCs w:val="24"/>
        </w:rPr>
        <w:t xml:space="preserve"> Variation of equivalent dose in representative sample A0226 with different preheat temperatures. Aliquots that did not meet the recycling and recuperation criteria were rejected from the analysis.</w:t>
      </w:r>
    </w:p>
    <w:p w14:paraId="1BA0F9F4" w14:textId="77777777" w:rsidR="007C21AD" w:rsidRDefault="007C21AD" w:rsidP="007C21AD">
      <w:pPr>
        <w:jc w:val="both"/>
        <w:rPr>
          <w:szCs w:val="24"/>
        </w:rPr>
      </w:pPr>
      <w:r w:rsidRPr="00E359A6">
        <w:rPr>
          <w:b/>
          <w:szCs w:val="24"/>
        </w:rPr>
        <w:t>Table S1. (a)</w:t>
      </w:r>
      <w:r>
        <w:rPr>
          <w:szCs w:val="24"/>
        </w:rPr>
        <w:t xml:space="preserve"> DSAR protocol (modified Banerjee et al, 2001) and </w:t>
      </w:r>
      <w:r w:rsidRPr="00E359A6">
        <w:rPr>
          <w:b/>
          <w:szCs w:val="24"/>
        </w:rPr>
        <w:t>(b)</w:t>
      </w:r>
      <w:r>
        <w:rPr>
          <w:szCs w:val="24"/>
        </w:rPr>
        <w:t xml:space="preserve"> pIRIR protocol (Thiel et al, 2011) used in this study for determination of the equivalent dose from the quartz and polymineral samples respectively.</w:t>
      </w:r>
    </w:p>
    <w:p w14:paraId="09A1D644" w14:textId="77777777" w:rsidR="007C21AD" w:rsidRDefault="007C21AD" w:rsidP="007C21AD">
      <w:pPr>
        <w:pStyle w:val="ListParagraph"/>
        <w:numPr>
          <w:ilvl w:val="0"/>
          <w:numId w:val="21"/>
        </w:numPr>
        <w:spacing w:before="0" w:after="160" w:line="259" w:lineRule="auto"/>
        <w:ind w:left="540" w:hanging="540"/>
        <w:jc w:val="center"/>
        <w:rPr>
          <w:b/>
        </w:rPr>
      </w:pPr>
      <w:r w:rsidRPr="00D62EA0">
        <w:rPr>
          <w:b/>
        </w:rPr>
        <w:t>DSAR protocol (modified from Banerjee et al, 2001)</w:t>
      </w:r>
    </w:p>
    <w:p w14:paraId="20A5B344" w14:textId="77777777" w:rsidR="007C21AD" w:rsidRPr="00D62EA0" w:rsidRDefault="007C21AD" w:rsidP="007C21AD">
      <w:pPr>
        <w:pStyle w:val="ListParagraph"/>
        <w:ind w:left="540"/>
        <w:rPr>
          <w:b/>
          <w:sz w:val="8"/>
          <w:szCs w:val="8"/>
        </w:rPr>
      </w:pPr>
    </w:p>
    <w:tbl>
      <w:tblPr>
        <w:tblStyle w:val="Grigliatabella1"/>
        <w:tblW w:w="0" w:type="auto"/>
        <w:jc w:val="center"/>
        <w:tblLook w:val="04A0" w:firstRow="1" w:lastRow="0" w:firstColumn="1" w:lastColumn="0" w:noHBand="0" w:noVBand="1"/>
      </w:tblPr>
      <w:tblGrid>
        <w:gridCol w:w="905"/>
        <w:gridCol w:w="2840"/>
      </w:tblGrid>
      <w:tr w:rsidR="003076A4" w:rsidRPr="003076A4" w14:paraId="5BD0B5D2" w14:textId="77777777" w:rsidTr="001473B5">
        <w:trPr>
          <w:jc w:val="center"/>
        </w:trPr>
        <w:tc>
          <w:tcPr>
            <w:tcW w:w="905" w:type="dxa"/>
          </w:tcPr>
          <w:p w14:paraId="3148B253"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Step</w:t>
            </w:r>
          </w:p>
        </w:tc>
        <w:tc>
          <w:tcPr>
            <w:tcW w:w="2840" w:type="dxa"/>
          </w:tcPr>
          <w:p w14:paraId="4CEDD9FE"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Treatment</w:t>
            </w:r>
          </w:p>
        </w:tc>
      </w:tr>
      <w:tr w:rsidR="003076A4" w:rsidRPr="003076A4" w14:paraId="7E7FC618" w14:textId="77777777" w:rsidTr="001473B5">
        <w:trPr>
          <w:jc w:val="center"/>
        </w:trPr>
        <w:tc>
          <w:tcPr>
            <w:tcW w:w="905" w:type="dxa"/>
          </w:tcPr>
          <w:p w14:paraId="70DC1D3E"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1</w:t>
            </w:r>
          </w:p>
        </w:tc>
        <w:tc>
          <w:tcPr>
            <w:tcW w:w="2840" w:type="dxa"/>
          </w:tcPr>
          <w:p w14:paraId="475AB933"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Dose (Natural or laboratory)</w:t>
            </w:r>
          </w:p>
        </w:tc>
      </w:tr>
      <w:tr w:rsidR="003076A4" w:rsidRPr="003076A4" w14:paraId="09CD7F22" w14:textId="77777777" w:rsidTr="001473B5">
        <w:trPr>
          <w:jc w:val="center"/>
        </w:trPr>
        <w:tc>
          <w:tcPr>
            <w:tcW w:w="905" w:type="dxa"/>
          </w:tcPr>
          <w:p w14:paraId="06DF8E7E"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2</w:t>
            </w:r>
          </w:p>
        </w:tc>
        <w:tc>
          <w:tcPr>
            <w:tcW w:w="2840" w:type="dxa"/>
          </w:tcPr>
          <w:p w14:paraId="496A3058"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 xml:space="preserve">Preheat 10s at 280 </w:t>
            </w:r>
            <w:proofErr w:type="spellStart"/>
            <w:r w:rsidRPr="003076A4">
              <w:rPr>
                <w:rFonts w:ascii="Arial" w:eastAsia="Calibri" w:hAnsi="Arial" w:cs="Arial"/>
                <w:sz w:val="20"/>
                <w:szCs w:val="20"/>
                <w:vertAlign w:val="superscript"/>
              </w:rPr>
              <w:t>o</w:t>
            </w:r>
            <w:r w:rsidRPr="003076A4">
              <w:rPr>
                <w:rFonts w:ascii="Arial" w:eastAsia="Calibri" w:hAnsi="Arial" w:cs="Arial"/>
                <w:sz w:val="20"/>
                <w:szCs w:val="20"/>
              </w:rPr>
              <w:t>C</w:t>
            </w:r>
            <w:proofErr w:type="spellEnd"/>
          </w:p>
        </w:tc>
      </w:tr>
      <w:tr w:rsidR="003076A4" w:rsidRPr="003076A4" w14:paraId="1221930B" w14:textId="77777777" w:rsidTr="001473B5">
        <w:trPr>
          <w:jc w:val="center"/>
        </w:trPr>
        <w:tc>
          <w:tcPr>
            <w:tcW w:w="905" w:type="dxa"/>
          </w:tcPr>
          <w:p w14:paraId="2B92E2B1"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3</w:t>
            </w:r>
          </w:p>
        </w:tc>
        <w:tc>
          <w:tcPr>
            <w:tcW w:w="2840" w:type="dxa"/>
          </w:tcPr>
          <w:p w14:paraId="3D0F61A4"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IRSL wash, 60</w:t>
            </w:r>
            <w:r w:rsidRPr="003076A4">
              <w:rPr>
                <w:rFonts w:ascii="Arial" w:eastAsia="Calibri" w:hAnsi="Arial" w:cs="Arial"/>
                <w:sz w:val="20"/>
                <w:szCs w:val="20"/>
                <w:vertAlign w:val="superscript"/>
              </w:rPr>
              <w:t>o</w:t>
            </w:r>
            <w:r w:rsidRPr="003076A4">
              <w:rPr>
                <w:rFonts w:ascii="Arial" w:eastAsia="Calibri" w:hAnsi="Arial" w:cs="Arial"/>
                <w:sz w:val="20"/>
                <w:szCs w:val="20"/>
              </w:rPr>
              <w:t>C for 10s</w:t>
            </w:r>
          </w:p>
        </w:tc>
      </w:tr>
      <w:tr w:rsidR="003076A4" w:rsidRPr="003076A4" w14:paraId="7328686D" w14:textId="77777777" w:rsidTr="001473B5">
        <w:trPr>
          <w:jc w:val="center"/>
        </w:trPr>
        <w:tc>
          <w:tcPr>
            <w:tcW w:w="905" w:type="dxa"/>
          </w:tcPr>
          <w:p w14:paraId="2D12C4E5"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4</w:t>
            </w:r>
          </w:p>
        </w:tc>
        <w:tc>
          <w:tcPr>
            <w:tcW w:w="2840" w:type="dxa"/>
          </w:tcPr>
          <w:p w14:paraId="44184C00"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 xml:space="preserve">Blue OSL, 125 </w:t>
            </w:r>
            <w:proofErr w:type="spellStart"/>
            <w:r w:rsidRPr="003076A4">
              <w:rPr>
                <w:rFonts w:ascii="Arial" w:eastAsia="Calibri" w:hAnsi="Arial" w:cs="Arial"/>
                <w:sz w:val="20"/>
                <w:szCs w:val="20"/>
                <w:vertAlign w:val="superscript"/>
              </w:rPr>
              <w:t>o</w:t>
            </w:r>
            <w:r w:rsidRPr="003076A4">
              <w:rPr>
                <w:rFonts w:ascii="Arial" w:eastAsia="Calibri" w:hAnsi="Arial" w:cs="Arial"/>
                <w:sz w:val="20"/>
                <w:szCs w:val="20"/>
              </w:rPr>
              <w:t>C</w:t>
            </w:r>
            <w:proofErr w:type="spellEnd"/>
            <w:r w:rsidRPr="003076A4">
              <w:rPr>
                <w:rFonts w:ascii="Arial" w:eastAsia="Calibri" w:hAnsi="Arial" w:cs="Arial"/>
                <w:sz w:val="20"/>
                <w:szCs w:val="20"/>
              </w:rPr>
              <w:t xml:space="preserve"> for 25 s</w:t>
            </w:r>
          </w:p>
        </w:tc>
      </w:tr>
      <w:tr w:rsidR="003076A4" w:rsidRPr="003076A4" w14:paraId="17E34C74" w14:textId="77777777" w:rsidTr="001473B5">
        <w:trPr>
          <w:jc w:val="center"/>
        </w:trPr>
        <w:tc>
          <w:tcPr>
            <w:tcW w:w="905" w:type="dxa"/>
          </w:tcPr>
          <w:p w14:paraId="703B01ED"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5</w:t>
            </w:r>
          </w:p>
        </w:tc>
        <w:tc>
          <w:tcPr>
            <w:tcW w:w="2840" w:type="dxa"/>
          </w:tcPr>
          <w:p w14:paraId="22C5C355"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Test dose</w:t>
            </w:r>
          </w:p>
        </w:tc>
      </w:tr>
      <w:tr w:rsidR="003076A4" w:rsidRPr="003076A4" w14:paraId="51A3062A" w14:textId="77777777" w:rsidTr="001473B5">
        <w:trPr>
          <w:jc w:val="center"/>
        </w:trPr>
        <w:tc>
          <w:tcPr>
            <w:tcW w:w="905" w:type="dxa"/>
          </w:tcPr>
          <w:p w14:paraId="05F8B6F1"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6</w:t>
            </w:r>
          </w:p>
        </w:tc>
        <w:tc>
          <w:tcPr>
            <w:tcW w:w="2840" w:type="dxa"/>
          </w:tcPr>
          <w:p w14:paraId="318EE2E4"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 xml:space="preserve">Cut heat, 260 </w:t>
            </w:r>
            <w:proofErr w:type="spellStart"/>
            <w:r w:rsidRPr="003076A4">
              <w:rPr>
                <w:rFonts w:ascii="Arial" w:eastAsia="Calibri" w:hAnsi="Arial" w:cs="Arial"/>
                <w:sz w:val="20"/>
                <w:szCs w:val="20"/>
                <w:vertAlign w:val="superscript"/>
              </w:rPr>
              <w:t>o</w:t>
            </w:r>
            <w:r w:rsidRPr="003076A4">
              <w:rPr>
                <w:rFonts w:ascii="Arial" w:eastAsia="Calibri" w:hAnsi="Arial" w:cs="Arial"/>
                <w:sz w:val="20"/>
                <w:szCs w:val="20"/>
              </w:rPr>
              <w:t>C</w:t>
            </w:r>
            <w:proofErr w:type="spellEnd"/>
            <w:r w:rsidRPr="003076A4">
              <w:rPr>
                <w:rFonts w:ascii="Arial" w:eastAsia="Calibri" w:hAnsi="Arial" w:cs="Arial"/>
                <w:sz w:val="20"/>
                <w:szCs w:val="20"/>
              </w:rPr>
              <w:t xml:space="preserve"> for 10s</w:t>
            </w:r>
          </w:p>
        </w:tc>
      </w:tr>
      <w:tr w:rsidR="003076A4" w:rsidRPr="003076A4" w14:paraId="72C8FAC8" w14:textId="77777777" w:rsidTr="001473B5">
        <w:trPr>
          <w:jc w:val="center"/>
        </w:trPr>
        <w:tc>
          <w:tcPr>
            <w:tcW w:w="905" w:type="dxa"/>
          </w:tcPr>
          <w:p w14:paraId="76306214"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7</w:t>
            </w:r>
          </w:p>
        </w:tc>
        <w:tc>
          <w:tcPr>
            <w:tcW w:w="2840" w:type="dxa"/>
          </w:tcPr>
          <w:p w14:paraId="392F9DE4"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IRSL wash, 60</w:t>
            </w:r>
            <w:r w:rsidRPr="003076A4">
              <w:rPr>
                <w:rFonts w:ascii="Arial" w:eastAsia="Calibri" w:hAnsi="Arial" w:cs="Arial"/>
                <w:sz w:val="20"/>
                <w:szCs w:val="20"/>
                <w:vertAlign w:val="superscript"/>
              </w:rPr>
              <w:t>o</w:t>
            </w:r>
            <w:r w:rsidRPr="003076A4">
              <w:rPr>
                <w:rFonts w:ascii="Arial" w:eastAsia="Calibri" w:hAnsi="Arial" w:cs="Arial"/>
                <w:sz w:val="20"/>
                <w:szCs w:val="20"/>
              </w:rPr>
              <w:t>C at 10s</w:t>
            </w:r>
          </w:p>
        </w:tc>
      </w:tr>
      <w:tr w:rsidR="003076A4" w:rsidRPr="003076A4" w14:paraId="2F9FE496" w14:textId="77777777" w:rsidTr="001473B5">
        <w:trPr>
          <w:jc w:val="center"/>
        </w:trPr>
        <w:tc>
          <w:tcPr>
            <w:tcW w:w="905" w:type="dxa"/>
          </w:tcPr>
          <w:p w14:paraId="2349CB63"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8</w:t>
            </w:r>
          </w:p>
        </w:tc>
        <w:tc>
          <w:tcPr>
            <w:tcW w:w="2840" w:type="dxa"/>
          </w:tcPr>
          <w:p w14:paraId="610C4AD6"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 xml:space="preserve">Blue OSL, 125 </w:t>
            </w:r>
            <w:proofErr w:type="spellStart"/>
            <w:r w:rsidRPr="003076A4">
              <w:rPr>
                <w:rFonts w:ascii="Arial" w:eastAsia="Calibri" w:hAnsi="Arial" w:cs="Arial"/>
                <w:sz w:val="20"/>
                <w:szCs w:val="20"/>
                <w:vertAlign w:val="superscript"/>
              </w:rPr>
              <w:t>o</w:t>
            </w:r>
            <w:r w:rsidRPr="003076A4">
              <w:rPr>
                <w:rFonts w:ascii="Arial" w:eastAsia="Calibri" w:hAnsi="Arial" w:cs="Arial"/>
                <w:sz w:val="20"/>
                <w:szCs w:val="20"/>
              </w:rPr>
              <w:t>C</w:t>
            </w:r>
            <w:proofErr w:type="spellEnd"/>
            <w:r w:rsidRPr="003076A4">
              <w:rPr>
                <w:rFonts w:ascii="Arial" w:eastAsia="Calibri" w:hAnsi="Arial" w:cs="Arial"/>
                <w:sz w:val="20"/>
                <w:szCs w:val="20"/>
              </w:rPr>
              <w:t xml:space="preserve"> for 25s</w:t>
            </w:r>
          </w:p>
        </w:tc>
      </w:tr>
      <w:tr w:rsidR="003076A4" w:rsidRPr="003076A4" w14:paraId="7F3BD5C2" w14:textId="77777777" w:rsidTr="001473B5">
        <w:trPr>
          <w:jc w:val="center"/>
        </w:trPr>
        <w:tc>
          <w:tcPr>
            <w:tcW w:w="905" w:type="dxa"/>
          </w:tcPr>
          <w:p w14:paraId="2411171A"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9</w:t>
            </w:r>
          </w:p>
        </w:tc>
        <w:tc>
          <w:tcPr>
            <w:tcW w:w="2840" w:type="dxa"/>
          </w:tcPr>
          <w:p w14:paraId="3EAFF44C"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 xml:space="preserve">Blue OSL, 280 </w:t>
            </w:r>
            <w:proofErr w:type="spellStart"/>
            <w:r w:rsidRPr="003076A4">
              <w:rPr>
                <w:rFonts w:ascii="Arial" w:eastAsia="Calibri" w:hAnsi="Arial" w:cs="Arial"/>
                <w:sz w:val="20"/>
                <w:szCs w:val="20"/>
                <w:vertAlign w:val="superscript"/>
              </w:rPr>
              <w:t>o</w:t>
            </w:r>
            <w:r w:rsidRPr="003076A4">
              <w:rPr>
                <w:rFonts w:ascii="Arial" w:eastAsia="Calibri" w:hAnsi="Arial" w:cs="Arial"/>
                <w:sz w:val="20"/>
                <w:szCs w:val="20"/>
              </w:rPr>
              <w:t>C</w:t>
            </w:r>
            <w:proofErr w:type="spellEnd"/>
            <w:r w:rsidRPr="003076A4">
              <w:rPr>
                <w:rFonts w:ascii="Arial" w:eastAsia="Calibri" w:hAnsi="Arial" w:cs="Arial"/>
                <w:sz w:val="20"/>
                <w:szCs w:val="20"/>
              </w:rPr>
              <w:t xml:space="preserve"> for 40s</w:t>
            </w:r>
          </w:p>
        </w:tc>
      </w:tr>
      <w:tr w:rsidR="003076A4" w:rsidRPr="003076A4" w14:paraId="4DC85AF5" w14:textId="77777777" w:rsidTr="001473B5">
        <w:trPr>
          <w:jc w:val="center"/>
        </w:trPr>
        <w:tc>
          <w:tcPr>
            <w:tcW w:w="905" w:type="dxa"/>
          </w:tcPr>
          <w:p w14:paraId="35845EA0"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10</w:t>
            </w:r>
          </w:p>
        </w:tc>
        <w:tc>
          <w:tcPr>
            <w:tcW w:w="2840" w:type="dxa"/>
          </w:tcPr>
          <w:p w14:paraId="322EF060" w14:textId="77777777" w:rsidR="003076A4" w:rsidRPr="003076A4" w:rsidRDefault="003076A4" w:rsidP="003076A4">
            <w:pPr>
              <w:tabs>
                <w:tab w:val="left" w:pos="284"/>
              </w:tabs>
              <w:spacing w:before="0" w:after="0"/>
              <w:contextualSpacing/>
              <w:jc w:val="center"/>
              <w:rPr>
                <w:rFonts w:ascii="Arial" w:eastAsia="Calibri" w:hAnsi="Arial" w:cs="Arial"/>
                <w:sz w:val="20"/>
                <w:szCs w:val="20"/>
              </w:rPr>
            </w:pPr>
            <w:r w:rsidRPr="003076A4">
              <w:rPr>
                <w:rFonts w:ascii="Arial" w:eastAsia="Calibri" w:hAnsi="Arial" w:cs="Arial"/>
                <w:sz w:val="20"/>
                <w:szCs w:val="20"/>
              </w:rPr>
              <w:t>Return to step 1</w:t>
            </w:r>
          </w:p>
        </w:tc>
      </w:tr>
    </w:tbl>
    <w:p w14:paraId="315F0DE2" w14:textId="77777777" w:rsidR="00121590" w:rsidRDefault="00121590" w:rsidP="007A0E02">
      <w:pPr>
        <w:pStyle w:val="ListParagraph"/>
        <w:numPr>
          <w:ilvl w:val="0"/>
          <w:numId w:val="0"/>
        </w:numPr>
        <w:spacing w:before="0" w:after="160"/>
        <w:ind w:left="540"/>
        <w:rPr>
          <w:b/>
        </w:rPr>
      </w:pPr>
    </w:p>
    <w:p w14:paraId="474CDC55" w14:textId="77777777" w:rsidR="00121590" w:rsidRDefault="00121590" w:rsidP="007A0E02">
      <w:pPr>
        <w:pStyle w:val="ListParagraph"/>
        <w:numPr>
          <w:ilvl w:val="0"/>
          <w:numId w:val="0"/>
        </w:numPr>
        <w:spacing w:before="0" w:after="160"/>
        <w:ind w:left="540"/>
        <w:rPr>
          <w:b/>
        </w:rPr>
      </w:pPr>
    </w:p>
    <w:p w14:paraId="7E27A1C3" w14:textId="52FCCCE2" w:rsidR="00C92683" w:rsidRPr="00D62EA0" w:rsidRDefault="00C92683" w:rsidP="00C92683">
      <w:pPr>
        <w:pStyle w:val="ListParagraph"/>
        <w:numPr>
          <w:ilvl w:val="0"/>
          <w:numId w:val="21"/>
        </w:numPr>
        <w:spacing w:before="0" w:after="160"/>
        <w:ind w:left="540" w:hanging="540"/>
        <w:jc w:val="center"/>
        <w:rPr>
          <w:b/>
        </w:rPr>
      </w:pPr>
      <w:r w:rsidRPr="00D62EA0">
        <w:rPr>
          <w:b/>
        </w:rPr>
        <w:t>pIR</w:t>
      </w:r>
      <w:r w:rsidRPr="00D62EA0">
        <w:rPr>
          <w:b/>
          <w:vertAlign w:val="subscript"/>
        </w:rPr>
        <w:t>50</w:t>
      </w:r>
      <w:r w:rsidRPr="00D62EA0">
        <w:rPr>
          <w:b/>
        </w:rPr>
        <w:t>IR</w:t>
      </w:r>
      <w:r w:rsidRPr="00D62EA0">
        <w:rPr>
          <w:b/>
          <w:vertAlign w:val="subscript"/>
        </w:rPr>
        <w:t>290</w:t>
      </w:r>
      <w:r w:rsidRPr="00D62EA0">
        <w:rPr>
          <w:b/>
        </w:rPr>
        <w:t xml:space="preserve"> protocol (after Thiel et al, 2011)</w:t>
      </w:r>
    </w:p>
    <w:tbl>
      <w:tblPr>
        <w:tblStyle w:val="Grigliatabella2"/>
        <w:tblpPr w:leftFromText="141" w:rightFromText="141" w:vertAnchor="text" w:horzAnchor="margin" w:tblpXSpec="center" w:tblpY="151"/>
        <w:tblW w:w="0" w:type="auto"/>
        <w:tblLook w:val="04A0" w:firstRow="1" w:lastRow="0" w:firstColumn="1" w:lastColumn="0" w:noHBand="0" w:noVBand="1"/>
      </w:tblPr>
      <w:tblGrid>
        <w:gridCol w:w="846"/>
        <w:gridCol w:w="3124"/>
      </w:tblGrid>
      <w:tr w:rsidR="006D7E7D" w:rsidRPr="006D7E7D" w14:paraId="34F142C2" w14:textId="77777777" w:rsidTr="001473B5">
        <w:tc>
          <w:tcPr>
            <w:tcW w:w="846" w:type="dxa"/>
          </w:tcPr>
          <w:p w14:paraId="67CF06CA"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Step</w:t>
            </w:r>
          </w:p>
        </w:tc>
        <w:tc>
          <w:tcPr>
            <w:tcW w:w="3124" w:type="dxa"/>
          </w:tcPr>
          <w:p w14:paraId="0C445804"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Treatment</w:t>
            </w:r>
          </w:p>
        </w:tc>
      </w:tr>
      <w:tr w:rsidR="006D7E7D" w:rsidRPr="006D7E7D" w14:paraId="75426E5E" w14:textId="77777777" w:rsidTr="001473B5">
        <w:tc>
          <w:tcPr>
            <w:tcW w:w="846" w:type="dxa"/>
          </w:tcPr>
          <w:p w14:paraId="269AD3E3"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1</w:t>
            </w:r>
          </w:p>
        </w:tc>
        <w:tc>
          <w:tcPr>
            <w:tcW w:w="3124" w:type="dxa"/>
          </w:tcPr>
          <w:p w14:paraId="1CBF62EA"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Dose (Natural or laboratory)</w:t>
            </w:r>
          </w:p>
        </w:tc>
      </w:tr>
      <w:tr w:rsidR="006D7E7D" w:rsidRPr="006D7E7D" w14:paraId="65B61EBF" w14:textId="77777777" w:rsidTr="001473B5">
        <w:tc>
          <w:tcPr>
            <w:tcW w:w="846" w:type="dxa"/>
          </w:tcPr>
          <w:p w14:paraId="1090F14E"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2</w:t>
            </w:r>
          </w:p>
        </w:tc>
        <w:tc>
          <w:tcPr>
            <w:tcW w:w="3124" w:type="dxa"/>
          </w:tcPr>
          <w:p w14:paraId="2385F935"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 xml:space="preserve">Preheat, 320 </w:t>
            </w:r>
            <w:proofErr w:type="spellStart"/>
            <w:r w:rsidRPr="006D7E7D">
              <w:rPr>
                <w:rFonts w:ascii="Arial" w:eastAsia="Calibri" w:hAnsi="Arial" w:cs="Arial"/>
                <w:sz w:val="20"/>
                <w:szCs w:val="20"/>
                <w:vertAlign w:val="superscript"/>
              </w:rPr>
              <w:t>o</w:t>
            </w:r>
            <w:r w:rsidRPr="006D7E7D">
              <w:rPr>
                <w:rFonts w:ascii="Arial" w:eastAsia="Calibri" w:hAnsi="Arial" w:cs="Arial"/>
                <w:sz w:val="20"/>
                <w:szCs w:val="20"/>
              </w:rPr>
              <w:t>C</w:t>
            </w:r>
            <w:proofErr w:type="spellEnd"/>
            <w:r w:rsidRPr="006D7E7D">
              <w:rPr>
                <w:rFonts w:ascii="Arial" w:eastAsia="Calibri" w:hAnsi="Arial" w:cs="Arial"/>
                <w:sz w:val="20"/>
                <w:szCs w:val="20"/>
              </w:rPr>
              <w:t xml:space="preserve"> for 60s</w:t>
            </w:r>
          </w:p>
        </w:tc>
      </w:tr>
      <w:tr w:rsidR="006D7E7D" w:rsidRPr="006D7E7D" w14:paraId="6CEFD1D6" w14:textId="77777777" w:rsidTr="001473B5">
        <w:tc>
          <w:tcPr>
            <w:tcW w:w="846" w:type="dxa"/>
          </w:tcPr>
          <w:p w14:paraId="16C683F2"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3</w:t>
            </w:r>
          </w:p>
        </w:tc>
        <w:tc>
          <w:tcPr>
            <w:tcW w:w="3124" w:type="dxa"/>
          </w:tcPr>
          <w:p w14:paraId="58C0865F"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IRSL, 50</w:t>
            </w:r>
            <w:r w:rsidRPr="006D7E7D">
              <w:rPr>
                <w:rFonts w:ascii="Arial" w:eastAsia="Calibri" w:hAnsi="Arial" w:cs="Arial"/>
                <w:sz w:val="20"/>
                <w:szCs w:val="20"/>
                <w:vertAlign w:val="superscript"/>
              </w:rPr>
              <w:t>o</w:t>
            </w:r>
            <w:r w:rsidRPr="006D7E7D">
              <w:rPr>
                <w:rFonts w:ascii="Arial" w:eastAsia="Calibri" w:hAnsi="Arial" w:cs="Arial"/>
                <w:sz w:val="20"/>
                <w:szCs w:val="20"/>
              </w:rPr>
              <w:t>C for 200s</w:t>
            </w:r>
          </w:p>
        </w:tc>
      </w:tr>
      <w:tr w:rsidR="006D7E7D" w:rsidRPr="006D7E7D" w14:paraId="281E8599" w14:textId="77777777" w:rsidTr="001473B5">
        <w:tc>
          <w:tcPr>
            <w:tcW w:w="846" w:type="dxa"/>
          </w:tcPr>
          <w:p w14:paraId="4751EB17"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lastRenderedPageBreak/>
              <w:t>4</w:t>
            </w:r>
          </w:p>
        </w:tc>
        <w:tc>
          <w:tcPr>
            <w:tcW w:w="3124" w:type="dxa"/>
          </w:tcPr>
          <w:p w14:paraId="2CB49E02"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 xml:space="preserve">IRSL, 290 </w:t>
            </w:r>
            <w:proofErr w:type="spellStart"/>
            <w:r w:rsidRPr="006D7E7D">
              <w:rPr>
                <w:rFonts w:ascii="Arial" w:eastAsia="Calibri" w:hAnsi="Arial" w:cs="Arial"/>
                <w:sz w:val="20"/>
                <w:szCs w:val="20"/>
                <w:vertAlign w:val="superscript"/>
              </w:rPr>
              <w:t>o</w:t>
            </w:r>
            <w:r w:rsidRPr="006D7E7D">
              <w:rPr>
                <w:rFonts w:ascii="Arial" w:eastAsia="Calibri" w:hAnsi="Arial" w:cs="Arial"/>
                <w:sz w:val="20"/>
                <w:szCs w:val="20"/>
              </w:rPr>
              <w:t>C</w:t>
            </w:r>
            <w:proofErr w:type="spellEnd"/>
            <w:r w:rsidRPr="006D7E7D">
              <w:rPr>
                <w:rFonts w:ascii="Arial" w:eastAsia="Calibri" w:hAnsi="Arial" w:cs="Arial"/>
                <w:sz w:val="20"/>
                <w:szCs w:val="20"/>
              </w:rPr>
              <w:t xml:space="preserve"> for 200s</w:t>
            </w:r>
          </w:p>
        </w:tc>
      </w:tr>
      <w:tr w:rsidR="006D7E7D" w:rsidRPr="006D7E7D" w14:paraId="71611F92" w14:textId="77777777" w:rsidTr="001473B5">
        <w:tc>
          <w:tcPr>
            <w:tcW w:w="846" w:type="dxa"/>
          </w:tcPr>
          <w:p w14:paraId="35F81460"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5</w:t>
            </w:r>
          </w:p>
        </w:tc>
        <w:tc>
          <w:tcPr>
            <w:tcW w:w="3124" w:type="dxa"/>
          </w:tcPr>
          <w:p w14:paraId="09327FE5"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Test dose</w:t>
            </w:r>
          </w:p>
        </w:tc>
      </w:tr>
      <w:tr w:rsidR="006D7E7D" w:rsidRPr="006D7E7D" w14:paraId="45D583C8" w14:textId="77777777" w:rsidTr="001473B5">
        <w:tc>
          <w:tcPr>
            <w:tcW w:w="846" w:type="dxa"/>
          </w:tcPr>
          <w:p w14:paraId="36052AC3"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6</w:t>
            </w:r>
          </w:p>
        </w:tc>
        <w:tc>
          <w:tcPr>
            <w:tcW w:w="3124" w:type="dxa"/>
          </w:tcPr>
          <w:p w14:paraId="7F464517"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 xml:space="preserve">Preheat, 320 </w:t>
            </w:r>
            <w:proofErr w:type="spellStart"/>
            <w:r w:rsidRPr="006D7E7D">
              <w:rPr>
                <w:rFonts w:ascii="Arial" w:eastAsia="Calibri" w:hAnsi="Arial" w:cs="Arial"/>
                <w:sz w:val="20"/>
                <w:szCs w:val="20"/>
                <w:vertAlign w:val="superscript"/>
              </w:rPr>
              <w:t>o</w:t>
            </w:r>
            <w:r w:rsidRPr="006D7E7D">
              <w:rPr>
                <w:rFonts w:ascii="Arial" w:eastAsia="Calibri" w:hAnsi="Arial" w:cs="Arial"/>
                <w:sz w:val="20"/>
                <w:szCs w:val="20"/>
              </w:rPr>
              <w:t>C</w:t>
            </w:r>
            <w:proofErr w:type="spellEnd"/>
            <w:r w:rsidRPr="006D7E7D">
              <w:rPr>
                <w:rFonts w:ascii="Arial" w:eastAsia="Calibri" w:hAnsi="Arial" w:cs="Arial"/>
                <w:sz w:val="20"/>
                <w:szCs w:val="20"/>
              </w:rPr>
              <w:t xml:space="preserve"> for 60s</w:t>
            </w:r>
          </w:p>
        </w:tc>
      </w:tr>
      <w:tr w:rsidR="006D7E7D" w:rsidRPr="006D7E7D" w14:paraId="0B6F49C9" w14:textId="77777777" w:rsidTr="001473B5">
        <w:tc>
          <w:tcPr>
            <w:tcW w:w="846" w:type="dxa"/>
          </w:tcPr>
          <w:p w14:paraId="2B2D7662"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7</w:t>
            </w:r>
          </w:p>
        </w:tc>
        <w:tc>
          <w:tcPr>
            <w:tcW w:w="3124" w:type="dxa"/>
          </w:tcPr>
          <w:p w14:paraId="0A236891"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IRSL, 50</w:t>
            </w:r>
            <w:r w:rsidRPr="006D7E7D">
              <w:rPr>
                <w:rFonts w:ascii="Arial" w:eastAsia="Calibri" w:hAnsi="Arial" w:cs="Arial"/>
                <w:sz w:val="20"/>
                <w:szCs w:val="20"/>
                <w:vertAlign w:val="superscript"/>
              </w:rPr>
              <w:t>o</w:t>
            </w:r>
            <w:r w:rsidRPr="006D7E7D">
              <w:rPr>
                <w:rFonts w:ascii="Arial" w:eastAsia="Calibri" w:hAnsi="Arial" w:cs="Arial"/>
                <w:sz w:val="20"/>
                <w:szCs w:val="20"/>
              </w:rPr>
              <w:t>C for 200s</w:t>
            </w:r>
          </w:p>
        </w:tc>
      </w:tr>
      <w:tr w:rsidR="006D7E7D" w:rsidRPr="006D7E7D" w14:paraId="47E6D77D" w14:textId="77777777" w:rsidTr="001473B5">
        <w:tc>
          <w:tcPr>
            <w:tcW w:w="846" w:type="dxa"/>
          </w:tcPr>
          <w:p w14:paraId="476E65F5"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8</w:t>
            </w:r>
          </w:p>
        </w:tc>
        <w:tc>
          <w:tcPr>
            <w:tcW w:w="3124" w:type="dxa"/>
          </w:tcPr>
          <w:p w14:paraId="714A3BD9"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 xml:space="preserve">IRSL, 290 </w:t>
            </w:r>
            <w:proofErr w:type="spellStart"/>
            <w:r w:rsidRPr="006D7E7D">
              <w:rPr>
                <w:rFonts w:ascii="Arial" w:eastAsia="Calibri" w:hAnsi="Arial" w:cs="Arial"/>
                <w:sz w:val="20"/>
                <w:szCs w:val="20"/>
                <w:vertAlign w:val="superscript"/>
              </w:rPr>
              <w:t>o</w:t>
            </w:r>
            <w:r w:rsidRPr="006D7E7D">
              <w:rPr>
                <w:rFonts w:ascii="Arial" w:eastAsia="Calibri" w:hAnsi="Arial" w:cs="Arial"/>
                <w:sz w:val="20"/>
                <w:szCs w:val="20"/>
              </w:rPr>
              <w:t>C</w:t>
            </w:r>
            <w:proofErr w:type="spellEnd"/>
            <w:r w:rsidRPr="006D7E7D">
              <w:rPr>
                <w:rFonts w:ascii="Arial" w:eastAsia="Calibri" w:hAnsi="Arial" w:cs="Arial"/>
                <w:sz w:val="20"/>
                <w:szCs w:val="20"/>
              </w:rPr>
              <w:t xml:space="preserve"> for 200s</w:t>
            </w:r>
          </w:p>
        </w:tc>
      </w:tr>
      <w:tr w:rsidR="006D7E7D" w:rsidRPr="006D7E7D" w14:paraId="2FBB7E74" w14:textId="77777777" w:rsidTr="001473B5">
        <w:tc>
          <w:tcPr>
            <w:tcW w:w="846" w:type="dxa"/>
          </w:tcPr>
          <w:p w14:paraId="7DE5A05C"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9</w:t>
            </w:r>
          </w:p>
        </w:tc>
        <w:tc>
          <w:tcPr>
            <w:tcW w:w="3124" w:type="dxa"/>
          </w:tcPr>
          <w:p w14:paraId="6D45F456"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 xml:space="preserve">IRSL, 325 </w:t>
            </w:r>
            <w:proofErr w:type="spellStart"/>
            <w:r w:rsidRPr="006D7E7D">
              <w:rPr>
                <w:rFonts w:ascii="Arial" w:eastAsia="Calibri" w:hAnsi="Arial" w:cs="Arial"/>
                <w:sz w:val="20"/>
                <w:szCs w:val="20"/>
                <w:vertAlign w:val="superscript"/>
              </w:rPr>
              <w:t>o</w:t>
            </w:r>
            <w:r w:rsidRPr="006D7E7D">
              <w:rPr>
                <w:rFonts w:ascii="Arial" w:eastAsia="Calibri" w:hAnsi="Arial" w:cs="Arial"/>
                <w:sz w:val="20"/>
                <w:szCs w:val="20"/>
              </w:rPr>
              <w:t>C</w:t>
            </w:r>
            <w:proofErr w:type="spellEnd"/>
            <w:r w:rsidRPr="006D7E7D">
              <w:rPr>
                <w:rFonts w:ascii="Arial" w:eastAsia="Calibri" w:hAnsi="Arial" w:cs="Arial"/>
                <w:sz w:val="20"/>
                <w:szCs w:val="20"/>
              </w:rPr>
              <w:t xml:space="preserve"> for 200s</w:t>
            </w:r>
          </w:p>
        </w:tc>
      </w:tr>
      <w:tr w:rsidR="006D7E7D" w:rsidRPr="006D7E7D" w14:paraId="241EC263" w14:textId="77777777" w:rsidTr="001473B5">
        <w:tc>
          <w:tcPr>
            <w:tcW w:w="846" w:type="dxa"/>
          </w:tcPr>
          <w:p w14:paraId="46EF01AE"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10</w:t>
            </w:r>
          </w:p>
        </w:tc>
        <w:tc>
          <w:tcPr>
            <w:tcW w:w="3124" w:type="dxa"/>
          </w:tcPr>
          <w:p w14:paraId="5A204C5F" w14:textId="77777777" w:rsidR="006D7E7D" w:rsidRPr="006D7E7D" w:rsidRDefault="006D7E7D" w:rsidP="006D7E7D">
            <w:pPr>
              <w:tabs>
                <w:tab w:val="left" w:pos="284"/>
              </w:tabs>
              <w:spacing w:before="0" w:after="0"/>
              <w:contextualSpacing/>
              <w:jc w:val="center"/>
              <w:rPr>
                <w:rFonts w:ascii="Arial" w:eastAsia="Calibri" w:hAnsi="Arial" w:cs="Arial"/>
                <w:sz w:val="20"/>
                <w:szCs w:val="20"/>
              </w:rPr>
            </w:pPr>
            <w:r w:rsidRPr="006D7E7D">
              <w:rPr>
                <w:rFonts w:ascii="Arial" w:eastAsia="Calibri" w:hAnsi="Arial" w:cs="Arial"/>
                <w:sz w:val="20"/>
                <w:szCs w:val="20"/>
              </w:rPr>
              <w:t>Return to step 1</w:t>
            </w:r>
          </w:p>
        </w:tc>
      </w:tr>
    </w:tbl>
    <w:p w14:paraId="4B7654D2" w14:textId="77777777" w:rsidR="00177BB9" w:rsidRDefault="00177BB9" w:rsidP="006C2969">
      <w:pPr>
        <w:jc w:val="both"/>
        <w:rPr>
          <w:szCs w:val="24"/>
        </w:rPr>
      </w:pPr>
    </w:p>
    <w:p w14:paraId="4916FCC9" w14:textId="0267224A" w:rsidR="00994A3D" w:rsidRDefault="00994A3D" w:rsidP="00994A3D">
      <w:pPr>
        <w:keepNext/>
        <w:rPr>
          <w:rFonts w:cs="Times New Roman"/>
          <w:szCs w:val="24"/>
        </w:rPr>
      </w:pPr>
    </w:p>
    <w:p w14:paraId="22295E69" w14:textId="77777777" w:rsidR="00121590" w:rsidRDefault="00121590" w:rsidP="00121590">
      <w:pPr>
        <w:pStyle w:val="Heading2"/>
        <w:numPr>
          <w:ilvl w:val="0"/>
          <w:numId w:val="0"/>
        </w:numPr>
        <w:ind w:left="567"/>
      </w:pPr>
    </w:p>
    <w:p w14:paraId="5E370406" w14:textId="77777777" w:rsidR="00121590" w:rsidRDefault="00121590" w:rsidP="00121590">
      <w:pPr>
        <w:pStyle w:val="Heading2"/>
        <w:numPr>
          <w:ilvl w:val="0"/>
          <w:numId w:val="0"/>
        </w:numPr>
        <w:ind w:left="567"/>
      </w:pPr>
    </w:p>
    <w:p w14:paraId="7E7E5D62" w14:textId="77777777" w:rsidR="00121590" w:rsidRDefault="00121590" w:rsidP="00121590">
      <w:pPr>
        <w:pStyle w:val="Heading2"/>
        <w:numPr>
          <w:ilvl w:val="0"/>
          <w:numId w:val="0"/>
        </w:numPr>
        <w:ind w:left="567"/>
      </w:pPr>
    </w:p>
    <w:p w14:paraId="3F660A9B" w14:textId="77777777" w:rsidR="00121590" w:rsidRDefault="00121590" w:rsidP="00121590">
      <w:pPr>
        <w:pStyle w:val="Heading2"/>
        <w:numPr>
          <w:ilvl w:val="0"/>
          <w:numId w:val="0"/>
        </w:numPr>
        <w:ind w:left="567"/>
      </w:pPr>
    </w:p>
    <w:p w14:paraId="71D15F6E" w14:textId="77777777" w:rsidR="00121590" w:rsidRDefault="00121590" w:rsidP="00121590">
      <w:pPr>
        <w:pStyle w:val="Heading2"/>
        <w:numPr>
          <w:ilvl w:val="0"/>
          <w:numId w:val="0"/>
        </w:numPr>
        <w:ind w:left="567"/>
      </w:pPr>
    </w:p>
    <w:p w14:paraId="499B160C" w14:textId="3034BA07" w:rsidR="006D7E7D" w:rsidRDefault="006D7E7D" w:rsidP="007A0E02">
      <w:pPr>
        <w:pStyle w:val="Heading2"/>
        <w:numPr>
          <w:ilvl w:val="0"/>
          <w:numId w:val="0"/>
        </w:numPr>
        <w:ind w:left="567"/>
      </w:pPr>
      <w:r>
        <w:t>References</w:t>
      </w:r>
    </w:p>
    <w:p w14:paraId="23B12B0C" w14:textId="77777777" w:rsidR="006F526E" w:rsidRPr="009E6C1D" w:rsidRDefault="006F526E" w:rsidP="006F526E">
      <w:pPr>
        <w:rPr>
          <w:szCs w:val="24"/>
        </w:rPr>
      </w:pPr>
      <w:r w:rsidRPr="009E6C1D">
        <w:rPr>
          <w:szCs w:val="24"/>
        </w:rPr>
        <w:t>Aitken, M. J. (1998). An introduction to optical dating. Oxford University Press.</w:t>
      </w:r>
    </w:p>
    <w:p w14:paraId="5ECD38AF" w14:textId="77777777" w:rsidR="006F526E" w:rsidRPr="00BD1188" w:rsidRDefault="006F526E" w:rsidP="006F526E">
      <w:pPr>
        <w:rPr>
          <w:szCs w:val="24"/>
        </w:rPr>
      </w:pPr>
      <w:r w:rsidRPr="00BD1188">
        <w:rPr>
          <w:szCs w:val="24"/>
        </w:rPr>
        <w:t xml:space="preserve">Banerjee, D., Murray, A. S., Bøtter-Jensen, L., &amp; Lang, A. (2001). Equivalent dose estimation using a single aliquot of polymineral fine grains. Radiation Measurements, 33(1), 73–94. </w:t>
      </w:r>
      <w:proofErr w:type="spellStart"/>
      <w:r w:rsidRPr="00BD1188">
        <w:rPr>
          <w:szCs w:val="24"/>
        </w:rPr>
        <w:t>doi</w:t>
      </w:r>
      <w:proofErr w:type="spellEnd"/>
      <w:r w:rsidRPr="00BD1188">
        <w:rPr>
          <w:szCs w:val="24"/>
        </w:rPr>
        <w:t>: 10.1016/S1350-4487(00)00101-3</w:t>
      </w:r>
    </w:p>
    <w:p w14:paraId="02047CCD" w14:textId="77777777" w:rsidR="006F526E" w:rsidRPr="00BD1188" w:rsidRDefault="006F526E" w:rsidP="006F526E">
      <w:pPr>
        <w:rPr>
          <w:szCs w:val="24"/>
        </w:rPr>
      </w:pPr>
      <w:r w:rsidRPr="00BD1188">
        <w:rPr>
          <w:szCs w:val="24"/>
          <w:lang w:val="fr-FR"/>
        </w:rPr>
        <w:t xml:space="preserve">Guerin, G., Mercier, N., </w:t>
      </w:r>
      <w:proofErr w:type="spellStart"/>
      <w:r w:rsidRPr="00BD1188">
        <w:rPr>
          <w:szCs w:val="24"/>
          <w:lang w:val="fr-FR"/>
        </w:rPr>
        <w:t>Adamiec</w:t>
      </w:r>
      <w:proofErr w:type="spellEnd"/>
      <w:r w:rsidRPr="00BD1188">
        <w:rPr>
          <w:szCs w:val="24"/>
          <w:lang w:val="fr-FR"/>
        </w:rPr>
        <w:t xml:space="preserve">, G., 2011. </w:t>
      </w:r>
      <w:r w:rsidRPr="00BD1188">
        <w:rPr>
          <w:szCs w:val="24"/>
        </w:rPr>
        <w:t>Dose-rate conversion factors: update. Ancient TL, 29, 5-8.</w:t>
      </w:r>
    </w:p>
    <w:p w14:paraId="0134752E" w14:textId="77777777" w:rsidR="006F526E" w:rsidRPr="00BD1188" w:rsidRDefault="006F526E" w:rsidP="006F526E">
      <w:pPr>
        <w:rPr>
          <w:szCs w:val="24"/>
        </w:rPr>
      </w:pPr>
      <w:r w:rsidRPr="00BD1188">
        <w:rPr>
          <w:szCs w:val="24"/>
        </w:rPr>
        <w:t>Murray, A. S., &amp; Wintle, A. G. (2000). Luminescence dating of quartz using an improved single-aliquot regenerative-dose protocol. Radiation Measurements, 32(1), 57–73. https://doi.org/10.1016/S1350-4487(99)00253-X</w:t>
      </w:r>
    </w:p>
    <w:p w14:paraId="54801BBC" w14:textId="77777777" w:rsidR="006F526E" w:rsidRPr="00BD1188" w:rsidRDefault="006F526E" w:rsidP="006F526E">
      <w:pPr>
        <w:rPr>
          <w:szCs w:val="24"/>
        </w:rPr>
      </w:pPr>
      <w:r w:rsidRPr="00BD1188">
        <w:rPr>
          <w:szCs w:val="24"/>
        </w:rPr>
        <w:t>Prescott, J.R. and Hutton, J.T., 1994. Cosmic ray contributions to dose rates for luminescence and ESR dating: Large depths and long-term time variations. Radiation Measurements, 23, 497-500.</w:t>
      </w:r>
    </w:p>
    <w:p w14:paraId="51B4EAB5" w14:textId="77777777" w:rsidR="006F526E" w:rsidRDefault="006F526E" w:rsidP="006F526E">
      <w:pPr>
        <w:rPr>
          <w:szCs w:val="24"/>
        </w:rPr>
      </w:pPr>
      <w:r w:rsidRPr="00BD1188">
        <w:rPr>
          <w:szCs w:val="24"/>
        </w:rPr>
        <w:t xml:space="preserve">Thomsen, K. J., Bøtter-Jensen, L., Denby, P. M., Moska, P., &amp; Murray, A. S. (2006). Developments in luminescence measurement techniques. Radiation Measurements, 41(7), 768–773. </w:t>
      </w:r>
      <w:proofErr w:type="spellStart"/>
      <w:r w:rsidRPr="00BD1188">
        <w:rPr>
          <w:szCs w:val="24"/>
        </w:rPr>
        <w:t>doi</w:t>
      </w:r>
      <w:proofErr w:type="spellEnd"/>
      <w:r w:rsidRPr="00BD1188">
        <w:rPr>
          <w:szCs w:val="24"/>
        </w:rPr>
        <w:t>: 10.1016/j.radmeas.2006.06.010</w:t>
      </w:r>
    </w:p>
    <w:p w14:paraId="249D12AC" w14:textId="1A2438A4" w:rsidR="006F526E" w:rsidRDefault="006F526E" w:rsidP="006F526E">
      <w:pPr>
        <w:rPr>
          <w:szCs w:val="24"/>
        </w:rPr>
      </w:pPr>
      <w:proofErr w:type="spellStart"/>
      <w:r w:rsidRPr="00C27FE8">
        <w:rPr>
          <w:szCs w:val="24"/>
          <w:lang w:val="de-DE"/>
        </w:rPr>
        <w:t>Buylaert</w:t>
      </w:r>
      <w:proofErr w:type="spellEnd"/>
      <w:r w:rsidRPr="00C27FE8">
        <w:rPr>
          <w:szCs w:val="24"/>
          <w:lang w:val="de-DE"/>
        </w:rPr>
        <w:t xml:space="preserve">, J. P., Murray, A. S., </w:t>
      </w:r>
      <w:proofErr w:type="spellStart"/>
      <w:r w:rsidRPr="00C27FE8">
        <w:rPr>
          <w:szCs w:val="24"/>
          <w:lang w:val="de-DE"/>
        </w:rPr>
        <w:t>Vandenberghe</w:t>
      </w:r>
      <w:proofErr w:type="spellEnd"/>
      <w:r w:rsidRPr="00C27FE8">
        <w:rPr>
          <w:szCs w:val="24"/>
          <w:lang w:val="de-DE"/>
        </w:rPr>
        <w:t xml:space="preserve">, D., </w:t>
      </w:r>
      <w:proofErr w:type="spellStart"/>
      <w:r w:rsidRPr="00C27FE8">
        <w:rPr>
          <w:szCs w:val="24"/>
          <w:lang w:val="de-DE"/>
        </w:rPr>
        <w:t>Vriend</w:t>
      </w:r>
      <w:proofErr w:type="spellEnd"/>
      <w:r w:rsidRPr="00C27FE8">
        <w:rPr>
          <w:szCs w:val="24"/>
          <w:lang w:val="de-DE"/>
        </w:rPr>
        <w:t xml:space="preserve">, M., </w:t>
      </w:r>
      <w:proofErr w:type="spellStart"/>
      <w:r w:rsidRPr="00C27FE8">
        <w:rPr>
          <w:szCs w:val="24"/>
          <w:lang w:val="de-DE"/>
        </w:rPr>
        <w:t>Corte</w:t>
      </w:r>
      <w:proofErr w:type="spellEnd"/>
      <w:r w:rsidRPr="00C27FE8">
        <w:rPr>
          <w:szCs w:val="24"/>
          <w:lang w:val="de-DE"/>
        </w:rPr>
        <w:t xml:space="preserve">, F. D., &amp; haute, P. V. den. </w:t>
      </w:r>
      <w:r w:rsidRPr="00BD1188">
        <w:rPr>
          <w:szCs w:val="24"/>
        </w:rPr>
        <w:t xml:space="preserve">(2008). Optical dating of Chinese loess using sand-sized quartz: Establishing a time frame for Late Pleistocene climate changes in the western part of the Chinese Loess Plateau. Quaternary Geochronology, 3(1), 99–113. </w:t>
      </w:r>
      <w:proofErr w:type="spellStart"/>
      <w:r w:rsidRPr="00BD1188">
        <w:rPr>
          <w:szCs w:val="24"/>
        </w:rPr>
        <w:t>doi</w:t>
      </w:r>
      <w:proofErr w:type="spellEnd"/>
      <w:r w:rsidRPr="00BD1188">
        <w:rPr>
          <w:szCs w:val="24"/>
        </w:rPr>
        <w:t xml:space="preserve">: </w:t>
      </w:r>
      <w:r w:rsidR="005751AA" w:rsidRPr="007A0E02">
        <w:rPr>
          <w:szCs w:val="24"/>
        </w:rPr>
        <w:t>https://doi.org/10.1016/j.quageo.2007.05.003</w:t>
      </w:r>
    </w:p>
    <w:p w14:paraId="793EC32F" w14:textId="652C19B4" w:rsidR="005751AA" w:rsidRDefault="005751AA" w:rsidP="006F526E">
      <w:pPr>
        <w:rPr>
          <w:szCs w:val="24"/>
        </w:rPr>
      </w:pPr>
      <w:r w:rsidRPr="005751AA">
        <w:rPr>
          <w:szCs w:val="24"/>
        </w:rPr>
        <w:t>Durcan, J.A., King, G.E., Duller, G.A.T., 2015. DRAC: Dose rate and age calculator for trapped charge dating. Quaternary Geochronology, 28, 54-61.</w:t>
      </w:r>
    </w:p>
    <w:p w14:paraId="38E2200F" w14:textId="77777777" w:rsidR="006F526E" w:rsidRPr="00BD1188" w:rsidRDefault="006F526E" w:rsidP="006F526E">
      <w:pPr>
        <w:rPr>
          <w:szCs w:val="24"/>
        </w:rPr>
      </w:pPr>
      <w:r w:rsidRPr="00BD1188">
        <w:rPr>
          <w:szCs w:val="24"/>
        </w:rPr>
        <w:t>Thomsen, K. J., Murray, A. S., Jain, M., &amp; Bøtter-Jensen, L. (2008). Laboratory fading rates of various luminescence signals from feldspar-rich sediment extracts. Radiation Measurements, 43(9), 1474–1486. https://doi.org/10.1016/j.radmeas.2008.06.002</w:t>
      </w:r>
    </w:p>
    <w:p w14:paraId="55F4B58A" w14:textId="77777777" w:rsidR="006F526E" w:rsidRPr="00BD1188" w:rsidRDefault="006F526E" w:rsidP="006F526E">
      <w:pPr>
        <w:rPr>
          <w:szCs w:val="24"/>
        </w:rPr>
      </w:pPr>
      <w:r w:rsidRPr="00BD1188">
        <w:rPr>
          <w:szCs w:val="24"/>
        </w:rPr>
        <w:lastRenderedPageBreak/>
        <w:t xml:space="preserve">Thiel, C., </w:t>
      </w:r>
      <w:proofErr w:type="spellStart"/>
      <w:r w:rsidRPr="00BD1188">
        <w:rPr>
          <w:szCs w:val="24"/>
        </w:rPr>
        <w:t>Buylaert</w:t>
      </w:r>
      <w:proofErr w:type="spellEnd"/>
      <w:r w:rsidRPr="00BD1188">
        <w:rPr>
          <w:szCs w:val="24"/>
        </w:rPr>
        <w:t xml:space="preserve">, J.-P., Murray, A., Terhorst, B., Hofer, I., Tsukamoto, S., &amp; </w:t>
      </w:r>
      <w:proofErr w:type="spellStart"/>
      <w:r w:rsidRPr="00BD1188">
        <w:rPr>
          <w:szCs w:val="24"/>
        </w:rPr>
        <w:t>Frechen</w:t>
      </w:r>
      <w:proofErr w:type="spellEnd"/>
      <w:r w:rsidRPr="00BD1188">
        <w:rPr>
          <w:szCs w:val="24"/>
        </w:rPr>
        <w:t xml:space="preserve">, M. (2011). Luminescence dating of the </w:t>
      </w:r>
      <w:proofErr w:type="spellStart"/>
      <w:r w:rsidRPr="00BD1188">
        <w:rPr>
          <w:szCs w:val="24"/>
        </w:rPr>
        <w:t>Stratzing</w:t>
      </w:r>
      <w:proofErr w:type="spellEnd"/>
      <w:r w:rsidRPr="00BD1188">
        <w:rPr>
          <w:szCs w:val="24"/>
        </w:rPr>
        <w:t xml:space="preserve"> loess profile (Austria) – Testing the potential of an elevated temperature post-IR IRSL protocol. Quaternary International, 234(1), 23–31. </w:t>
      </w:r>
      <w:proofErr w:type="spellStart"/>
      <w:r w:rsidRPr="00BD1188">
        <w:rPr>
          <w:szCs w:val="24"/>
        </w:rPr>
        <w:t>doi</w:t>
      </w:r>
      <w:proofErr w:type="spellEnd"/>
      <w:r w:rsidRPr="00BD1188">
        <w:rPr>
          <w:szCs w:val="24"/>
        </w:rPr>
        <w:t>: https://doi.org/10.1016/j.quaint.2010.05.018</w:t>
      </w:r>
    </w:p>
    <w:p w14:paraId="27E56406" w14:textId="77777777" w:rsidR="006F526E" w:rsidRPr="00BD1188" w:rsidRDefault="006F526E" w:rsidP="006F526E">
      <w:pPr>
        <w:rPr>
          <w:szCs w:val="24"/>
        </w:rPr>
      </w:pPr>
      <w:r w:rsidRPr="00BD1188">
        <w:rPr>
          <w:szCs w:val="24"/>
        </w:rPr>
        <w:t xml:space="preserve">Galbraith, R. F., Roberts, R. G., </w:t>
      </w:r>
      <w:proofErr w:type="spellStart"/>
      <w:r w:rsidRPr="00BD1188">
        <w:rPr>
          <w:szCs w:val="24"/>
        </w:rPr>
        <w:t>Laslett</w:t>
      </w:r>
      <w:proofErr w:type="spellEnd"/>
      <w:r w:rsidRPr="00BD1188">
        <w:rPr>
          <w:szCs w:val="24"/>
        </w:rPr>
        <w:t xml:space="preserve">, G. M., Yoshida, H., &amp; Olley, J. M. (1999). Optical dating of single and multiple grains of quartz from </w:t>
      </w:r>
      <w:proofErr w:type="spellStart"/>
      <w:r w:rsidRPr="00BD1188">
        <w:rPr>
          <w:szCs w:val="24"/>
        </w:rPr>
        <w:t>Jinmium</w:t>
      </w:r>
      <w:proofErr w:type="spellEnd"/>
      <w:r w:rsidRPr="00BD1188">
        <w:rPr>
          <w:szCs w:val="24"/>
        </w:rPr>
        <w:t xml:space="preserve"> rock shelter, northern Australia: Part I, experimental design and statistical models. Archaeometry, 41(2), 339–364. Scopus. </w:t>
      </w:r>
      <w:proofErr w:type="spellStart"/>
      <w:r w:rsidRPr="00BD1188">
        <w:rPr>
          <w:szCs w:val="24"/>
        </w:rPr>
        <w:t>doi</w:t>
      </w:r>
      <w:proofErr w:type="spellEnd"/>
      <w:r w:rsidRPr="00BD1188">
        <w:rPr>
          <w:szCs w:val="24"/>
        </w:rPr>
        <w:t>: 10.1111/j.1475-</w:t>
      </w:r>
      <w:proofErr w:type="gramStart"/>
      <w:r w:rsidRPr="00BD1188">
        <w:rPr>
          <w:szCs w:val="24"/>
        </w:rPr>
        <w:t>4754.1999.tb</w:t>
      </w:r>
      <w:proofErr w:type="gramEnd"/>
      <w:r w:rsidRPr="00BD1188">
        <w:rPr>
          <w:szCs w:val="24"/>
        </w:rPr>
        <w:t>00987.x</w:t>
      </w:r>
    </w:p>
    <w:p w14:paraId="7E15A2D5" w14:textId="02F06188" w:rsidR="006D7E7D" w:rsidRPr="006F526E" w:rsidRDefault="006F526E" w:rsidP="006D7E7D">
      <w:pPr>
        <w:rPr>
          <w:szCs w:val="24"/>
        </w:rPr>
      </w:pPr>
      <w:r w:rsidRPr="009E6C1D">
        <w:rPr>
          <w:szCs w:val="24"/>
        </w:rPr>
        <w:t xml:space="preserve">Timar-Gabor, A., J.-P. </w:t>
      </w:r>
      <w:proofErr w:type="spellStart"/>
      <w:r w:rsidRPr="009E6C1D">
        <w:rPr>
          <w:szCs w:val="24"/>
        </w:rPr>
        <w:t>Buylaert</w:t>
      </w:r>
      <w:proofErr w:type="spellEnd"/>
      <w:r w:rsidRPr="009E6C1D">
        <w:rPr>
          <w:szCs w:val="24"/>
        </w:rPr>
        <w:t xml:space="preserve">, B. Guralnik, O. Trandafir-Antohi, D. Constantin, V. </w:t>
      </w:r>
      <w:proofErr w:type="spellStart"/>
      <w:r w:rsidRPr="009E6C1D">
        <w:rPr>
          <w:szCs w:val="24"/>
        </w:rPr>
        <w:t>Anechitei-Deacu</w:t>
      </w:r>
      <w:proofErr w:type="spellEnd"/>
      <w:r w:rsidRPr="009E6C1D">
        <w:rPr>
          <w:szCs w:val="24"/>
        </w:rPr>
        <w:t>, M. Jain, et al</w:t>
      </w:r>
      <w:r>
        <w:rPr>
          <w:szCs w:val="24"/>
        </w:rPr>
        <w:t xml:space="preserve"> (2017)</w:t>
      </w:r>
      <w:r w:rsidRPr="009E6C1D">
        <w:rPr>
          <w:szCs w:val="24"/>
        </w:rPr>
        <w:t xml:space="preserve"> On the Importance of Grain Size in Luminescence Dating Using Quartz.</w:t>
      </w:r>
      <w:r>
        <w:rPr>
          <w:szCs w:val="24"/>
        </w:rPr>
        <w:t xml:space="preserve"> Radiation Measurements</w:t>
      </w:r>
      <w:r w:rsidRPr="009E6C1D">
        <w:rPr>
          <w:szCs w:val="24"/>
        </w:rPr>
        <w:t xml:space="preserve"> 106</w:t>
      </w:r>
      <w:r>
        <w:rPr>
          <w:szCs w:val="24"/>
        </w:rPr>
        <w:t xml:space="preserve">, </w:t>
      </w:r>
      <w:r w:rsidRPr="009E6C1D">
        <w:rPr>
          <w:szCs w:val="24"/>
        </w:rPr>
        <w:t>464–71. https://doi.org/10.1016/j.radmeas.2017.01.009.</w:t>
      </w:r>
    </w:p>
    <w:sectPr w:rsidR="006D7E7D" w:rsidRPr="006F526E" w:rsidSect="0093429D">
      <w:headerReference w:type="even" r:id="rId13"/>
      <w:footerReference w:type="even" r:id="rId14"/>
      <w:footerReference w:type="default" r:id="rId15"/>
      <w:headerReference w:type="first" r:id="rId16"/>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8B38" w14:textId="77777777" w:rsidR="00497D0F" w:rsidRDefault="00497D0F" w:rsidP="00117666">
      <w:pPr>
        <w:spacing w:after="0"/>
      </w:pPr>
      <w:r>
        <w:separator/>
      </w:r>
    </w:p>
  </w:endnote>
  <w:endnote w:type="continuationSeparator" w:id="0">
    <w:p w14:paraId="25A40BA0" w14:textId="77777777" w:rsidR="00497D0F" w:rsidRDefault="00497D0F"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DA6388"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DA638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DA638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DA6388"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DA638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DA638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2D9F" w14:textId="77777777" w:rsidR="00497D0F" w:rsidRDefault="00497D0F" w:rsidP="00117666">
      <w:pPr>
        <w:spacing w:after="0"/>
      </w:pPr>
      <w:r>
        <w:separator/>
      </w:r>
    </w:p>
  </w:footnote>
  <w:footnote w:type="continuationSeparator" w:id="0">
    <w:p w14:paraId="29357212" w14:textId="77777777" w:rsidR="00497D0F" w:rsidRDefault="00497D0F"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DA6388"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DA6388"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A0243"/>
    <w:multiLevelType w:val="multilevel"/>
    <w:tmpl w:val="6EC4D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0601A"/>
    <w:multiLevelType w:val="multilevel"/>
    <w:tmpl w:val="9B7A3356"/>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732CB"/>
    <w:multiLevelType w:val="hybridMultilevel"/>
    <w:tmpl w:val="8A3C8CF0"/>
    <w:lvl w:ilvl="0" w:tplc="E6246F7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5"/>
  </w:num>
  <w:num w:numId="3" w16cid:durableId="615480040">
    <w:abstractNumId w:val="2"/>
  </w:num>
  <w:num w:numId="4" w16cid:durableId="1566183234">
    <w:abstractNumId w:val="7"/>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4"/>
  </w:num>
  <w:num w:numId="7" w16cid:durableId="1359550598">
    <w:abstractNumId w:val="8"/>
  </w:num>
  <w:num w:numId="8" w16cid:durableId="1559510671">
    <w:abstractNumId w:val="8"/>
  </w:num>
  <w:num w:numId="9" w16cid:durableId="1734543462">
    <w:abstractNumId w:val="8"/>
  </w:num>
  <w:num w:numId="10" w16cid:durableId="708839681">
    <w:abstractNumId w:val="8"/>
  </w:num>
  <w:num w:numId="11" w16cid:durableId="2046978920">
    <w:abstractNumId w:val="8"/>
  </w:num>
  <w:num w:numId="12" w16cid:durableId="2124614653">
    <w:abstractNumId w:val="8"/>
  </w:num>
  <w:num w:numId="13" w16cid:durableId="150105246">
    <w:abstractNumId w:val="4"/>
  </w:num>
  <w:num w:numId="14" w16cid:durableId="515769853">
    <w:abstractNumId w:val="3"/>
  </w:num>
  <w:num w:numId="15" w16cid:durableId="1753046014">
    <w:abstractNumId w:val="3"/>
  </w:num>
  <w:num w:numId="16" w16cid:durableId="665939894">
    <w:abstractNumId w:val="3"/>
  </w:num>
  <w:num w:numId="17" w16cid:durableId="2078749421">
    <w:abstractNumId w:val="3"/>
  </w:num>
  <w:num w:numId="18" w16cid:durableId="825047625">
    <w:abstractNumId w:val="3"/>
  </w:num>
  <w:num w:numId="19" w16cid:durableId="803810417">
    <w:abstractNumId w:val="3"/>
  </w:num>
  <w:num w:numId="20" w16cid:durableId="1150444941">
    <w:abstractNumId w:val="1"/>
  </w:num>
  <w:num w:numId="21" w16cid:durableId="1136491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105FD9"/>
    <w:rsid w:val="00117666"/>
    <w:rsid w:val="00121590"/>
    <w:rsid w:val="001549D3"/>
    <w:rsid w:val="00160065"/>
    <w:rsid w:val="00177BB9"/>
    <w:rsid w:val="00177D84"/>
    <w:rsid w:val="0019177B"/>
    <w:rsid w:val="00267D18"/>
    <w:rsid w:val="002868E2"/>
    <w:rsid w:val="002869C3"/>
    <w:rsid w:val="002936E4"/>
    <w:rsid w:val="002B4A57"/>
    <w:rsid w:val="002C3689"/>
    <w:rsid w:val="002C74CA"/>
    <w:rsid w:val="003076A4"/>
    <w:rsid w:val="003544FB"/>
    <w:rsid w:val="003D2F2D"/>
    <w:rsid w:val="00401590"/>
    <w:rsid w:val="00447801"/>
    <w:rsid w:val="00452E9C"/>
    <w:rsid w:val="004735C8"/>
    <w:rsid w:val="004961FF"/>
    <w:rsid w:val="00497D0F"/>
    <w:rsid w:val="00517A89"/>
    <w:rsid w:val="005250F2"/>
    <w:rsid w:val="005274F6"/>
    <w:rsid w:val="005751AA"/>
    <w:rsid w:val="005831A5"/>
    <w:rsid w:val="00593EEA"/>
    <w:rsid w:val="00594182"/>
    <w:rsid w:val="005A5EEE"/>
    <w:rsid w:val="00606640"/>
    <w:rsid w:val="006375C7"/>
    <w:rsid w:val="00654E8F"/>
    <w:rsid w:val="00660D05"/>
    <w:rsid w:val="00681637"/>
    <w:rsid w:val="006820B1"/>
    <w:rsid w:val="006B7D14"/>
    <w:rsid w:val="006C2969"/>
    <w:rsid w:val="006D7E7D"/>
    <w:rsid w:val="006F526E"/>
    <w:rsid w:val="00701727"/>
    <w:rsid w:val="0070566C"/>
    <w:rsid w:val="00714C50"/>
    <w:rsid w:val="00725A7D"/>
    <w:rsid w:val="007501BE"/>
    <w:rsid w:val="00763C12"/>
    <w:rsid w:val="007752BE"/>
    <w:rsid w:val="00790BB3"/>
    <w:rsid w:val="007A0E02"/>
    <w:rsid w:val="007B0A11"/>
    <w:rsid w:val="007C206C"/>
    <w:rsid w:val="007C21AD"/>
    <w:rsid w:val="00803D24"/>
    <w:rsid w:val="00817DD6"/>
    <w:rsid w:val="00885156"/>
    <w:rsid w:val="00894C6D"/>
    <w:rsid w:val="008C23DD"/>
    <w:rsid w:val="009151AA"/>
    <w:rsid w:val="0093429D"/>
    <w:rsid w:val="00943573"/>
    <w:rsid w:val="00970F7D"/>
    <w:rsid w:val="00994A3D"/>
    <w:rsid w:val="009C2B12"/>
    <w:rsid w:val="009C70F3"/>
    <w:rsid w:val="009D15B6"/>
    <w:rsid w:val="00A174D9"/>
    <w:rsid w:val="00A37D6B"/>
    <w:rsid w:val="00A569CD"/>
    <w:rsid w:val="00AB6715"/>
    <w:rsid w:val="00AF17DC"/>
    <w:rsid w:val="00B1671E"/>
    <w:rsid w:val="00B25EB8"/>
    <w:rsid w:val="00B354E1"/>
    <w:rsid w:val="00B37F4D"/>
    <w:rsid w:val="00B42519"/>
    <w:rsid w:val="00BA4C40"/>
    <w:rsid w:val="00C52A7B"/>
    <w:rsid w:val="00C56BAF"/>
    <w:rsid w:val="00C679AA"/>
    <w:rsid w:val="00C75972"/>
    <w:rsid w:val="00C92683"/>
    <w:rsid w:val="00CA1741"/>
    <w:rsid w:val="00CC0A3A"/>
    <w:rsid w:val="00CD066B"/>
    <w:rsid w:val="00CE4FEE"/>
    <w:rsid w:val="00CE7359"/>
    <w:rsid w:val="00D33477"/>
    <w:rsid w:val="00D82D12"/>
    <w:rsid w:val="00DA6388"/>
    <w:rsid w:val="00DB59C3"/>
    <w:rsid w:val="00DC259A"/>
    <w:rsid w:val="00DE23E8"/>
    <w:rsid w:val="00E52377"/>
    <w:rsid w:val="00E64E17"/>
    <w:rsid w:val="00E866C9"/>
    <w:rsid w:val="00E87337"/>
    <w:rsid w:val="00EA3D3C"/>
    <w:rsid w:val="00F162D2"/>
    <w:rsid w:val="00F232B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table" w:customStyle="1" w:styleId="Grigliatabella1">
    <w:name w:val="Griglia tabella1"/>
    <w:basedOn w:val="TableNormal"/>
    <w:next w:val="TableGrid"/>
    <w:uiPriority w:val="39"/>
    <w:rsid w:val="003076A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6D7E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TotalTime>
  <Pages>5</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Andrea Aquino</cp:lastModifiedBy>
  <cp:revision>2</cp:revision>
  <cp:lastPrinted>2013-10-03T12:51:00Z</cp:lastPrinted>
  <dcterms:created xsi:type="dcterms:W3CDTF">2023-11-30T12:11:00Z</dcterms:created>
  <dcterms:modified xsi:type="dcterms:W3CDTF">2023-11-30T12:11:00Z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7th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 6th edition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17th edition (author-date)</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10th edition - Harvard</vt:lpwstr>
  </property>
  <property fmtid="{D5CDD505-2E9C-101B-9397-08002B2CF9AE}" pid="20" name="Mendeley Recent Style Id 5_1">
    <vt:lpwstr>http://www.zotero.org/styles/frontiers-in-earth-science</vt:lpwstr>
  </property>
  <property fmtid="{D5CDD505-2E9C-101B-9397-08002B2CF9AE}" pid="21" name="Mendeley Recent Style Name 5_1">
    <vt:lpwstr>Frontiers in Earth Science</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ies>
</file>