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DC52" w14:textId="255D9DE4" w:rsidR="00A27E75" w:rsidRPr="00AF790D" w:rsidRDefault="00FA4E74" w:rsidP="00A27E75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Appendix 3</w:t>
      </w:r>
      <w:r w:rsidR="00A27E75" w:rsidRPr="00AF790D">
        <w:rPr>
          <w:rFonts w:ascii="Times New Roman" w:eastAsia="Times New Roman" w:hAnsi="Times New Roman" w:cs="Times New Roman"/>
          <w:b/>
          <w:bCs/>
          <w:sz w:val="24"/>
          <w:szCs w:val="24"/>
        </w:rPr>
        <w:t>. Summary of miscellaneous biologic agents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020"/>
        <w:gridCol w:w="1852"/>
        <w:gridCol w:w="2070"/>
        <w:gridCol w:w="1273"/>
        <w:gridCol w:w="1534"/>
        <w:gridCol w:w="1611"/>
      </w:tblGrid>
      <w:tr w:rsidR="00A27E75" w:rsidRPr="00E31640" w14:paraId="465FE7EE" w14:textId="77777777" w:rsidTr="000F7992">
        <w:trPr>
          <w:trHeight w:val="615"/>
        </w:trPr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8013F9" w14:textId="77777777" w:rsidR="00A27E75" w:rsidRPr="00E31640" w:rsidRDefault="00A27E75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CDC* Category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8B1DA9" w14:textId="77777777" w:rsidR="00A27E75" w:rsidRPr="00E31640" w:rsidRDefault="00A27E75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FDACF2" w14:textId="77777777" w:rsidR="00A27E75" w:rsidRPr="00E31640" w:rsidRDefault="00A27E75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Systemic Findings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E07D82" w14:textId="77777777" w:rsidR="00A27E75" w:rsidRPr="00E31640" w:rsidRDefault="00A27E75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Ophthalmic Findings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3BA38C" w14:textId="77777777" w:rsidR="00A27E75" w:rsidRPr="00E31640" w:rsidRDefault="00A27E75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Transmission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FDD1A2" w14:textId="77777777" w:rsidR="00A27E75" w:rsidRPr="00E31640" w:rsidRDefault="00A27E75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Treatment</w:t>
            </w:r>
          </w:p>
        </w:tc>
      </w:tr>
      <w:tr w:rsidR="00A27E75" w:rsidRPr="00E31640" w14:paraId="21FC1145" w14:textId="77777777" w:rsidTr="000F7992">
        <w:trPr>
          <w:trHeight w:val="2430"/>
        </w:trPr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516087" w14:textId="77777777" w:rsidR="00A27E75" w:rsidRPr="00E31640" w:rsidRDefault="00A27E75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F10C1D" w14:textId="77777777" w:rsidR="00A27E75" w:rsidRPr="00E31640" w:rsidRDefault="00A27E75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Ricinus communis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Ricin toxin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6A6BAE" w14:textId="24CAB823" w:rsidR="00A27E75" w:rsidRPr="00E31640" w:rsidRDefault="00A27E75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Dyspnea, fever, cough, nausea, chest tightness, pulmonary edema, myalgias, circulatory collapse, abdominal pain, diarrhea, cramping, dehydration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94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  <w:r w:rsidR="003D4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B1E66D" w14:textId="77777777" w:rsidR="00A27E75" w:rsidRPr="00E31640" w:rsidRDefault="00A27E75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ot reported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E1B2F2" w14:textId="533261A7" w:rsidR="00A27E75" w:rsidRPr="00E31640" w:rsidRDefault="00A27E75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Injection, inhalation, or consumption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94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  <w:r w:rsidR="003D4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9AD576" w14:textId="106021A3" w:rsidR="00A27E75" w:rsidRPr="00E31640" w:rsidRDefault="00A27E75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Antitoxin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tested in swine models </w:t>
            </w:r>
            <w:r w:rsidR="003D4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949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  <w:r w:rsidR="003D4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5E2F5237" w14:textId="77777777" w:rsidR="00A27E75" w:rsidRPr="00E31640" w:rsidRDefault="00A27E75" w:rsidP="00A27E75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1640">
        <w:rPr>
          <w:rFonts w:ascii="Times New Roman" w:eastAsia="Times New Roman" w:hAnsi="Times New Roman" w:cs="Times New Roman"/>
          <w:sz w:val="24"/>
          <w:szCs w:val="24"/>
        </w:rPr>
        <w:t>*Centers for Disease Control and Prevention</w:t>
      </w:r>
    </w:p>
    <w:p w14:paraId="49C0F165" w14:textId="77777777" w:rsidR="00E33488" w:rsidRDefault="00E33488"/>
    <w:sectPr w:rsidR="00E33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75"/>
    <w:rsid w:val="003D472E"/>
    <w:rsid w:val="004C0EC8"/>
    <w:rsid w:val="008B235C"/>
    <w:rsid w:val="00A27E75"/>
    <w:rsid w:val="00A41BA0"/>
    <w:rsid w:val="00C118A2"/>
    <w:rsid w:val="00C949C0"/>
    <w:rsid w:val="00E33488"/>
    <w:rsid w:val="00E739E0"/>
    <w:rsid w:val="00FA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2CE6"/>
  <w15:chartTrackingRefBased/>
  <w15:docId w15:val="{C20A359C-158A-42E1-95EA-E8211F85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E7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D472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UNMC-NMC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 Caleb</dc:creator>
  <cp:keywords/>
  <dc:description/>
  <cp:lastModifiedBy>Caleb Hartley</cp:lastModifiedBy>
  <cp:revision>2</cp:revision>
  <dcterms:created xsi:type="dcterms:W3CDTF">2023-12-22T15:22:00Z</dcterms:created>
  <dcterms:modified xsi:type="dcterms:W3CDTF">2023-12-22T15:22:00Z</dcterms:modified>
</cp:coreProperties>
</file>