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AD28" w14:textId="77777777" w:rsidR="00511A1C" w:rsidRPr="003A6E43" w:rsidRDefault="00B442AF">
      <w:pPr>
        <w:spacing w:line="360" w:lineRule="auto"/>
        <w:jc w:val="center"/>
        <w:rPr>
          <w:b/>
          <w:bCs/>
          <w:sz w:val="21"/>
        </w:rPr>
      </w:pPr>
      <w:r w:rsidRPr="003A6E43">
        <w:rPr>
          <w:b/>
          <w:bCs/>
          <w:sz w:val="21"/>
        </w:rPr>
        <w:t>Table S5. Comparison with other pre-processing methods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91"/>
        <w:gridCol w:w="1555"/>
        <w:gridCol w:w="1330"/>
        <w:gridCol w:w="1413"/>
        <w:gridCol w:w="1884"/>
        <w:gridCol w:w="1281"/>
      </w:tblGrid>
      <w:tr w:rsidR="00511A1C" w:rsidRPr="003A6E43" w14:paraId="187312A8" w14:textId="77777777" w:rsidTr="003A6E43">
        <w:tc>
          <w:tcPr>
            <w:tcW w:w="121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9CD45E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bookmarkStart w:id="0" w:name="_Hlk71145177"/>
            <w:r w:rsidRPr="003A6E43">
              <w:rPr>
                <w:sz w:val="21"/>
              </w:rPr>
              <w:t>Pre-processing</w:t>
            </w:r>
          </w:p>
        </w:tc>
        <w:tc>
          <w:tcPr>
            <w:tcW w:w="78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BBEC9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Method Sample Volume (mL)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231E67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Solvent Volume (mL)</w:t>
            </w:r>
          </w:p>
        </w:tc>
        <w:tc>
          <w:tcPr>
            <w:tcW w:w="717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523926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Time Required (min)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673794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Material Preparation Time (min)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CBFB43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References</w:t>
            </w:r>
          </w:p>
        </w:tc>
      </w:tr>
      <w:tr w:rsidR="00511A1C" w:rsidRPr="003A6E43" w14:paraId="45DE432E" w14:textId="77777777" w:rsidTr="003A6E43">
        <w:tc>
          <w:tcPr>
            <w:tcW w:w="121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9F7E4B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Solid phase extraction</w:t>
            </w:r>
          </w:p>
        </w:tc>
        <w:tc>
          <w:tcPr>
            <w:tcW w:w="78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BCACC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500</w:t>
            </w:r>
          </w:p>
        </w:tc>
        <w:tc>
          <w:tcPr>
            <w:tcW w:w="6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3C5A15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30</w:t>
            </w:r>
          </w:p>
        </w:tc>
        <w:tc>
          <w:tcPr>
            <w:tcW w:w="71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5895AC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150~210</w:t>
            </w:r>
          </w:p>
        </w:tc>
        <w:tc>
          <w:tcPr>
            <w:tcW w:w="9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72AA3F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/</w:t>
            </w:r>
          </w:p>
        </w:tc>
        <w:tc>
          <w:tcPr>
            <w:tcW w:w="65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FA06A8" w14:textId="77777777" w:rsidR="00511A1C" w:rsidRPr="003A6E43" w:rsidRDefault="003A6E43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  <w:vertAlign w:val="superscript"/>
              </w:rPr>
            </w:pPr>
            <w:r w:rsidRPr="003A6E43">
              <w:rPr>
                <w:sz w:val="21"/>
                <w:vertAlign w:val="superscript"/>
              </w:rPr>
              <w:t>(GUO Xin-Yan, 2015)</w:t>
            </w:r>
          </w:p>
        </w:tc>
      </w:tr>
      <w:tr w:rsidR="00511A1C" w:rsidRPr="003A6E43" w14:paraId="4EB038E2" w14:textId="77777777" w:rsidTr="003A6E43">
        <w:tc>
          <w:tcPr>
            <w:tcW w:w="1213" w:type="pct"/>
            <w:shd w:val="clear" w:color="auto" w:fill="auto"/>
            <w:vAlign w:val="center"/>
          </w:tcPr>
          <w:p w14:paraId="7AC427FB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Solid phase extraction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23EB414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500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A8F52AF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26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763E13B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110~260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DC49695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/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9D1BF9A" w14:textId="77777777" w:rsidR="00511A1C" w:rsidRPr="003A6E43" w:rsidRDefault="003A6E43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  <w:vertAlign w:val="superscript"/>
              </w:rPr>
            </w:pPr>
            <w:r w:rsidRPr="003A6E43">
              <w:rPr>
                <w:sz w:val="21"/>
                <w:vertAlign w:val="superscript"/>
              </w:rPr>
              <w:t>(WANG Ya-Na, 2020)</w:t>
            </w:r>
          </w:p>
        </w:tc>
      </w:tr>
      <w:tr w:rsidR="00511A1C" w:rsidRPr="003A6E43" w14:paraId="444C5A93" w14:textId="77777777" w:rsidTr="003A6E43">
        <w:tc>
          <w:tcPr>
            <w:tcW w:w="1213" w:type="pct"/>
            <w:shd w:val="clear" w:color="auto" w:fill="auto"/>
            <w:vAlign w:val="center"/>
          </w:tcPr>
          <w:p w14:paraId="598309F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Ionic liquid solvent flotation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3216C9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6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44EE6D9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99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1FAC316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60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C1AFBEE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/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23FCA9A" w14:textId="77777777" w:rsidR="00511A1C" w:rsidRPr="003A6E43" w:rsidRDefault="003A6E43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  <w:vertAlign w:val="superscript"/>
              </w:rPr>
            </w:pPr>
            <w:r w:rsidRPr="003A6E43">
              <w:rPr>
                <w:sz w:val="21"/>
                <w:vertAlign w:val="superscript"/>
              </w:rPr>
              <w:t>(WANG Liang, 2009)</w:t>
            </w:r>
          </w:p>
        </w:tc>
      </w:tr>
      <w:tr w:rsidR="00511A1C" w:rsidRPr="003A6E43" w14:paraId="4F2304D2" w14:textId="77777777" w:rsidTr="003A6E43">
        <w:tc>
          <w:tcPr>
            <w:tcW w:w="1213" w:type="pct"/>
            <w:shd w:val="clear" w:color="auto" w:fill="auto"/>
            <w:vAlign w:val="center"/>
          </w:tcPr>
          <w:p w14:paraId="403B911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Molecularly imprinted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83926F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75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397EFB9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6D475EF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FBD109E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333391E" w14:textId="77777777" w:rsidR="00511A1C" w:rsidRPr="003A6E43" w:rsidRDefault="003A6E43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  <w:vertAlign w:val="superscript"/>
              </w:rPr>
            </w:pPr>
            <w:r w:rsidRPr="003A6E43">
              <w:rPr>
                <w:sz w:val="21"/>
                <w:vertAlign w:val="superscript"/>
              </w:rPr>
              <w:t>(ZENG Guo-Long, 2020)</w:t>
            </w:r>
          </w:p>
        </w:tc>
      </w:tr>
      <w:tr w:rsidR="00511A1C" w:rsidRPr="003A6E43" w14:paraId="68443F0F" w14:textId="77777777" w:rsidTr="003A6E43">
        <w:tc>
          <w:tcPr>
            <w:tcW w:w="1213" w:type="pct"/>
            <w:shd w:val="clear" w:color="auto" w:fill="auto"/>
            <w:vAlign w:val="center"/>
          </w:tcPr>
          <w:p w14:paraId="0D7CCCBA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Magnetic solid phase extraction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7C6A648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100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AE5E029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FD57417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AD35F1D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/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9F49D52" w14:textId="77777777" w:rsidR="00511A1C" w:rsidRPr="003A6E43" w:rsidRDefault="003A6E43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  <w:vertAlign w:val="superscript"/>
              </w:rPr>
            </w:pPr>
            <w:r w:rsidRPr="003A6E43">
              <w:rPr>
                <w:sz w:val="21"/>
                <w:vertAlign w:val="superscript"/>
              </w:rPr>
              <w:t>(GUO Ming, 2016)</w:t>
            </w:r>
          </w:p>
        </w:tc>
      </w:tr>
      <w:tr w:rsidR="00511A1C" w:rsidRPr="003A6E43" w14:paraId="3276511A" w14:textId="77777777" w:rsidTr="003A6E43">
        <w:tc>
          <w:tcPr>
            <w:tcW w:w="1213" w:type="pct"/>
            <w:shd w:val="clear" w:color="auto" w:fill="auto"/>
            <w:vAlign w:val="center"/>
          </w:tcPr>
          <w:p w14:paraId="1D340E59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Dispersive liquid-liquid microextraction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117356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267F4A1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0.93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9207A11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DF78CC8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30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CE0ADBF" w14:textId="77777777" w:rsidR="00511A1C" w:rsidRPr="003A6E43" w:rsidRDefault="003A6E43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  <w:vertAlign w:val="superscript"/>
              </w:rPr>
            </w:pPr>
            <w:r w:rsidRPr="003A6E43">
              <w:rPr>
                <w:sz w:val="21"/>
                <w:vertAlign w:val="superscript"/>
              </w:rPr>
              <w:t>(SERESHTI H 2020)</w:t>
            </w:r>
          </w:p>
        </w:tc>
      </w:tr>
      <w:tr w:rsidR="00511A1C" w:rsidRPr="003A6E43" w14:paraId="5A5AB538" w14:textId="77777777" w:rsidTr="003A6E43">
        <w:tc>
          <w:tcPr>
            <w:tcW w:w="1213" w:type="pct"/>
            <w:shd w:val="clear" w:color="auto" w:fill="auto"/>
            <w:vAlign w:val="center"/>
          </w:tcPr>
          <w:p w14:paraId="00122EB0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PPy-PSS /IT-SPME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495BA0D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0.1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F0F73B2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2.3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ED63526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AC1E991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C2A35B1" w14:textId="77777777" w:rsidR="00511A1C" w:rsidRPr="003A6E43" w:rsidRDefault="00B442AF">
            <w:pPr>
              <w:tabs>
                <w:tab w:val="left" w:pos="0"/>
              </w:tabs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This method</w:t>
            </w:r>
          </w:p>
        </w:tc>
      </w:tr>
    </w:tbl>
    <w:bookmarkEnd w:id="0"/>
    <w:p w14:paraId="64E71117" w14:textId="77777777" w:rsidR="00B442AF" w:rsidRPr="003A6E43" w:rsidRDefault="003A6E43">
      <w:pPr>
        <w:spacing w:line="360" w:lineRule="auto"/>
        <w:rPr>
          <w:b/>
          <w:bCs/>
          <w:sz w:val="21"/>
        </w:rPr>
      </w:pPr>
      <w:r w:rsidRPr="003A6E43">
        <w:rPr>
          <w:b/>
          <w:bCs/>
          <w:sz w:val="21"/>
        </w:rPr>
        <w:t>References</w:t>
      </w:r>
    </w:p>
    <w:p w14:paraId="0F8780D7" w14:textId="77777777" w:rsidR="003A6E43" w:rsidRPr="007331E1" w:rsidRDefault="003A6E43" w:rsidP="003A6E4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bookmarkStart w:id="1" w:name="_GoBack"/>
      <w:commentRangeStart w:id="2"/>
      <w:r w:rsidRPr="007331E1">
        <w:rPr>
          <w:rFonts w:ascii="Times New Roman" w:hAnsi="Times New Roman" w:cs="Times New Roman"/>
        </w:rPr>
        <w:t xml:space="preserve">GUO Ming, Y. F., JIA Ke-Ling, LI Jiao, SUN Hai (2016,). </w:t>
      </w:r>
      <w:r w:rsidRPr="007331E1">
        <w:rPr>
          <w:rFonts w:ascii="Times New Roman" w:hAnsi="Times New Roman" w:cs="Times New Roman"/>
          <w:i/>
        </w:rPr>
        <w:t xml:space="preserve">Chin. J. Chromatogr </w:t>
      </w:r>
      <w:r w:rsidRPr="007331E1">
        <w:rPr>
          <w:rFonts w:ascii="Times New Roman" w:hAnsi="Times New Roman" w:cs="Times New Roman"/>
        </w:rPr>
        <w:t xml:space="preserve">34 (04), 407-413. </w:t>
      </w:r>
      <w:bookmarkEnd w:id="1"/>
      <w:commentRangeEnd w:id="2"/>
      <w:r w:rsidR="00A569CE">
        <w:rPr>
          <w:rStyle w:val="ad"/>
          <w:rFonts w:ascii="Times New Roman" w:eastAsia="宋体" w:hAnsi="Times New Roman" w:cs="Times New Roman"/>
          <w:noProof w:val="0"/>
        </w:rPr>
        <w:commentReference w:id="2"/>
      </w:r>
    </w:p>
    <w:p w14:paraId="5C6677A5" w14:textId="77777777" w:rsidR="003A6E43" w:rsidRPr="007331E1" w:rsidRDefault="003A6E43" w:rsidP="003A6E4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commentRangeStart w:id="3"/>
      <w:r w:rsidRPr="007331E1">
        <w:rPr>
          <w:rFonts w:ascii="Times New Roman" w:hAnsi="Times New Roman" w:cs="Times New Roman"/>
        </w:rPr>
        <w:t xml:space="preserve">GUO Xin-Yan, W. N., HAO Li-Jun, ZHI Yong, XU Jing, WANG Jiu-Chang, SHAN Zheng-Jun. (2015). </w:t>
      </w:r>
      <w:r w:rsidRPr="007331E1">
        <w:rPr>
          <w:rFonts w:ascii="Times New Roman" w:hAnsi="Times New Roman" w:cs="Times New Roman"/>
          <w:i/>
        </w:rPr>
        <w:t xml:space="preserve">Chin. J. Anal. Chem. </w:t>
      </w:r>
      <w:r>
        <w:rPr>
          <w:rFonts w:ascii="Times New Roman" w:hAnsi="Times New Roman" w:cs="Times New Roman"/>
        </w:rPr>
        <w:t>43 (01), 13-20.</w:t>
      </w:r>
      <w:commentRangeEnd w:id="3"/>
      <w:r w:rsidR="00A569CE">
        <w:rPr>
          <w:rStyle w:val="ad"/>
          <w:rFonts w:ascii="Times New Roman" w:eastAsia="宋体" w:hAnsi="Times New Roman" w:cs="Times New Roman"/>
          <w:noProof w:val="0"/>
        </w:rPr>
        <w:commentReference w:id="3"/>
      </w:r>
    </w:p>
    <w:p w14:paraId="6208CFFA" w14:textId="77777777" w:rsidR="003A6E43" w:rsidRPr="007331E1" w:rsidRDefault="003A6E43" w:rsidP="003A6E4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commentRangeStart w:id="4"/>
      <w:r w:rsidRPr="007331E1">
        <w:rPr>
          <w:rFonts w:ascii="Times New Roman" w:hAnsi="Times New Roman" w:cs="Times New Roman"/>
        </w:rPr>
        <w:t xml:space="preserve">SERESHTI H , K. F., NOURI N (2020). </w:t>
      </w:r>
      <w:r w:rsidRPr="007331E1">
        <w:rPr>
          <w:rFonts w:ascii="Times New Roman" w:hAnsi="Times New Roman" w:cs="Times New Roman"/>
          <w:i/>
        </w:rPr>
        <w:t xml:space="preserve">Microchem. J </w:t>
      </w:r>
      <w:r>
        <w:rPr>
          <w:rFonts w:ascii="Times New Roman" w:hAnsi="Times New Roman" w:cs="Times New Roman"/>
        </w:rPr>
        <w:t>163 105914.</w:t>
      </w:r>
      <w:commentRangeEnd w:id="4"/>
      <w:r w:rsidR="00A569CE">
        <w:rPr>
          <w:rStyle w:val="ad"/>
          <w:rFonts w:ascii="Times New Roman" w:eastAsia="宋体" w:hAnsi="Times New Roman" w:cs="Times New Roman"/>
          <w:noProof w:val="0"/>
        </w:rPr>
        <w:commentReference w:id="4"/>
      </w:r>
    </w:p>
    <w:p w14:paraId="071F9E43" w14:textId="77777777" w:rsidR="003A6E43" w:rsidRPr="007331E1" w:rsidRDefault="003A6E43" w:rsidP="003A6E4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7331E1">
        <w:rPr>
          <w:rFonts w:ascii="Times New Roman" w:hAnsi="Times New Roman" w:cs="Times New Roman"/>
        </w:rPr>
        <w:t xml:space="preserve">WANG Liang, Y. y.-S., ZHU Wen-Shuai, LI Hua-Ming (2009). </w:t>
      </w:r>
      <w:r w:rsidRPr="007331E1">
        <w:rPr>
          <w:rFonts w:ascii="Times New Roman" w:hAnsi="Times New Roman" w:cs="Times New Roman"/>
          <w:i/>
        </w:rPr>
        <w:t xml:space="preserve">Chin. J. Anal. Chem. </w:t>
      </w:r>
      <w:r w:rsidRPr="007331E1">
        <w:rPr>
          <w:rFonts w:ascii="Times New Roman" w:hAnsi="Times New Roman" w:cs="Times New Roman"/>
        </w:rPr>
        <w:t xml:space="preserve">37 (01), 72-76. </w:t>
      </w:r>
    </w:p>
    <w:p w14:paraId="63072E27" w14:textId="77777777" w:rsidR="003A6E43" w:rsidRPr="007331E1" w:rsidRDefault="003A6E43" w:rsidP="003A6E4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commentRangeStart w:id="5"/>
      <w:r w:rsidRPr="007331E1">
        <w:rPr>
          <w:rFonts w:ascii="Times New Roman" w:hAnsi="Times New Roman" w:cs="Times New Roman"/>
        </w:rPr>
        <w:t xml:space="preserve">WANG Ya-Na, P. J., XIE Shuang, RAO Zhu, ZHAN Nan, HUANG Xin-Mei, HUANG He-Tian, GUO Feng, YANG Hong-Bo (2020). </w:t>
      </w:r>
      <w:r w:rsidRPr="007331E1">
        <w:rPr>
          <w:rFonts w:ascii="Times New Roman" w:hAnsi="Times New Roman" w:cs="Times New Roman"/>
          <w:i/>
        </w:rPr>
        <w:t xml:space="preserve">Environ. Chem </w:t>
      </w:r>
      <w:r>
        <w:rPr>
          <w:rFonts w:ascii="Times New Roman" w:hAnsi="Times New Roman" w:cs="Times New Roman"/>
        </w:rPr>
        <w:t>39 (01), 188-196.</w:t>
      </w:r>
      <w:commentRangeEnd w:id="5"/>
      <w:r w:rsidR="00A569CE">
        <w:rPr>
          <w:rStyle w:val="ad"/>
          <w:rFonts w:ascii="Times New Roman" w:eastAsia="宋体" w:hAnsi="Times New Roman" w:cs="Times New Roman"/>
          <w:noProof w:val="0"/>
        </w:rPr>
        <w:commentReference w:id="5"/>
      </w:r>
    </w:p>
    <w:p w14:paraId="258288C1" w14:textId="77777777" w:rsidR="003A6E43" w:rsidRPr="003A6E43" w:rsidRDefault="003A6E43" w:rsidP="003A6E4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commentRangeStart w:id="6"/>
      <w:r w:rsidRPr="007331E1">
        <w:rPr>
          <w:rFonts w:ascii="Times New Roman" w:hAnsi="Times New Roman" w:cs="Times New Roman"/>
        </w:rPr>
        <w:t xml:space="preserve">ZENG Guo-Long, M. X.-G., FAN Yin-Ming. J. (2020). </w:t>
      </w:r>
      <w:r w:rsidRPr="007331E1">
        <w:rPr>
          <w:rFonts w:ascii="Times New Roman" w:hAnsi="Times New Roman" w:cs="Times New Roman"/>
          <w:i/>
        </w:rPr>
        <w:t xml:space="preserve">INSTRUMENTAL. ANA </w:t>
      </w:r>
      <w:r>
        <w:rPr>
          <w:rFonts w:ascii="Times New Roman" w:hAnsi="Times New Roman" w:cs="Times New Roman"/>
        </w:rPr>
        <w:t>39 (06), 749-755.</w:t>
      </w:r>
      <w:commentRangeEnd w:id="6"/>
      <w:r w:rsidR="00A569CE">
        <w:rPr>
          <w:rStyle w:val="ad"/>
          <w:rFonts w:ascii="Times New Roman" w:eastAsia="宋体" w:hAnsi="Times New Roman" w:cs="Times New Roman"/>
          <w:noProof w:val="0"/>
        </w:rPr>
        <w:commentReference w:id="6"/>
      </w:r>
    </w:p>
    <w:sectPr w:rsidR="003A6E43" w:rsidRPr="003A6E43">
      <w:pgSz w:w="11906" w:h="16838"/>
      <w:pgMar w:top="1134" w:right="1134" w:bottom="1134" w:left="1134" w:header="851" w:footer="992" w:gutter="0"/>
      <w:lnNumType w:countBy="1" w:restart="continuous"/>
      <w:cols w:space="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管 理员" w:date="2024-05-08T22:49:00Z" w:initials="管">
    <w:p w14:paraId="4DD37DCC" w14:textId="77777777" w:rsidR="00A569CE" w:rsidRDefault="00A569CE" w:rsidP="002578B7">
      <w:pPr>
        <w:pStyle w:val="a4"/>
      </w:pPr>
      <w:r>
        <w:rPr>
          <w:rStyle w:val="ad"/>
        </w:rPr>
        <w:annotationRef/>
      </w:r>
      <w:r>
        <w:t>Ming, G., Feng, Y., Ke-Ling, J., Jiao, L., and Hai, S. (2016). Determination of tetracycline antibiotics in environmental water using magnetic solid phase extraction combined with high performance liquid chromatography-tandem mass spectrometry. Chin. J. Chromatogr. 34 (04), 407–413. doi: 10.3724/SP.J.1123.2015.11038</w:t>
      </w:r>
      <w:r w:rsidR="009E171F">
        <w:rPr>
          <w:noProof/>
        </w:rPr>
        <w:t>.</w:t>
      </w:r>
    </w:p>
  </w:comment>
  <w:comment w:id="3" w:author="管 理员" w:date="2024-05-08T22:50:00Z" w:initials="管">
    <w:p w14:paraId="458DE80E" w14:textId="77777777" w:rsidR="00A569CE" w:rsidRDefault="00A569CE" w:rsidP="002578B7">
      <w:pPr>
        <w:pStyle w:val="a4"/>
      </w:pPr>
      <w:r>
        <w:rPr>
          <w:rStyle w:val="ad"/>
        </w:rPr>
        <w:annotationRef/>
      </w:r>
      <w:r w:rsidRPr="00A569CE">
        <w:t>Xin-Yan, G., Na, W., Li-Jun, H.,Yong, Z., Jing, X., Jiu-Chang, W., and Zhen-Jun, S. (2015). Simultaneous Detection of 25 Kinds of Veterinary Antibiotics in Soil, Manure and Water Samples Using Liquid Chromatography-Tandem Mass Spectrometry. Chin. J. Anal. Chem. 43 (01), 13–20. doi:10. 11895 /j. issn. 0253-3820. 140546</w:t>
      </w:r>
      <w:r w:rsidR="009E171F" w:rsidRPr="00A569CE">
        <w:rPr>
          <w:noProof/>
        </w:rPr>
        <w:t>.</w:t>
      </w:r>
    </w:p>
  </w:comment>
  <w:comment w:id="4" w:author="管 理员" w:date="2024-05-08T22:50:00Z" w:initials="管">
    <w:p w14:paraId="700C3EF8" w14:textId="77777777" w:rsidR="00A569CE" w:rsidRDefault="00A569CE" w:rsidP="002578B7">
      <w:pPr>
        <w:pStyle w:val="a4"/>
      </w:pPr>
      <w:r>
        <w:rPr>
          <w:rStyle w:val="ad"/>
        </w:rPr>
        <w:annotationRef/>
      </w:r>
      <w:r w:rsidRPr="00A569CE">
        <w:t>Sereshti, H., Jazani, SS., Nouri, N., and Shams, G. (2020). Dispersive liquid-liquid microextraction based on hydrophobic deep eutectic solvents: Application for tetracyclines monitoring in milk. Microchem. J. 158. doi: 10.1016/j. microc. 2020.105269</w:t>
      </w:r>
      <w:r w:rsidR="009E171F" w:rsidRPr="00A569CE">
        <w:rPr>
          <w:noProof/>
        </w:rPr>
        <w:t>.</w:t>
      </w:r>
    </w:p>
  </w:comment>
  <w:comment w:id="5" w:author="管 理员" w:date="2024-05-08T22:51:00Z" w:initials="管">
    <w:p w14:paraId="20D8A0CA" w14:textId="77777777" w:rsidR="00A569CE" w:rsidRDefault="00A569CE" w:rsidP="002578B7">
      <w:pPr>
        <w:pStyle w:val="a4"/>
        <w:rPr>
          <w:rFonts w:hint="eastAsia"/>
        </w:rPr>
      </w:pPr>
      <w:r>
        <w:rPr>
          <w:rStyle w:val="ad"/>
        </w:rPr>
        <w:annotationRef/>
      </w:r>
      <w:r w:rsidRPr="00A569CE">
        <w:t>Ya-Na, W., Jie, P., Shuang, X., Zhu, R., Nan, Z., Xin-mei, H., He-tian, H., Feng, G., and Hong-bo, Y. (2020). Determination of 40 antibiotics in surface water by solid phase extraction-high performance liquid chromatography-tandem mass spectrometry. Environ. Chem. 39 (01), 188–196. doi: 10. 7524/j. issn. 0254-6108. 2019021304</w:t>
      </w:r>
      <w:r w:rsidR="009E171F" w:rsidRPr="00A569CE">
        <w:rPr>
          <w:noProof/>
        </w:rPr>
        <w:t>.</w:t>
      </w:r>
    </w:p>
  </w:comment>
  <w:comment w:id="6" w:author="管 理员" w:date="2024-05-08T22:51:00Z" w:initials="管">
    <w:p w14:paraId="319D200E" w14:textId="77777777" w:rsidR="00A569CE" w:rsidRDefault="00A569CE" w:rsidP="002578B7">
      <w:pPr>
        <w:pStyle w:val="a4"/>
        <w:rPr>
          <w:rFonts w:hint="eastAsia"/>
        </w:rPr>
      </w:pPr>
      <w:r>
        <w:rPr>
          <w:rStyle w:val="ad"/>
        </w:rPr>
        <w:annotationRef/>
      </w:r>
      <w:r w:rsidRPr="00A569CE">
        <w:t xml:space="preserve">Guo-Long Z., Xiao-Guo M., and Yin-Ming F. (2020). Determination of Tetracyclines in Environmental Water Samples by High Performance Liquid Chromatography with Multi-template Molecularly Imprinted Polymer Magnetic Solid Phase Extraction. </w:t>
      </w:r>
      <w:r>
        <w:rPr>
          <w:lang w:val="zh-CN"/>
        </w:rPr>
        <w:t>Instrum. ANA 39 (06), 749–755. doi: 10. 3969 /j. issn. 1004-4957. 2020. 06. 008</w:t>
      </w:r>
      <w:r w:rsidR="009E171F">
        <w:rPr>
          <w:noProof/>
          <w:lang w:val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D37DCC" w15:done="0"/>
  <w15:commentEx w15:paraId="458DE80E" w15:done="0"/>
  <w15:commentEx w15:paraId="700C3EF8" w15:done="0"/>
  <w15:commentEx w15:paraId="20D8A0CA" w15:done="0"/>
  <w15:commentEx w15:paraId="319D20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37DCC" w16cid:durableId="29E67FF0"/>
  <w16cid:commentId w16cid:paraId="458DE80E" w16cid:durableId="29E68040"/>
  <w16cid:commentId w16cid:paraId="700C3EF8" w16cid:durableId="29E68050"/>
  <w16cid:commentId w16cid:paraId="20D8A0CA" w16cid:durableId="29E68065"/>
  <w16cid:commentId w16cid:paraId="319D200E" w16cid:durableId="29E68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747E1" w14:textId="77777777" w:rsidR="009E171F" w:rsidRDefault="009E171F" w:rsidP="00B442AF">
      <w:r>
        <w:separator/>
      </w:r>
    </w:p>
  </w:endnote>
  <w:endnote w:type="continuationSeparator" w:id="0">
    <w:p w14:paraId="57857A17" w14:textId="77777777" w:rsidR="009E171F" w:rsidRDefault="009E171F" w:rsidP="00B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85E3" w14:textId="77777777" w:rsidR="009E171F" w:rsidRDefault="009E171F" w:rsidP="00B442AF">
      <w:r>
        <w:separator/>
      </w:r>
    </w:p>
  </w:footnote>
  <w:footnote w:type="continuationSeparator" w:id="0">
    <w:p w14:paraId="0E1A8993" w14:textId="77777777" w:rsidR="009E171F" w:rsidRDefault="009E171F" w:rsidP="00B442A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管 理员">
    <w15:presenceInfo w15:providerId="Windows Live" w15:userId="a410d75ee6de94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2MjI2M2JhNTAxZDE1YjFiMzczYWNmMWVkNjAyNjkifQ=="/>
  </w:docVars>
  <w:rsids>
    <w:rsidRoot w:val="186536CB"/>
    <w:rsid w:val="00202882"/>
    <w:rsid w:val="002578B7"/>
    <w:rsid w:val="002968FE"/>
    <w:rsid w:val="003A6E43"/>
    <w:rsid w:val="00511A1C"/>
    <w:rsid w:val="00864356"/>
    <w:rsid w:val="00933C78"/>
    <w:rsid w:val="009E171F"/>
    <w:rsid w:val="00A569CE"/>
    <w:rsid w:val="00B442AF"/>
    <w:rsid w:val="00DF6B99"/>
    <w:rsid w:val="00E16E8B"/>
    <w:rsid w:val="00F409E4"/>
    <w:rsid w:val="05573452"/>
    <w:rsid w:val="06147E59"/>
    <w:rsid w:val="072A7934"/>
    <w:rsid w:val="0AB15F45"/>
    <w:rsid w:val="0AF745AF"/>
    <w:rsid w:val="0B6D6AFA"/>
    <w:rsid w:val="0D307327"/>
    <w:rsid w:val="0DA077D3"/>
    <w:rsid w:val="0DF2282E"/>
    <w:rsid w:val="0E9E3598"/>
    <w:rsid w:val="0F0F70F1"/>
    <w:rsid w:val="0F5117D6"/>
    <w:rsid w:val="104D4694"/>
    <w:rsid w:val="1167461D"/>
    <w:rsid w:val="12296A3A"/>
    <w:rsid w:val="142505AD"/>
    <w:rsid w:val="14636234"/>
    <w:rsid w:val="14D64C58"/>
    <w:rsid w:val="186536CB"/>
    <w:rsid w:val="1A733D2A"/>
    <w:rsid w:val="1BCA4DEA"/>
    <w:rsid w:val="1C3F17E5"/>
    <w:rsid w:val="1D3C5874"/>
    <w:rsid w:val="1DFE6FCD"/>
    <w:rsid w:val="1EB50D37"/>
    <w:rsid w:val="1F6966C8"/>
    <w:rsid w:val="20523285"/>
    <w:rsid w:val="21821CC3"/>
    <w:rsid w:val="21E31D18"/>
    <w:rsid w:val="2201708C"/>
    <w:rsid w:val="224C6559"/>
    <w:rsid w:val="231A1AC3"/>
    <w:rsid w:val="23F167F3"/>
    <w:rsid w:val="254C4AC2"/>
    <w:rsid w:val="25891872"/>
    <w:rsid w:val="26CE32CD"/>
    <w:rsid w:val="28B9246E"/>
    <w:rsid w:val="29DF7CB3"/>
    <w:rsid w:val="2A612DBE"/>
    <w:rsid w:val="2B0025D7"/>
    <w:rsid w:val="2C0F5C16"/>
    <w:rsid w:val="2CE37ABA"/>
    <w:rsid w:val="2DA57465"/>
    <w:rsid w:val="2E9434FA"/>
    <w:rsid w:val="2ECE479A"/>
    <w:rsid w:val="2F155F25"/>
    <w:rsid w:val="302A3C52"/>
    <w:rsid w:val="3135340D"/>
    <w:rsid w:val="315C608D"/>
    <w:rsid w:val="315E1E05"/>
    <w:rsid w:val="31815AF3"/>
    <w:rsid w:val="35EB3E83"/>
    <w:rsid w:val="364A0BAA"/>
    <w:rsid w:val="38316516"/>
    <w:rsid w:val="3B194FEF"/>
    <w:rsid w:val="3CFE624A"/>
    <w:rsid w:val="3E612F34"/>
    <w:rsid w:val="3EDD5772"/>
    <w:rsid w:val="416B088F"/>
    <w:rsid w:val="43A63197"/>
    <w:rsid w:val="446077EA"/>
    <w:rsid w:val="460D0C15"/>
    <w:rsid w:val="46D22C21"/>
    <w:rsid w:val="47AF00A4"/>
    <w:rsid w:val="47D3711A"/>
    <w:rsid w:val="480049CC"/>
    <w:rsid w:val="4A0330F2"/>
    <w:rsid w:val="4A8E50B1"/>
    <w:rsid w:val="4ABB1C1E"/>
    <w:rsid w:val="4B422851"/>
    <w:rsid w:val="4CD90C63"/>
    <w:rsid w:val="50250266"/>
    <w:rsid w:val="50A00C96"/>
    <w:rsid w:val="50A54F03"/>
    <w:rsid w:val="51646B6C"/>
    <w:rsid w:val="54677297"/>
    <w:rsid w:val="55EC35D4"/>
    <w:rsid w:val="57715B3F"/>
    <w:rsid w:val="587F072F"/>
    <w:rsid w:val="58C43AC0"/>
    <w:rsid w:val="58EB0B5E"/>
    <w:rsid w:val="59C503C4"/>
    <w:rsid w:val="59F40D7A"/>
    <w:rsid w:val="5B62672F"/>
    <w:rsid w:val="5D797B15"/>
    <w:rsid w:val="5EA04F5B"/>
    <w:rsid w:val="5EF552A7"/>
    <w:rsid w:val="5FC11265"/>
    <w:rsid w:val="60E20158"/>
    <w:rsid w:val="61DF5D9B"/>
    <w:rsid w:val="626F35C2"/>
    <w:rsid w:val="6367429A"/>
    <w:rsid w:val="64A12FFE"/>
    <w:rsid w:val="64E015DE"/>
    <w:rsid w:val="65387C9C"/>
    <w:rsid w:val="662F5D0A"/>
    <w:rsid w:val="67177D85"/>
    <w:rsid w:val="681E586F"/>
    <w:rsid w:val="682C09A2"/>
    <w:rsid w:val="68E1064A"/>
    <w:rsid w:val="692C5D69"/>
    <w:rsid w:val="6A164324"/>
    <w:rsid w:val="6A6908F7"/>
    <w:rsid w:val="6B9B71D6"/>
    <w:rsid w:val="6C2471CC"/>
    <w:rsid w:val="6E5A0C83"/>
    <w:rsid w:val="6EE669BA"/>
    <w:rsid w:val="6FC52A74"/>
    <w:rsid w:val="7319413D"/>
    <w:rsid w:val="73426189"/>
    <w:rsid w:val="73633C23"/>
    <w:rsid w:val="74100036"/>
    <w:rsid w:val="787119EB"/>
    <w:rsid w:val="78834278"/>
    <w:rsid w:val="78A41E36"/>
    <w:rsid w:val="7AA82775"/>
    <w:rsid w:val="7C1F7E7A"/>
    <w:rsid w:val="7CA26617"/>
    <w:rsid w:val="7DA939D5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0C295"/>
  <w15:docId w15:val="{434E1423-BB50-4CFF-BAC6-535F6221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link w:val="a5"/>
    <w:autoRedefine/>
    <w:qFormat/>
    <w:rsid w:val="002578B7"/>
    <w:pPr>
      <w:jc w:val="left"/>
    </w:pPr>
  </w:style>
  <w:style w:type="paragraph" w:styleId="a6">
    <w:name w:val="Body Text"/>
    <w:basedOn w:val="a"/>
    <w:autoRedefine/>
    <w:qFormat/>
  </w:style>
  <w:style w:type="paragraph" w:styleId="a7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8">
    <w:name w:val="line number"/>
    <w:basedOn w:val="a0"/>
    <w:autoRedefine/>
    <w:qFormat/>
  </w:style>
  <w:style w:type="paragraph" w:customStyle="1" w:styleId="10">
    <w:name w:val="标题1"/>
    <w:basedOn w:val="a7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442AF"/>
    <w:rPr>
      <w:kern w:val="2"/>
      <w:sz w:val="18"/>
      <w:szCs w:val="18"/>
    </w:rPr>
  </w:style>
  <w:style w:type="paragraph" w:styleId="ab">
    <w:name w:val="footer"/>
    <w:basedOn w:val="a"/>
    <w:link w:val="ac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  <w:style w:type="character" w:styleId="ad">
    <w:name w:val="annotation reference"/>
    <w:basedOn w:val="a0"/>
    <w:semiHidden/>
    <w:unhideWhenUsed/>
    <w:rsid w:val="00A569CE"/>
    <w:rPr>
      <w:sz w:val="21"/>
      <w:szCs w:val="21"/>
    </w:rPr>
  </w:style>
  <w:style w:type="paragraph" w:styleId="ae">
    <w:name w:val="annotation subject"/>
    <w:basedOn w:val="a4"/>
    <w:next w:val="a4"/>
    <w:link w:val="af"/>
    <w:semiHidden/>
    <w:unhideWhenUsed/>
    <w:rsid w:val="00A569CE"/>
    <w:rPr>
      <w:b/>
      <w:bCs/>
    </w:rPr>
  </w:style>
  <w:style w:type="character" w:customStyle="1" w:styleId="a5">
    <w:name w:val="批注文字 字符"/>
    <w:basedOn w:val="a0"/>
    <w:link w:val="a4"/>
    <w:rsid w:val="002578B7"/>
    <w:rPr>
      <w:kern w:val="2"/>
      <w:sz w:val="24"/>
      <w:szCs w:val="24"/>
    </w:rPr>
  </w:style>
  <w:style w:type="character" w:customStyle="1" w:styleId="af">
    <w:name w:val="批注主题 字符"/>
    <w:basedOn w:val="a5"/>
    <w:link w:val="ae"/>
    <w:semiHidden/>
    <w:rsid w:val="00A569CE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unhideWhenUsed/>
    <w:rsid w:val="00A569CE"/>
    <w:rPr>
      <w:kern w:val="2"/>
      <w:sz w:val="24"/>
      <w:szCs w:val="24"/>
    </w:rPr>
  </w:style>
  <w:style w:type="paragraph" w:styleId="af1">
    <w:name w:val="Balloon Text"/>
    <w:basedOn w:val="a"/>
    <w:link w:val="af2"/>
    <w:rsid w:val="00A569CE"/>
    <w:rPr>
      <w:sz w:val="18"/>
      <w:szCs w:val="18"/>
    </w:rPr>
  </w:style>
  <w:style w:type="character" w:customStyle="1" w:styleId="af2">
    <w:name w:val="批注框文本 字符"/>
    <w:basedOn w:val="a0"/>
    <w:link w:val="af1"/>
    <w:rsid w:val="00A569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Jing.”</dc:creator>
  <cp:lastModifiedBy>管 理员</cp:lastModifiedBy>
  <cp:revision>6</cp:revision>
  <dcterms:created xsi:type="dcterms:W3CDTF">2024-05-08T14:48:00Z</dcterms:created>
  <dcterms:modified xsi:type="dcterms:W3CDTF">2024-05-08T14:53:00Z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E103099AA46B4425988D38C7838088B9_11</vt:lpwstr>
  </property>
</Properties>
</file>