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1549D3" w:rsidRDefault="00654E8F" w:rsidP="0001436A">
      <w:pPr>
        <w:pStyle w:val="SupplementaryMaterial"/>
        <w:rPr>
          <w:b w:val="0"/>
        </w:rPr>
      </w:pPr>
      <w:r w:rsidRPr="001549D3">
        <w:t>Supplementary Material</w:t>
      </w:r>
    </w:p>
    <w:p w14:paraId="5F25AA23" w14:textId="52E81DBF" w:rsidR="00094E10" w:rsidRPr="00F84744" w:rsidRDefault="00F84744" w:rsidP="00F84744">
      <w:pPr>
        <w:pStyle w:val="AuthorList"/>
        <w:jc w:val="center"/>
        <w:rPr>
          <w:color w:val="000000" w:themeColor="text1"/>
          <w:sz w:val="32"/>
          <w:szCs w:val="32"/>
        </w:rPr>
      </w:pPr>
      <w:r w:rsidRPr="004B7FB5">
        <w:rPr>
          <w:color w:val="000000" w:themeColor="text1"/>
          <w:sz w:val="32"/>
          <w:szCs w:val="32"/>
        </w:rPr>
        <w:t>Contamination and remediation of contaminated firing ranges – An Overview</w:t>
      </w:r>
    </w:p>
    <w:p w14:paraId="1CEC84A3" w14:textId="460CF8BA" w:rsidR="00094E10" w:rsidRDefault="00094E10" w:rsidP="00094E10">
      <w:pPr>
        <w:spacing w:before="240" w:after="0"/>
        <w:rPr>
          <w:rFonts w:cs="Times New Roman"/>
          <w:b/>
          <w:szCs w:val="24"/>
        </w:rPr>
      </w:pPr>
      <w:r w:rsidRPr="004C4605">
        <w:rPr>
          <w:rFonts w:cs="Times New Roman"/>
          <w:b/>
          <w:szCs w:val="24"/>
        </w:rPr>
        <w:t xml:space="preserve">Yining Zhu </w:t>
      </w:r>
      <w:proofErr w:type="gramStart"/>
      <w:r w:rsidRPr="004C4605">
        <w:rPr>
          <w:rFonts w:cs="Times New Roman"/>
          <w:b/>
          <w:szCs w:val="24"/>
          <w:vertAlign w:val="superscript"/>
        </w:rPr>
        <w:t>a,b</w:t>
      </w:r>
      <w:proofErr w:type="gramEnd"/>
      <w:r w:rsidRPr="004C4605">
        <w:rPr>
          <w:rFonts w:cs="Times New Roman"/>
          <w:b/>
          <w:szCs w:val="24"/>
          <w:vertAlign w:val="superscript"/>
        </w:rPr>
        <w:t>,c</w:t>
      </w:r>
      <w:r w:rsidR="00BA26D7" w:rsidRPr="00BA26D7">
        <w:rPr>
          <w:rFonts w:cs="Times New Roman"/>
          <w:b/>
          <w:szCs w:val="24"/>
          <w:vertAlign w:val="superscript"/>
        </w:rPr>
        <w:t xml:space="preserve"> </w:t>
      </w:r>
      <w:r w:rsidR="00BA26D7" w:rsidRPr="00363F48">
        <w:rPr>
          <w:rFonts w:cs="Times New Roman"/>
          <w:b/>
          <w:szCs w:val="24"/>
          <w:vertAlign w:val="superscript"/>
        </w:rPr>
        <w:t>†</w:t>
      </w:r>
      <w:r w:rsidRPr="004C4605">
        <w:rPr>
          <w:rFonts w:cs="Times New Roman"/>
          <w:b/>
          <w:szCs w:val="24"/>
        </w:rPr>
        <w:t xml:space="preserve">, Ruijie Che </w:t>
      </w:r>
      <w:r w:rsidRPr="004C4605">
        <w:rPr>
          <w:rFonts w:cs="Times New Roman"/>
          <w:b/>
          <w:szCs w:val="24"/>
          <w:vertAlign w:val="superscript"/>
        </w:rPr>
        <w:t>a,b,c</w:t>
      </w:r>
      <w:r w:rsidR="00BA26D7">
        <w:rPr>
          <w:rFonts w:cs="Times New Roman"/>
          <w:b/>
          <w:szCs w:val="24"/>
          <w:vertAlign w:val="superscript"/>
        </w:rPr>
        <w:t xml:space="preserve"> </w:t>
      </w:r>
      <w:r w:rsidR="00BA26D7" w:rsidRPr="00363F48">
        <w:rPr>
          <w:rFonts w:cs="Times New Roman"/>
          <w:b/>
          <w:szCs w:val="24"/>
          <w:vertAlign w:val="superscript"/>
        </w:rPr>
        <w:t>†</w:t>
      </w:r>
      <w:r w:rsidRPr="004C4605">
        <w:rPr>
          <w:rFonts w:cs="Times New Roman"/>
          <w:b/>
          <w:szCs w:val="24"/>
        </w:rPr>
        <w:t xml:space="preserve">, Biyang Tu </w:t>
      </w:r>
      <w:r w:rsidRPr="004C4605">
        <w:rPr>
          <w:rFonts w:cs="Times New Roman"/>
          <w:b/>
          <w:szCs w:val="24"/>
          <w:vertAlign w:val="superscript"/>
        </w:rPr>
        <w:t>a,b,c</w:t>
      </w:r>
      <w:r w:rsidRPr="004C4605">
        <w:rPr>
          <w:rFonts w:cs="Times New Roman"/>
          <w:b/>
          <w:szCs w:val="24"/>
        </w:rPr>
        <w:t xml:space="preserve">, Xinya Lu </w:t>
      </w:r>
      <w:r w:rsidRPr="004C4605">
        <w:rPr>
          <w:rFonts w:cs="Times New Roman"/>
          <w:b/>
          <w:szCs w:val="24"/>
          <w:vertAlign w:val="superscript"/>
        </w:rPr>
        <w:t>a,b,c</w:t>
      </w:r>
      <w:r w:rsidRPr="004C4605">
        <w:rPr>
          <w:rFonts w:cs="Times New Roman"/>
          <w:b/>
          <w:szCs w:val="24"/>
        </w:rPr>
        <w:t xml:space="preserve">, Jining Li </w:t>
      </w:r>
      <w:r w:rsidRPr="004C4605">
        <w:rPr>
          <w:rFonts w:cs="Times New Roman"/>
          <w:b/>
          <w:szCs w:val="24"/>
          <w:vertAlign w:val="superscript"/>
        </w:rPr>
        <w:t>a,b,c</w:t>
      </w:r>
      <w:r w:rsidRPr="004C4605">
        <w:rPr>
          <w:rFonts w:cs="Times New Roman"/>
          <w:b/>
          <w:szCs w:val="24"/>
        </w:rPr>
        <w:t xml:space="preserve">, Yongbing Zhu </w:t>
      </w:r>
      <w:r w:rsidRPr="004C4605">
        <w:rPr>
          <w:rFonts w:cs="Times New Roman"/>
          <w:b/>
          <w:szCs w:val="24"/>
          <w:vertAlign w:val="superscript"/>
        </w:rPr>
        <w:t>d</w:t>
      </w:r>
      <w:r w:rsidRPr="004C4605">
        <w:rPr>
          <w:rFonts w:cs="Times New Roman"/>
          <w:b/>
          <w:szCs w:val="24"/>
        </w:rPr>
        <w:t xml:space="preserve">, Fenghe Wang </w:t>
      </w:r>
      <w:r w:rsidRPr="004C4605">
        <w:rPr>
          <w:rFonts w:cs="Times New Roman"/>
          <w:b/>
          <w:szCs w:val="24"/>
          <w:vertAlign w:val="superscript"/>
        </w:rPr>
        <w:t>a,b,c⁎</w:t>
      </w:r>
    </w:p>
    <w:p w14:paraId="217F3AE0" w14:textId="5F9D03FB" w:rsidR="002868E2" w:rsidRDefault="002868E2" w:rsidP="00994A3D">
      <w:pPr>
        <w:spacing w:before="240" w:after="0"/>
        <w:rPr>
          <w:rFonts w:cs="Times New Roman"/>
          <w:szCs w:val="24"/>
        </w:rPr>
      </w:pPr>
      <w:r w:rsidRPr="00994A3D">
        <w:rPr>
          <w:rFonts w:cs="Times New Roman"/>
          <w:b/>
        </w:rPr>
        <w:t xml:space="preserve">* Correspondence: </w:t>
      </w:r>
      <w:r w:rsidRPr="00994A3D">
        <w:rPr>
          <w:rFonts w:cs="Times New Roman"/>
        </w:rPr>
        <w:t>Corresponding Author</w:t>
      </w:r>
      <w:r w:rsidR="00994A3D" w:rsidRPr="00994A3D">
        <w:rPr>
          <w:rFonts w:cs="Times New Roman"/>
        </w:rPr>
        <w:t xml:space="preserve">: </w:t>
      </w:r>
      <w:r w:rsidR="00094E10" w:rsidRPr="004C4605">
        <w:rPr>
          <w:rFonts w:cs="Times New Roman"/>
          <w:szCs w:val="24"/>
        </w:rPr>
        <w:t>wangfenghe@nj</w:t>
      </w:r>
      <w:r w:rsidR="00FF5045">
        <w:rPr>
          <w:rFonts w:cs="Times New Roman"/>
          <w:szCs w:val="24"/>
        </w:rPr>
        <w:t>ust</w:t>
      </w:r>
      <w:r w:rsidR="00094E10" w:rsidRPr="004C4605">
        <w:rPr>
          <w:rFonts w:cs="Times New Roman"/>
          <w:szCs w:val="24"/>
        </w:rPr>
        <w:t>.edu.cn (Fenghe Wang)</w:t>
      </w:r>
    </w:p>
    <w:p w14:paraId="47D17EB8" w14:textId="77777777" w:rsidR="00572E45" w:rsidRDefault="00572E45" w:rsidP="00994A3D">
      <w:pPr>
        <w:spacing w:before="240" w:after="0"/>
        <w:rPr>
          <w:rFonts w:cs="Times New Roman"/>
          <w:szCs w:val="24"/>
        </w:rPr>
      </w:pPr>
    </w:p>
    <w:p w14:paraId="09D5E470" w14:textId="77777777" w:rsidR="00572E45" w:rsidRPr="00994A3D" w:rsidRDefault="00572E45" w:rsidP="00994A3D">
      <w:pPr>
        <w:spacing w:before="240" w:after="0"/>
        <w:rPr>
          <w:rFonts w:cs="Times New Roman"/>
        </w:rPr>
      </w:pPr>
    </w:p>
    <w:p w14:paraId="74CECB2A" w14:textId="027BB6D0" w:rsidR="002E21CF" w:rsidRDefault="002E21CF" w:rsidP="002E21CF">
      <w:pPr>
        <w:pStyle w:val="1"/>
      </w:pPr>
      <w:r w:rsidRPr="00994A3D">
        <w:t>Supplementary</w:t>
      </w:r>
      <w:r>
        <w:t xml:space="preserve"> Texts</w:t>
      </w:r>
    </w:p>
    <w:p w14:paraId="0E8FC635" w14:textId="607B90A9" w:rsidR="002E21CF" w:rsidRDefault="002E21CF" w:rsidP="002E21CF">
      <w:r>
        <w:t xml:space="preserve">To investigate the topic of shooting range remediation, a comprehensive search was conducted on the Web of Science Core Collection utilizing the keywords "Shooting range" and "Remediation". The search was limited to the time period between January 1, 2001, and December 31, 2023, yielding a total of 266 search </w:t>
      </w:r>
      <w:r w:rsidRPr="00D57118">
        <w:t>results.</w:t>
      </w:r>
    </w:p>
    <w:p w14:paraId="487B6889" w14:textId="77777777" w:rsidR="00E41BE8" w:rsidRDefault="00E41BE8" w:rsidP="00E41BE8">
      <w:pPr>
        <w:pStyle w:val="2"/>
        <w:numPr>
          <w:ilvl w:val="1"/>
          <w:numId w:val="20"/>
        </w:numPr>
      </w:pPr>
      <w:r w:rsidRPr="00B01752">
        <w:t>Analysis of issuing countries</w:t>
      </w:r>
    </w:p>
    <w:p w14:paraId="416638BF" w14:textId="77777777" w:rsidR="00E41BE8" w:rsidRDefault="00E41BE8" w:rsidP="00E41BE8">
      <w:r w:rsidRPr="00B01752">
        <w:t xml:space="preserve">By utilizing Citespace software to conduct an analysis on the issuing countries of the 266 documents screened within the WOS literature library, Table </w:t>
      </w:r>
      <w:r>
        <w:t>S</w:t>
      </w:r>
      <w:r w:rsidRPr="00B01752">
        <w:t>1 reveals the top five nations with the greatest number of publications in the aforementioned field. Notably, China emerges as the frontrunner, having contributed 75 pertinent literature pieces concerning pollution remediation of target range sites. Furthermore, China exhibits a significant mediational centrality value of 0.33 within the network of countries, suggesting a stronger interconnectedness between its research and other nations.</w:t>
      </w:r>
      <w:r>
        <w:t xml:space="preserve"> </w:t>
      </w:r>
      <w:r w:rsidRPr="00DC27D2">
        <w:t>Fig</w:t>
      </w:r>
      <w:r>
        <w:t>ure.</w:t>
      </w:r>
      <w:r w:rsidRPr="00DC27D2">
        <w:t xml:space="preserve"> </w:t>
      </w:r>
      <w:r>
        <w:t xml:space="preserve">S1 </w:t>
      </w:r>
      <w:r w:rsidRPr="00DC27D2">
        <w:t>(a) presents a visualization of the measurement statistics pertaining to the countries and regions included in the study, revealing China's prominent position as the global frontrunner in this domain. The calculation results indicate a total of 62 participating countries and regions, with 86 connecting lines generated, suggesting a higher level of interconnectedness among nations in research within this field. In Fig</w:t>
      </w:r>
      <w:r>
        <w:t>ure.</w:t>
      </w:r>
      <w:r w:rsidRPr="00DC27D2">
        <w:t xml:space="preserve"> </w:t>
      </w:r>
      <w:r>
        <w:t xml:space="preserve">S1 </w:t>
      </w:r>
      <w:r w:rsidRPr="00DC27D2">
        <w:t>(b), the temporal evolution of China's scholarly output in this area is depicted, spanning from 2001 to the present.</w:t>
      </w:r>
      <w:r>
        <w:t xml:space="preserve"> </w:t>
      </w:r>
      <w:r w:rsidRPr="00DC27D2">
        <w:t>Since 2016, there has been a significant increase in the amount of literature in this field, and our research in this field is still in a phase of continuous development and exploration.</w:t>
      </w:r>
    </w:p>
    <w:p w14:paraId="099BBD39" w14:textId="77777777" w:rsidR="00E41BE8" w:rsidRDefault="00E41BE8" w:rsidP="00E41BE8">
      <w:pPr>
        <w:pStyle w:val="2"/>
        <w:numPr>
          <w:ilvl w:val="1"/>
          <w:numId w:val="20"/>
        </w:numPr>
      </w:pPr>
      <w:r w:rsidRPr="00E233DD">
        <w:t>Analysis of issuing organizations</w:t>
      </w:r>
    </w:p>
    <w:p w14:paraId="36B6F246" w14:textId="77777777" w:rsidR="00E41BE8" w:rsidRPr="00D57118" w:rsidRDefault="00E41BE8" w:rsidP="00E41BE8">
      <w:r w:rsidRPr="00307EA1">
        <w:t xml:space="preserve">A visual examination of the institutions that have published papers pertaining to target range contaminated </w:t>
      </w:r>
      <w:r w:rsidRPr="00D57118">
        <w:t>site remediation indicates the presence of 229 pertinent institutions in this field. These institutions collectively exhibit 173 connections between their nodes, resulting in a density value of 0.066 (Fig</w:t>
      </w:r>
      <w:r>
        <w:t>ure</w:t>
      </w:r>
      <w:r w:rsidRPr="00D57118">
        <w:t xml:space="preserve">. </w:t>
      </w:r>
      <w:r>
        <w:t>S2</w:t>
      </w:r>
      <w:r w:rsidRPr="00D57118">
        <w:t xml:space="preserve">). Notably, the Chinese Academy of Sciences leads the pack with 17 publications, followed by Kangwon National University (14 publications), Newcastle University (9 publications), Gifu University (8 publications), and Hong Kong Polytechnic University (8 publications) (Table </w:t>
      </w:r>
      <w:r>
        <w:t>S</w:t>
      </w:r>
      <w:r w:rsidRPr="00D57118">
        <w:t xml:space="preserve">2). </w:t>
      </w:r>
      <w:r w:rsidRPr="00D57118">
        <w:lastRenderedPageBreak/>
        <w:t>The Chinese Academy of Sciences (CAS) initiated its research in this domain in 2008, thereby highlighting China's prominent role in the field of target range site rehabilitation. The Hong Kong Polytechnic University exhibits a notable centrality in mapping, denoting its substantial publication output and influential articles within the field. Moreover, a collaborative network has been established among various institutions, with certain institutions displaying a strong interconnection due to their extensive publication contributions, thereby facilitating further research endeavors.</w:t>
      </w:r>
    </w:p>
    <w:p w14:paraId="2379349C" w14:textId="77777777" w:rsidR="00E41BE8" w:rsidRPr="00D57118" w:rsidRDefault="00E41BE8" w:rsidP="00E41BE8">
      <w:pPr>
        <w:pStyle w:val="2"/>
        <w:numPr>
          <w:ilvl w:val="1"/>
          <w:numId w:val="20"/>
        </w:numPr>
      </w:pPr>
      <w:r w:rsidRPr="00D57118">
        <w:t>Analysis of authors of publications</w:t>
      </w:r>
    </w:p>
    <w:p w14:paraId="7BE3FB97" w14:textId="77777777" w:rsidR="00E41BE8" w:rsidRDefault="00E41BE8" w:rsidP="00E41BE8">
      <w:r w:rsidRPr="00D57118">
        <w:t>The Citespace software was employed to visually represent and analyze the authors of publications within the domain of target range pollution remediation. Consequently, a visualization map illustrating author collaborations was generated (Fig</w:t>
      </w:r>
      <w:r>
        <w:t>ure</w:t>
      </w:r>
      <w:r w:rsidRPr="00D57118">
        <w:t xml:space="preserve">. </w:t>
      </w:r>
      <w:r>
        <w:t>S3</w:t>
      </w:r>
      <w:r w:rsidRPr="00D57118">
        <w:t>). A to</w:t>
      </w:r>
      <w:r w:rsidRPr="00D57118">
        <w:rPr>
          <w:rFonts w:hint="eastAsia"/>
        </w:rPr>
        <w:t xml:space="preserve">tal of 267 authors have contributed to published articles in this particular field. Notably, Yong Sik, Lee Sang Soo, and Ahmad Mahtab emerge as the three researchers with a publication count of </w:t>
      </w:r>
      <w:r w:rsidRPr="00D57118">
        <w:rPr>
          <w:rFonts w:cs="Times New Roman"/>
        </w:rPr>
        <w:t>≥</w:t>
      </w:r>
      <w:r w:rsidRPr="00D57118">
        <w:rPr>
          <w:rFonts w:hint="eastAsia"/>
        </w:rPr>
        <w:t xml:space="preserve"> 10, positioning them at the core of the field with significa</w:t>
      </w:r>
      <w:r w:rsidRPr="00D57118">
        <w:t>nt influence. A total of 160 connections were generat</w:t>
      </w:r>
      <w:r w:rsidRPr="002373F9">
        <w:t>ed between individual researchers, with a density of 0.0045. Authors with a high number of publications generated a certain amount of collaboration between them, but most of the researcher groups collaborated less with each other, and only intra-research group connections existed.</w:t>
      </w:r>
    </w:p>
    <w:p w14:paraId="7437D586" w14:textId="77777777" w:rsidR="00E41BE8" w:rsidRDefault="00E41BE8" w:rsidP="00E41BE8">
      <w:pPr>
        <w:pStyle w:val="2"/>
        <w:numPr>
          <w:ilvl w:val="1"/>
          <w:numId w:val="20"/>
        </w:numPr>
      </w:pPr>
      <w:r w:rsidRPr="00734E58">
        <w:t>Keyword Cluster Analysis</w:t>
      </w:r>
    </w:p>
    <w:p w14:paraId="1D0777AF" w14:textId="61259219" w:rsidR="00E41BE8" w:rsidRPr="00D57118" w:rsidRDefault="00E41BE8" w:rsidP="00E41BE8">
      <w:r w:rsidRPr="00D57118">
        <w:t>Cluster analysis of the keywords classified the search field keywords into 11 clusters such as #0 phytoremediation, #1 arbuscular mycorrhizal fungi, #2 shooting range soil, #3 contaminated soil, #4 soil contamination and so on. Cluster. The smaller the cluster number, the more keywords are included in the cluster. It is shown that phytoremediation is one of the more dominant classes of remediation in range contaminated site remediation studies. The links between the keyword modules are relatively strong. The results of the cluster analysis of the keywords show that the module value Q of the clusters is 0.5237, and the weighted average module value S is 0.8435, which indicates that the results of the cluster analysis are more credible and have certain reference value.</w:t>
      </w:r>
    </w:p>
    <w:p w14:paraId="6208D755" w14:textId="62020E55" w:rsidR="00E41BE8" w:rsidRDefault="00E41BE8" w:rsidP="002E21CF">
      <w:r w:rsidRPr="00D57118">
        <w:t>The top ten keyword clusters in the cluster analysis results were selected for timeline analysis (Fig</w:t>
      </w:r>
      <w:r>
        <w:t>ure</w:t>
      </w:r>
      <w:r w:rsidRPr="00D57118">
        <w:t xml:space="preserve">. </w:t>
      </w:r>
      <w:r>
        <w:t>S5</w:t>
      </w:r>
      <w:r w:rsidRPr="00D57118">
        <w:t xml:space="preserve">). The Q and S values obtained from the timeline analysis were 0.5723 and 0.8384, respectively, indicating a high level of credibility and reference value. The timeline analysis reveals that research on target range contaminated site remediation emerged in the early 21st century. Moreover, the </w:t>
      </w:r>
      <w:r w:rsidRPr="00FA6B23">
        <w:t>timeline graph effectively illustrates the evolution of research frontier topics in this field since 2001.</w:t>
      </w:r>
      <w:r>
        <w:t xml:space="preserve"> </w:t>
      </w:r>
      <w:r w:rsidRPr="00FA6B23">
        <w:t>In the field of range contaminated site remediation, the research areas of "phytoremediation", "microbial remediation", and "microbial migration" have gained significant popularity.</w:t>
      </w:r>
    </w:p>
    <w:p w14:paraId="6AC194CF" w14:textId="77777777" w:rsidR="00DD3B73" w:rsidRPr="002E21CF" w:rsidRDefault="00DD3B73" w:rsidP="002E21CF"/>
    <w:p w14:paraId="4916FCC9" w14:textId="5C383ED1" w:rsidR="00994A3D" w:rsidRDefault="00654E8F" w:rsidP="002E21CF">
      <w:pPr>
        <w:pStyle w:val="1"/>
        <w:rPr>
          <w:rFonts w:eastAsiaTheme="minorEastAsia"/>
          <w:lang w:eastAsia="zh-CN"/>
        </w:rPr>
      </w:pPr>
      <w:r w:rsidRPr="00994A3D">
        <w:t>Supplementary Figure</w:t>
      </w:r>
      <w:r w:rsidR="00351FAB" w:rsidRPr="00351FAB">
        <w:rPr>
          <w:rFonts w:eastAsiaTheme="minorEastAsia"/>
          <w:lang w:eastAsia="zh-CN"/>
        </w:rPr>
        <w:t>s</w:t>
      </w:r>
    </w:p>
    <w:p w14:paraId="3F54929D" w14:textId="6C027BB9" w:rsidR="00351FAB" w:rsidRDefault="00351FAB" w:rsidP="00045AA4">
      <w:pPr>
        <w:jc w:val="center"/>
        <w:rPr>
          <w:lang w:eastAsia="zh-CN"/>
        </w:rPr>
      </w:pPr>
      <w:r>
        <w:rPr>
          <w:noProof/>
          <w:lang w:eastAsia="zh-CN"/>
        </w:rPr>
        <w:lastRenderedPageBreak/>
        <w:drawing>
          <wp:inline distT="0" distB="0" distL="0" distR="0" wp14:anchorId="6B5B6C47" wp14:editId="4A66156D">
            <wp:extent cx="6045462" cy="2226624"/>
            <wp:effectExtent l="0" t="0" r="0" b="2540"/>
            <wp:docPr id="10072126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12626" name="图片 1007212626"/>
                    <pic:cNvPicPr/>
                  </pic:nvPicPr>
                  <pic:blipFill>
                    <a:blip r:embed="rId12" cstate="print">
                      <a:extLst>
                        <a:ext uri="{28A0092B-C50C-407E-A947-70E740481C1C}">
                          <a14:useLocalDpi xmlns:a14="http://schemas.microsoft.com/office/drawing/2010/main"/>
                        </a:ext>
                      </a:extLst>
                    </a:blip>
                    <a:stretch>
                      <a:fillRect/>
                    </a:stretch>
                  </pic:blipFill>
                  <pic:spPr>
                    <a:xfrm>
                      <a:off x="0" y="0"/>
                      <a:ext cx="6078227" cy="2238692"/>
                    </a:xfrm>
                    <a:prstGeom prst="rect">
                      <a:avLst/>
                    </a:prstGeom>
                  </pic:spPr>
                </pic:pic>
              </a:graphicData>
            </a:graphic>
          </wp:inline>
        </w:drawing>
      </w:r>
    </w:p>
    <w:p w14:paraId="74742971" w14:textId="6F49A232" w:rsidR="00351FAB" w:rsidRDefault="00351FAB" w:rsidP="00351FAB">
      <w:pPr>
        <w:rPr>
          <w:rFonts w:cs="Times New Roman"/>
          <w:b/>
          <w:szCs w:val="24"/>
        </w:rPr>
      </w:pPr>
      <w:r w:rsidRPr="0001436A">
        <w:rPr>
          <w:rFonts w:cs="Times New Roman"/>
          <w:b/>
          <w:szCs w:val="24"/>
        </w:rPr>
        <w:t>Supplementary Figure</w:t>
      </w:r>
      <w:r>
        <w:rPr>
          <w:rFonts w:cs="Times New Roman"/>
          <w:b/>
          <w:szCs w:val="24"/>
        </w:rPr>
        <w:t xml:space="preserve"> 1</w:t>
      </w:r>
      <w:r w:rsidRPr="0001436A">
        <w:rPr>
          <w:rFonts w:cs="Times New Roman"/>
          <w:b/>
          <w:szCs w:val="24"/>
        </w:rPr>
        <w:t>.</w:t>
      </w:r>
      <w:r>
        <w:rPr>
          <w:rFonts w:cs="Times New Roman"/>
          <w:b/>
          <w:szCs w:val="24"/>
        </w:rPr>
        <w:t xml:space="preserve"> </w:t>
      </w:r>
      <w:r w:rsidRPr="00351FAB">
        <w:rPr>
          <w:rFonts w:cs="Times New Roman"/>
          <w:bCs/>
          <w:szCs w:val="24"/>
        </w:rPr>
        <w:t>(a) Mapping of Countries with Publications in the Field of Remediation of Contaminated Sites at Target Ranges, 2001-2023 (b) Trend of Publications in China in the Field of Remediation of Contaminated Sites at Target Ranges Over the Years</w:t>
      </w:r>
    </w:p>
    <w:p w14:paraId="6AFFE2D2" w14:textId="292F5446" w:rsidR="00351FAB" w:rsidRDefault="00045AA4" w:rsidP="00045AA4">
      <w:pPr>
        <w:jc w:val="center"/>
        <w:rPr>
          <w:lang w:eastAsia="zh-CN"/>
        </w:rPr>
      </w:pPr>
      <w:r>
        <w:rPr>
          <w:rFonts w:hint="eastAsia"/>
          <w:noProof/>
          <w:lang w:eastAsia="zh-CN"/>
        </w:rPr>
        <w:drawing>
          <wp:inline distT="0" distB="0" distL="0" distR="0" wp14:anchorId="17C0B907" wp14:editId="44C0FB89">
            <wp:extent cx="5238334" cy="2743200"/>
            <wp:effectExtent l="0" t="0" r="635" b="0"/>
            <wp:docPr id="19385216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21636" name="图片 1938521636"/>
                    <pic:cNvPicPr/>
                  </pic:nvPicPr>
                  <pic:blipFill>
                    <a:blip r:embed="rId13">
                      <a:extLst>
                        <a:ext uri="{28A0092B-C50C-407E-A947-70E740481C1C}">
                          <a14:useLocalDpi xmlns:a14="http://schemas.microsoft.com/office/drawing/2010/main"/>
                        </a:ext>
                      </a:extLst>
                    </a:blip>
                    <a:stretch>
                      <a:fillRect/>
                    </a:stretch>
                  </pic:blipFill>
                  <pic:spPr>
                    <a:xfrm>
                      <a:off x="0" y="0"/>
                      <a:ext cx="5275649" cy="2762741"/>
                    </a:xfrm>
                    <a:prstGeom prst="rect">
                      <a:avLst/>
                    </a:prstGeom>
                  </pic:spPr>
                </pic:pic>
              </a:graphicData>
            </a:graphic>
          </wp:inline>
        </w:drawing>
      </w:r>
    </w:p>
    <w:p w14:paraId="4CE4E54A" w14:textId="66366812" w:rsidR="00045AA4" w:rsidRDefault="00045AA4" w:rsidP="00351FAB">
      <w:pPr>
        <w:rPr>
          <w:rFonts w:cs="Times New Roman"/>
          <w:bCs/>
          <w:szCs w:val="24"/>
        </w:rPr>
      </w:pPr>
      <w:r w:rsidRPr="0001436A">
        <w:rPr>
          <w:rFonts w:cs="Times New Roman"/>
          <w:b/>
          <w:szCs w:val="24"/>
        </w:rPr>
        <w:t>Supplementary Figure</w:t>
      </w:r>
      <w:r>
        <w:rPr>
          <w:rFonts w:cs="Times New Roman"/>
          <w:b/>
          <w:szCs w:val="24"/>
        </w:rPr>
        <w:t xml:space="preserve"> 2</w:t>
      </w:r>
      <w:r w:rsidRPr="0001436A">
        <w:rPr>
          <w:rFonts w:cs="Times New Roman"/>
          <w:b/>
          <w:szCs w:val="24"/>
        </w:rPr>
        <w:t>.</w:t>
      </w:r>
      <w:r>
        <w:rPr>
          <w:rFonts w:cs="Times New Roman"/>
          <w:b/>
          <w:szCs w:val="24"/>
        </w:rPr>
        <w:t xml:space="preserve"> </w:t>
      </w:r>
      <w:r w:rsidRPr="00045AA4">
        <w:rPr>
          <w:rFonts w:cs="Times New Roman"/>
          <w:bCs/>
          <w:szCs w:val="24"/>
        </w:rPr>
        <w:t>Mapping of Institutions Issuing Papers in the Field Related to Remediation of Contaminated Sites at Target Ranges, 2001-2023</w:t>
      </w:r>
    </w:p>
    <w:p w14:paraId="1CFE1957" w14:textId="616553D6" w:rsidR="00BA26D7" w:rsidRDefault="00A77633" w:rsidP="00A77633">
      <w:pPr>
        <w:jc w:val="center"/>
        <w:rPr>
          <w:rFonts w:cs="Times New Roman"/>
          <w:bCs/>
          <w:szCs w:val="24"/>
        </w:rPr>
      </w:pPr>
      <w:r>
        <w:rPr>
          <w:rFonts w:cs="Times New Roman"/>
          <w:bCs/>
          <w:noProof/>
          <w:szCs w:val="24"/>
        </w:rPr>
        <w:lastRenderedPageBreak/>
        <w:drawing>
          <wp:inline distT="0" distB="0" distL="0" distR="0" wp14:anchorId="074E1236" wp14:editId="5C86240A">
            <wp:extent cx="5723906" cy="3478135"/>
            <wp:effectExtent l="0" t="0" r="0" b="8255"/>
            <wp:docPr id="1662035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03532" name="图片 166203532"/>
                    <pic:cNvPicPr/>
                  </pic:nvPicPr>
                  <pic:blipFill>
                    <a:blip r:embed="rId14">
                      <a:extLst>
                        <a:ext uri="{28A0092B-C50C-407E-A947-70E740481C1C}">
                          <a14:useLocalDpi xmlns:a14="http://schemas.microsoft.com/office/drawing/2010/main"/>
                        </a:ext>
                      </a:extLst>
                    </a:blip>
                    <a:stretch>
                      <a:fillRect/>
                    </a:stretch>
                  </pic:blipFill>
                  <pic:spPr>
                    <a:xfrm>
                      <a:off x="0" y="0"/>
                      <a:ext cx="5727003" cy="3480017"/>
                    </a:xfrm>
                    <a:prstGeom prst="rect">
                      <a:avLst/>
                    </a:prstGeom>
                  </pic:spPr>
                </pic:pic>
              </a:graphicData>
            </a:graphic>
          </wp:inline>
        </w:drawing>
      </w:r>
    </w:p>
    <w:p w14:paraId="41B20454" w14:textId="366AE6EC" w:rsidR="00A77633" w:rsidRDefault="00A77633" w:rsidP="00A77633">
      <w:pPr>
        <w:rPr>
          <w:rFonts w:cs="Times New Roman"/>
          <w:bCs/>
          <w:szCs w:val="24"/>
        </w:rPr>
      </w:pPr>
      <w:r w:rsidRPr="0001436A">
        <w:rPr>
          <w:rFonts w:cs="Times New Roman"/>
          <w:b/>
          <w:szCs w:val="24"/>
        </w:rPr>
        <w:t>Supplementary Figure</w:t>
      </w:r>
      <w:r>
        <w:rPr>
          <w:rFonts w:cs="Times New Roman"/>
          <w:b/>
          <w:szCs w:val="24"/>
        </w:rPr>
        <w:t xml:space="preserve"> 3</w:t>
      </w:r>
      <w:r w:rsidRPr="0001436A">
        <w:rPr>
          <w:rFonts w:cs="Times New Roman"/>
          <w:b/>
          <w:szCs w:val="24"/>
        </w:rPr>
        <w:t>.</w:t>
      </w:r>
      <w:r>
        <w:rPr>
          <w:rFonts w:cs="Times New Roman"/>
          <w:b/>
          <w:szCs w:val="24"/>
        </w:rPr>
        <w:t xml:space="preserve"> </w:t>
      </w:r>
      <w:r w:rsidRPr="00A77633">
        <w:rPr>
          <w:rFonts w:cs="Times New Roman"/>
          <w:bCs/>
          <w:szCs w:val="24"/>
        </w:rPr>
        <w:t>Author mapping of publications in fields related to remediation of contaminated sites at ranges, 2001-2023</w:t>
      </w:r>
    </w:p>
    <w:p w14:paraId="361E8095" w14:textId="77777777" w:rsidR="00045AA4" w:rsidRDefault="00045AA4" w:rsidP="00351FAB">
      <w:pPr>
        <w:rPr>
          <w:lang w:eastAsia="zh-CN"/>
        </w:rPr>
      </w:pPr>
    </w:p>
    <w:p w14:paraId="0546AD9A" w14:textId="285BE590" w:rsidR="000E412B" w:rsidRDefault="000E412B" w:rsidP="00351FAB">
      <w:pPr>
        <w:rPr>
          <w:lang w:eastAsia="zh-CN"/>
        </w:rPr>
      </w:pPr>
      <w:r>
        <w:rPr>
          <w:rFonts w:hint="eastAsia"/>
          <w:noProof/>
          <w:lang w:eastAsia="zh-CN"/>
        </w:rPr>
        <w:drawing>
          <wp:inline distT="0" distB="0" distL="0" distR="0" wp14:anchorId="68827EEE" wp14:editId="009386FD">
            <wp:extent cx="6208395" cy="3310890"/>
            <wp:effectExtent l="0" t="0" r="1905" b="3810"/>
            <wp:docPr id="9930080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08063" name="图片 993008063"/>
                    <pic:cNvPicPr/>
                  </pic:nvPicPr>
                  <pic:blipFill>
                    <a:blip r:embed="rId15">
                      <a:extLst>
                        <a:ext uri="{28A0092B-C50C-407E-A947-70E740481C1C}">
                          <a14:useLocalDpi xmlns:a14="http://schemas.microsoft.com/office/drawing/2010/main"/>
                        </a:ext>
                      </a:extLst>
                    </a:blip>
                    <a:stretch>
                      <a:fillRect/>
                    </a:stretch>
                  </pic:blipFill>
                  <pic:spPr>
                    <a:xfrm>
                      <a:off x="0" y="0"/>
                      <a:ext cx="6208395" cy="3310890"/>
                    </a:xfrm>
                    <a:prstGeom prst="rect">
                      <a:avLst/>
                    </a:prstGeom>
                  </pic:spPr>
                </pic:pic>
              </a:graphicData>
            </a:graphic>
          </wp:inline>
        </w:drawing>
      </w:r>
    </w:p>
    <w:p w14:paraId="11EC8DA1" w14:textId="7BF02C95" w:rsidR="00994A3D" w:rsidRPr="000E412B" w:rsidRDefault="000E412B" w:rsidP="000E412B">
      <w:pPr>
        <w:rPr>
          <w:rFonts w:cs="Times New Roman"/>
          <w:bCs/>
          <w:szCs w:val="24"/>
        </w:rPr>
      </w:pPr>
      <w:r w:rsidRPr="0001436A">
        <w:rPr>
          <w:rFonts w:cs="Times New Roman"/>
          <w:b/>
          <w:szCs w:val="24"/>
        </w:rPr>
        <w:t>Supplementary Figure</w:t>
      </w:r>
      <w:r>
        <w:rPr>
          <w:rFonts w:cs="Times New Roman"/>
          <w:b/>
          <w:szCs w:val="24"/>
        </w:rPr>
        <w:t xml:space="preserve"> </w:t>
      </w:r>
      <w:r w:rsidR="00CB5842">
        <w:rPr>
          <w:rFonts w:cs="Times New Roman"/>
          <w:b/>
          <w:szCs w:val="24"/>
        </w:rPr>
        <w:t>4</w:t>
      </w:r>
      <w:r w:rsidRPr="0001436A">
        <w:rPr>
          <w:rFonts w:cs="Times New Roman"/>
          <w:b/>
          <w:szCs w:val="24"/>
        </w:rPr>
        <w:t>.</w:t>
      </w:r>
      <w:r>
        <w:rPr>
          <w:rFonts w:cs="Times New Roman"/>
          <w:b/>
          <w:szCs w:val="24"/>
        </w:rPr>
        <w:t xml:space="preserve"> </w:t>
      </w:r>
      <w:r w:rsidRPr="000E412B">
        <w:rPr>
          <w:rFonts w:cs="Times New Roman"/>
          <w:bCs/>
          <w:szCs w:val="24"/>
        </w:rPr>
        <w:t>Keyword clustering time line graph of literature related to the remediation of contaminated sites at the range, 2001-2023</w:t>
      </w:r>
    </w:p>
    <w:p w14:paraId="2D6A734D" w14:textId="67D62EB5" w:rsidR="00094E10" w:rsidRDefault="00094E10" w:rsidP="00094E10">
      <w:pPr>
        <w:pStyle w:val="1"/>
      </w:pPr>
      <w:r w:rsidRPr="00994A3D">
        <w:lastRenderedPageBreak/>
        <w:t>Supplementary Tables</w:t>
      </w:r>
    </w:p>
    <w:p w14:paraId="4F870F8E" w14:textId="1D6E1B06" w:rsidR="00461E75" w:rsidRPr="00461E75" w:rsidRDefault="00461E75" w:rsidP="00461E75">
      <w:pPr>
        <w:spacing w:line="276" w:lineRule="auto"/>
        <w:rPr>
          <w:rFonts w:eastAsia="宋体" w:cs="Times New Roman"/>
          <w:kern w:val="2"/>
          <w:sz w:val="21"/>
          <w:szCs w:val="21"/>
          <w:lang w:eastAsia="zh-CN"/>
        </w:rPr>
      </w:pPr>
      <w:r w:rsidRPr="0001436A">
        <w:rPr>
          <w:rFonts w:cs="Times New Roman"/>
          <w:b/>
          <w:szCs w:val="24"/>
        </w:rPr>
        <w:t>Supplementary</w:t>
      </w:r>
      <w:r w:rsidRPr="0021610F">
        <w:rPr>
          <w:rFonts w:hint="eastAsia"/>
          <w:b/>
          <w:bCs/>
        </w:rPr>
        <w:t xml:space="preserve"> Table</w:t>
      </w:r>
      <w:r w:rsidRPr="0021610F">
        <w:rPr>
          <w:b/>
          <w:bCs/>
        </w:rPr>
        <w:t xml:space="preserve"> </w:t>
      </w:r>
      <w:r>
        <w:rPr>
          <w:b/>
          <w:bCs/>
        </w:rPr>
        <w:t>1</w:t>
      </w:r>
      <w:r w:rsidRPr="00461E75">
        <w:rPr>
          <w:rFonts w:eastAsia="宋体" w:cs="Times New Roman"/>
          <w:kern w:val="2"/>
          <w:sz w:val="21"/>
          <w:szCs w:val="21"/>
          <w:lang w:eastAsia="zh-CN"/>
        </w:rPr>
        <w:t xml:space="preserve"> Top five countries and regions with the highest number of publications in fields related to contamination remediation of contaminated sites at ranges, 2001-2023</w:t>
      </w:r>
    </w:p>
    <w:tbl>
      <w:tblPr>
        <w:tblW w:w="5000" w:type="pct"/>
        <w:jc w:val="center"/>
        <w:tblLook w:val="04A0" w:firstRow="1" w:lastRow="0" w:firstColumn="1" w:lastColumn="0" w:noHBand="0" w:noVBand="1"/>
      </w:tblPr>
      <w:tblGrid>
        <w:gridCol w:w="1693"/>
        <w:gridCol w:w="2556"/>
        <w:gridCol w:w="1496"/>
        <w:gridCol w:w="4032"/>
      </w:tblGrid>
      <w:tr w:rsidR="00461E75" w:rsidRPr="00461E75" w14:paraId="22054FB2" w14:textId="77777777" w:rsidTr="00AC3BCA">
        <w:trPr>
          <w:trHeight w:val="278"/>
          <w:jc w:val="center"/>
        </w:trPr>
        <w:tc>
          <w:tcPr>
            <w:tcW w:w="866" w:type="pct"/>
            <w:tcBorders>
              <w:top w:val="single" w:sz="8" w:space="0" w:color="auto"/>
              <w:left w:val="nil"/>
              <w:bottom w:val="single" w:sz="4" w:space="0" w:color="auto"/>
              <w:right w:val="nil"/>
            </w:tcBorders>
            <w:shd w:val="clear" w:color="auto" w:fill="auto"/>
            <w:noWrap/>
            <w:vAlign w:val="center"/>
            <w:hideMark/>
          </w:tcPr>
          <w:p w14:paraId="0B6CAA28" w14:textId="77777777" w:rsidR="00461E75" w:rsidRPr="00461E75" w:rsidRDefault="00461E75" w:rsidP="00461E75">
            <w:pPr>
              <w:spacing w:before="0" w:after="0"/>
              <w:jc w:val="center"/>
              <w:rPr>
                <w:rFonts w:eastAsia="等线" w:cs="Times New Roman"/>
                <w:b/>
                <w:bCs/>
                <w:color w:val="000000"/>
                <w:sz w:val="22"/>
                <w:lang w:eastAsia="zh-CN"/>
              </w:rPr>
            </w:pPr>
            <w:r w:rsidRPr="00461E75">
              <w:rPr>
                <w:rFonts w:eastAsia="等线" w:cs="Times New Roman"/>
                <w:b/>
                <w:bCs/>
                <w:color w:val="000000"/>
                <w:sz w:val="22"/>
                <w:lang w:eastAsia="zh-CN"/>
              </w:rPr>
              <w:t>Count</w:t>
            </w:r>
          </w:p>
        </w:tc>
        <w:tc>
          <w:tcPr>
            <w:tcW w:w="1307" w:type="pct"/>
            <w:tcBorders>
              <w:top w:val="single" w:sz="8" w:space="0" w:color="auto"/>
              <w:left w:val="nil"/>
              <w:bottom w:val="single" w:sz="4" w:space="0" w:color="auto"/>
              <w:right w:val="nil"/>
            </w:tcBorders>
            <w:shd w:val="clear" w:color="auto" w:fill="auto"/>
            <w:noWrap/>
            <w:vAlign w:val="center"/>
            <w:hideMark/>
          </w:tcPr>
          <w:p w14:paraId="62C885C3" w14:textId="77777777" w:rsidR="00461E75" w:rsidRPr="00461E75" w:rsidRDefault="00461E75" w:rsidP="00461E75">
            <w:pPr>
              <w:spacing w:before="0" w:after="0"/>
              <w:jc w:val="center"/>
              <w:rPr>
                <w:rFonts w:eastAsia="等线" w:cs="Times New Roman"/>
                <w:b/>
                <w:bCs/>
                <w:color w:val="000000"/>
                <w:sz w:val="22"/>
                <w:lang w:eastAsia="zh-CN"/>
              </w:rPr>
            </w:pPr>
            <w:r w:rsidRPr="00461E75">
              <w:rPr>
                <w:rFonts w:eastAsia="等线" w:cs="Times New Roman"/>
                <w:b/>
                <w:bCs/>
                <w:color w:val="000000"/>
                <w:sz w:val="22"/>
                <w:lang w:eastAsia="zh-CN"/>
              </w:rPr>
              <w:t>Centrality</w:t>
            </w:r>
          </w:p>
        </w:tc>
        <w:tc>
          <w:tcPr>
            <w:tcW w:w="765" w:type="pct"/>
            <w:tcBorders>
              <w:top w:val="single" w:sz="8" w:space="0" w:color="auto"/>
              <w:left w:val="nil"/>
              <w:bottom w:val="single" w:sz="4" w:space="0" w:color="auto"/>
              <w:right w:val="nil"/>
            </w:tcBorders>
            <w:shd w:val="clear" w:color="auto" w:fill="auto"/>
            <w:noWrap/>
            <w:vAlign w:val="center"/>
            <w:hideMark/>
          </w:tcPr>
          <w:p w14:paraId="41C083C0" w14:textId="77777777" w:rsidR="00461E75" w:rsidRPr="00461E75" w:rsidRDefault="00461E75" w:rsidP="00461E75">
            <w:pPr>
              <w:spacing w:before="0" w:after="0"/>
              <w:jc w:val="center"/>
              <w:rPr>
                <w:rFonts w:eastAsia="等线" w:cs="Times New Roman"/>
                <w:b/>
                <w:bCs/>
                <w:color w:val="000000"/>
                <w:sz w:val="22"/>
                <w:lang w:eastAsia="zh-CN"/>
              </w:rPr>
            </w:pPr>
            <w:r w:rsidRPr="00461E75">
              <w:rPr>
                <w:rFonts w:eastAsia="等线" w:cs="Times New Roman"/>
                <w:b/>
                <w:bCs/>
                <w:color w:val="000000"/>
                <w:sz w:val="22"/>
                <w:lang w:eastAsia="zh-CN"/>
              </w:rPr>
              <w:t>Year</w:t>
            </w:r>
          </w:p>
        </w:tc>
        <w:tc>
          <w:tcPr>
            <w:tcW w:w="2062" w:type="pct"/>
            <w:tcBorders>
              <w:top w:val="single" w:sz="8" w:space="0" w:color="auto"/>
              <w:left w:val="nil"/>
              <w:bottom w:val="single" w:sz="4" w:space="0" w:color="auto"/>
              <w:right w:val="nil"/>
            </w:tcBorders>
            <w:shd w:val="clear" w:color="auto" w:fill="auto"/>
            <w:vAlign w:val="center"/>
            <w:hideMark/>
          </w:tcPr>
          <w:p w14:paraId="118B2489" w14:textId="77777777" w:rsidR="00461E75" w:rsidRPr="00461E75" w:rsidRDefault="00461E75" w:rsidP="00461E75">
            <w:pPr>
              <w:spacing w:before="0" w:after="0"/>
              <w:jc w:val="center"/>
              <w:rPr>
                <w:rFonts w:eastAsia="等线" w:cs="Times New Roman"/>
                <w:b/>
                <w:bCs/>
                <w:color w:val="000000"/>
                <w:sz w:val="22"/>
                <w:lang w:eastAsia="zh-CN"/>
              </w:rPr>
            </w:pPr>
            <w:r w:rsidRPr="00461E75">
              <w:rPr>
                <w:rFonts w:eastAsia="等线" w:cs="Times New Roman"/>
                <w:b/>
                <w:bCs/>
                <w:color w:val="000000"/>
                <w:sz w:val="22"/>
                <w:lang w:eastAsia="zh-CN"/>
              </w:rPr>
              <w:t>C</w:t>
            </w:r>
            <w:r w:rsidRPr="00461E75">
              <w:rPr>
                <w:rFonts w:eastAsia="等线" w:cs="Times New Roman" w:hint="eastAsia"/>
                <w:b/>
                <w:bCs/>
                <w:color w:val="000000"/>
                <w:sz w:val="22"/>
                <w:lang w:eastAsia="zh-CN"/>
              </w:rPr>
              <w:t>ou</w:t>
            </w:r>
            <w:r w:rsidRPr="00461E75">
              <w:rPr>
                <w:rFonts w:eastAsia="等线" w:cs="Times New Roman"/>
                <w:b/>
                <w:bCs/>
                <w:color w:val="000000"/>
                <w:sz w:val="22"/>
                <w:lang w:eastAsia="zh-CN"/>
              </w:rPr>
              <w:t>ntry</w:t>
            </w:r>
          </w:p>
        </w:tc>
      </w:tr>
      <w:tr w:rsidR="00461E75" w:rsidRPr="00461E75" w14:paraId="50B027D7" w14:textId="77777777" w:rsidTr="00AC3BCA">
        <w:trPr>
          <w:trHeight w:val="278"/>
          <w:jc w:val="center"/>
        </w:trPr>
        <w:tc>
          <w:tcPr>
            <w:tcW w:w="866" w:type="pct"/>
            <w:tcBorders>
              <w:top w:val="single" w:sz="4" w:space="0" w:color="auto"/>
              <w:left w:val="nil"/>
              <w:bottom w:val="nil"/>
              <w:right w:val="nil"/>
            </w:tcBorders>
            <w:shd w:val="clear" w:color="auto" w:fill="auto"/>
            <w:hideMark/>
          </w:tcPr>
          <w:p w14:paraId="40CF34C8"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75</w:t>
            </w:r>
          </w:p>
        </w:tc>
        <w:tc>
          <w:tcPr>
            <w:tcW w:w="1307" w:type="pct"/>
            <w:tcBorders>
              <w:top w:val="single" w:sz="4" w:space="0" w:color="auto"/>
              <w:left w:val="nil"/>
              <w:bottom w:val="nil"/>
              <w:right w:val="nil"/>
            </w:tcBorders>
            <w:shd w:val="clear" w:color="auto" w:fill="auto"/>
            <w:hideMark/>
          </w:tcPr>
          <w:p w14:paraId="6828C3AE"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0.33</w:t>
            </w:r>
          </w:p>
        </w:tc>
        <w:tc>
          <w:tcPr>
            <w:tcW w:w="765" w:type="pct"/>
            <w:tcBorders>
              <w:top w:val="single" w:sz="4" w:space="0" w:color="auto"/>
              <w:left w:val="nil"/>
              <w:bottom w:val="nil"/>
              <w:right w:val="nil"/>
            </w:tcBorders>
            <w:shd w:val="clear" w:color="auto" w:fill="auto"/>
            <w:hideMark/>
          </w:tcPr>
          <w:p w14:paraId="7EE7E10B"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2005</w:t>
            </w:r>
          </w:p>
        </w:tc>
        <w:tc>
          <w:tcPr>
            <w:tcW w:w="2062" w:type="pct"/>
            <w:tcBorders>
              <w:top w:val="single" w:sz="4" w:space="0" w:color="auto"/>
              <w:left w:val="nil"/>
              <w:bottom w:val="nil"/>
              <w:right w:val="nil"/>
            </w:tcBorders>
            <w:shd w:val="clear" w:color="auto" w:fill="auto"/>
            <w:hideMark/>
          </w:tcPr>
          <w:p w14:paraId="20B16659"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China</w:t>
            </w:r>
          </w:p>
        </w:tc>
      </w:tr>
      <w:tr w:rsidR="00461E75" w:rsidRPr="00461E75" w14:paraId="250BF19F" w14:textId="77777777" w:rsidTr="00AC3BCA">
        <w:trPr>
          <w:trHeight w:val="278"/>
          <w:jc w:val="center"/>
        </w:trPr>
        <w:tc>
          <w:tcPr>
            <w:tcW w:w="866" w:type="pct"/>
            <w:tcBorders>
              <w:top w:val="nil"/>
              <w:left w:val="nil"/>
              <w:bottom w:val="nil"/>
              <w:right w:val="nil"/>
            </w:tcBorders>
            <w:shd w:val="clear" w:color="auto" w:fill="auto"/>
            <w:hideMark/>
          </w:tcPr>
          <w:p w14:paraId="10F55633"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44</w:t>
            </w:r>
          </w:p>
        </w:tc>
        <w:tc>
          <w:tcPr>
            <w:tcW w:w="1307" w:type="pct"/>
            <w:tcBorders>
              <w:top w:val="nil"/>
              <w:left w:val="nil"/>
              <w:bottom w:val="nil"/>
              <w:right w:val="nil"/>
            </w:tcBorders>
            <w:shd w:val="clear" w:color="auto" w:fill="auto"/>
            <w:hideMark/>
          </w:tcPr>
          <w:p w14:paraId="2EF89601"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0.07</w:t>
            </w:r>
          </w:p>
        </w:tc>
        <w:tc>
          <w:tcPr>
            <w:tcW w:w="765" w:type="pct"/>
            <w:tcBorders>
              <w:top w:val="nil"/>
              <w:left w:val="nil"/>
              <w:bottom w:val="nil"/>
              <w:right w:val="nil"/>
            </w:tcBorders>
            <w:shd w:val="clear" w:color="auto" w:fill="auto"/>
            <w:hideMark/>
          </w:tcPr>
          <w:p w14:paraId="119F760A"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2002</w:t>
            </w:r>
          </w:p>
        </w:tc>
        <w:tc>
          <w:tcPr>
            <w:tcW w:w="2062" w:type="pct"/>
            <w:tcBorders>
              <w:top w:val="nil"/>
              <w:left w:val="nil"/>
              <w:bottom w:val="nil"/>
              <w:right w:val="nil"/>
            </w:tcBorders>
            <w:shd w:val="clear" w:color="auto" w:fill="auto"/>
            <w:hideMark/>
          </w:tcPr>
          <w:p w14:paraId="2D8010A9"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USA</w:t>
            </w:r>
          </w:p>
        </w:tc>
      </w:tr>
      <w:tr w:rsidR="00461E75" w:rsidRPr="00461E75" w14:paraId="7C4AF30D" w14:textId="77777777" w:rsidTr="00AC3BCA">
        <w:trPr>
          <w:trHeight w:val="278"/>
          <w:jc w:val="center"/>
        </w:trPr>
        <w:tc>
          <w:tcPr>
            <w:tcW w:w="866" w:type="pct"/>
            <w:tcBorders>
              <w:top w:val="nil"/>
              <w:left w:val="nil"/>
              <w:bottom w:val="nil"/>
              <w:right w:val="nil"/>
            </w:tcBorders>
            <w:shd w:val="clear" w:color="auto" w:fill="auto"/>
            <w:hideMark/>
          </w:tcPr>
          <w:p w14:paraId="56412C83"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35</w:t>
            </w:r>
          </w:p>
        </w:tc>
        <w:tc>
          <w:tcPr>
            <w:tcW w:w="1307" w:type="pct"/>
            <w:tcBorders>
              <w:top w:val="nil"/>
              <w:left w:val="nil"/>
              <w:bottom w:val="nil"/>
              <w:right w:val="nil"/>
            </w:tcBorders>
            <w:shd w:val="clear" w:color="auto" w:fill="auto"/>
            <w:hideMark/>
          </w:tcPr>
          <w:p w14:paraId="1D558FEF"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0.25</w:t>
            </w:r>
          </w:p>
        </w:tc>
        <w:tc>
          <w:tcPr>
            <w:tcW w:w="765" w:type="pct"/>
            <w:tcBorders>
              <w:top w:val="nil"/>
              <w:left w:val="nil"/>
              <w:bottom w:val="nil"/>
              <w:right w:val="nil"/>
            </w:tcBorders>
            <w:shd w:val="clear" w:color="auto" w:fill="auto"/>
            <w:hideMark/>
          </w:tcPr>
          <w:p w14:paraId="767F7E57"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2005</w:t>
            </w:r>
          </w:p>
        </w:tc>
        <w:tc>
          <w:tcPr>
            <w:tcW w:w="2062" w:type="pct"/>
            <w:tcBorders>
              <w:top w:val="nil"/>
              <w:left w:val="nil"/>
              <w:bottom w:val="nil"/>
              <w:right w:val="nil"/>
            </w:tcBorders>
            <w:shd w:val="clear" w:color="auto" w:fill="auto"/>
            <w:hideMark/>
          </w:tcPr>
          <w:p w14:paraId="141ECA7E"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South Korea</w:t>
            </w:r>
          </w:p>
        </w:tc>
      </w:tr>
      <w:tr w:rsidR="00461E75" w:rsidRPr="00461E75" w14:paraId="7A0FD8E5" w14:textId="77777777" w:rsidTr="00AC3BCA">
        <w:trPr>
          <w:trHeight w:val="278"/>
          <w:jc w:val="center"/>
        </w:trPr>
        <w:tc>
          <w:tcPr>
            <w:tcW w:w="866" w:type="pct"/>
            <w:tcBorders>
              <w:top w:val="nil"/>
              <w:left w:val="nil"/>
              <w:bottom w:val="nil"/>
              <w:right w:val="nil"/>
            </w:tcBorders>
            <w:shd w:val="clear" w:color="auto" w:fill="auto"/>
            <w:hideMark/>
          </w:tcPr>
          <w:p w14:paraId="625B2B2A"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19</w:t>
            </w:r>
          </w:p>
        </w:tc>
        <w:tc>
          <w:tcPr>
            <w:tcW w:w="1307" w:type="pct"/>
            <w:tcBorders>
              <w:top w:val="nil"/>
              <w:left w:val="nil"/>
              <w:bottom w:val="nil"/>
              <w:right w:val="nil"/>
            </w:tcBorders>
            <w:shd w:val="clear" w:color="auto" w:fill="auto"/>
            <w:hideMark/>
          </w:tcPr>
          <w:p w14:paraId="5E93C465"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0.07</w:t>
            </w:r>
          </w:p>
        </w:tc>
        <w:tc>
          <w:tcPr>
            <w:tcW w:w="765" w:type="pct"/>
            <w:tcBorders>
              <w:top w:val="nil"/>
              <w:left w:val="nil"/>
              <w:bottom w:val="nil"/>
              <w:right w:val="nil"/>
            </w:tcBorders>
            <w:shd w:val="clear" w:color="auto" w:fill="auto"/>
            <w:hideMark/>
          </w:tcPr>
          <w:p w14:paraId="65E2443C"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2010</w:t>
            </w:r>
          </w:p>
        </w:tc>
        <w:tc>
          <w:tcPr>
            <w:tcW w:w="2062" w:type="pct"/>
            <w:tcBorders>
              <w:top w:val="nil"/>
              <w:left w:val="nil"/>
              <w:bottom w:val="nil"/>
              <w:right w:val="nil"/>
            </w:tcBorders>
            <w:shd w:val="clear" w:color="auto" w:fill="auto"/>
            <w:hideMark/>
          </w:tcPr>
          <w:p w14:paraId="3460A111"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Australia</w:t>
            </w:r>
          </w:p>
        </w:tc>
      </w:tr>
      <w:tr w:rsidR="00461E75" w:rsidRPr="00461E75" w14:paraId="2EDF178B" w14:textId="77777777" w:rsidTr="00AC3BCA">
        <w:trPr>
          <w:trHeight w:val="278"/>
          <w:jc w:val="center"/>
        </w:trPr>
        <w:tc>
          <w:tcPr>
            <w:tcW w:w="866" w:type="pct"/>
            <w:tcBorders>
              <w:top w:val="nil"/>
              <w:left w:val="nil"/>
              <w:bottom w:val="single" w:sz="8" w:space="0" w:color="auto"/>
              <w:right w:val="nil"/>
            </w:tcBorders>
            <w:shd w:val="clear" w:color="auto" w:fill="auto"/>
            <w:hideMark/>
          </w:tcPr>
          <w:p w14:paraId="4D00D395"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18</w:t>
            </w:r>
          </w:p>
        </w:tc>
        <w:tc>
          <w:tcPr>
            <w:tcW w:w="1307" w:type="pct"/>
            <w:tcBorders>
              <w:top w:val="nil"/>
              <w:left w:val="nil"/>
              <w:bottom w:val="single" w:sz="8" w:space="0" w:color="auto"/>
              <w:right w:val="nil"/>
            </w:tcBorders>
            <w:shd w:val="clear" w:color="auto" w:fill="auto"/>
            <w:hideMark/>
          </w:tcPr>
          <w:p w14:paraId="33C1E7DA"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0.04</w:t>
            </w:r>
          </w:p>
        </w:tc>
        <w:tc>
          <w:tcPr>
            <w:tcW w:w="765" w:type="pct"/>
            <w:tcBorders>
              <w:top w:val="nil"/>
              <w:left w:val="nil"/>
              <w:bottom w:val="single" w:sz="8" w:space="0" w:color="auto"/>
              <w:right w:val="nil"/>
            </w:tcBorders>
            <w:shd w:val="clear" w:color="auto" w:fill="auto"/>
            <w:hideMark/>
          </w:tcPr>
          <w:p w14:paraId="30E85F2D"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2009</w:t>
            </w:r>
          </w:p>
        </w:tc>
        <w:tc>
          <w:tcPr>
            <w:tcW w:w="2062" w:type="pct"/>
            <w:tcBorders>
              <w:top w:val="nil"/>
              <w:left w:val="nil"/>
              <w:bottom w:val="single" w:sz="8" w:space="0" w:color="auto"/>
              <w:right w:val="nil"/>
            </w:tcBorders>
            <w:shd w:val="clear" w:color="auto" w:fill="auto"/>
            <w:hideMark/>
          </w:tcPr>
          <w:p w14:paraId="5D98180A"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Japan</w:t>
            </w:r>
          </w:p>
        </w:tc>
      </w:tr>
    </w:tbl>
    <w:p w14:paraId="7C1CF0F7" w14:textId="77777777" w:rsidR="00461E75" w:rsidRDefault="00461E75" w:rsidP="00461E75">
      <w:pPr>
        <w:widowControl w:val="0"/>
        <w:spacing w:before="0" w:after="0" w:line="276" w:lineRule="auto"/>
        <w:rPr>
          <w:rFonts w:cs="Times New Roman"/>
          <w:b/>
          <w:szCs w:val="24"/>
        </w:rPr>
      </w:pPr>
      <w:bookmarkStart w:id="0" w:name="_Hlk152880210"/>
    </w:p>
    <w:p w14:paraId="750E0E19" w14:textId="3A662818" w:rsidR="00461E75" w:rsidRPr="00461E75" w:rsidRDefault="00461E75" w:rsidP="00461E75">
      <w:pPr>
        <w:widowControl w:val="0"/>
        <w:spacing w:before="0" w:after="0" w:line="276" w:lineRule="auto"/>
        <w:rPr>
          <w:rFonts w:eastAsia="宋体" w:cs="Times New Roman"/>
          <w:kern w:val="2"/>
          <w:sz w:val="21"/>
          <w:szCs w:val="21"/>
          <w:lang w:eastAsia="zh-CN"/>
        </w:rPr>
      </w:pPr>
      <w:r w:rsidRPr="0001436A">
        <w:rPr>
          <w:rFonts w:cs="Times New Roman"/>
          <w:b/>
          <w:szCs w:val="24"/>
        </w:rPr>
        <w:t>Supplementary</w:t>
      </w:r>
      <w:r w:rsidRPr="0021610F">
        <w:rPr>
          <w:rFonts w:hint="eastAsia"/>
          <w:b/>
          <w:bCs/>
        </w:rPr>
        <w:t xml:space="preserve"> Table</w:t>
      </w:r>
      <w:r w:rsidRPr="00461E75">
        <w:rPr>
          <w:rFonts w:eastAsia="宋体" w:cs="Times New Roman"/>
          <w:b/>
          <w:bCs/>
          <w:kern w:val="2"/>
          <w:szCs w:val="24"/>
          <w:lang w:eastAsia="zh-CN"/>
        </w:rPr>
        <w:t xml:space="preserve"> 2</w:t>
      </w:r>
      <w:r w:rsidRPr="00461E75">
        <w:rPr>
          <w:rFonts w:eastAsia="宋体" w:cs="Times New Roman"/>
          <w:kern w:val="2"/>
          <w:sz w:val="21"/>
          <w:szCs w:val="21"/>
          <w:lang w:eastAsia="zh-CN"/>
        </w:rPr>
        <w:t xml:space="preserve"> Top Five Issuing Organizations with the Largest Number of Published Literature in the Field Related to Pollution Remediation of Contaminated Sites at Target Ranges, 2001-2023</w:t>
      </w:r>
    </w:p>
    <w:tbl>
      <w:tblPr>
        <w:tblW w:w="5000" w:type="pct"/>
        <w:jc w:val="center"/>
        <w:tblLook w:val="04A0" w:firstRow="1" w:lastRow="0" w:firstColumn="1" w:lastColumn="0" w:noHBand="0" w:noVBand="1"/>
      </w:tblPr>
      <w:tblGrid>
        <w:gridCol w:w="1693"/>
        <w:gridCol w:w="2556"/>
        <w:gridCol w:w="1496"/>
        <w:gridCol w:w="4032"/>
      </w:tblGrid>
      <w:tr w:rsidR="00461E75" w:rsidRPr="00461E75" w14:paraId="4414D179" w14:textId="77777777" w:rsidTr="00AC3BCA">
        <w:trPr>
          <w:trHeight w:val="278"/>
          <w:jc w:val="center"/>
        </w:trPr>
        <w:tc>
          <w:tcPr>
            <w:tcW w:w="866" w:type="pct"/>
            <w:tcBorders>
              <w:top w:val="single" w:sz="8" w:space="0" w:color="auto"/>
              <w:left w:val="nil"/>
              <w:bottom w:val="single" w:sz="4" w:space="0" w:color="auto"/>
              <w:right w:val="nil"/>
            </w:tcBorders>
            <w:shd w:val="clear" w:color="auto" w:fill="auto"/>
            <w:noWrap/>
            <w:vAlign w:val="center"/>
            <w:hideMark/>
          </w:tcPr>
          <w:p w14:paraId="373FD8BB" w14:textId="77777777" w:rsidR="00461E75" w:rsidRPr="00461E75" w:rsidRDefault="00461E75" w:rsidP="00461E75">
            <w:pPr>
              <w:spacing w:before="0" w:after="0"/>
              <w:jc w:val="center"/>
              <w:rPr>
                <w:rFonts w:eastAsia="等线" w:cs="Times New Roman"/>
                <w:b/>
                <w:bCs/>
                <w:color w:val="000000"/>
                <w:sz w:val="22"/>
                <w:lang w:eastAsia="zh-CN"/>
              </w:rPr>
            </w:pPr>
            <w:r w:rsidRPr="00461E75">
              <w:rPr>
                <w:rFonts w:eastAsia="宋体" w:cs="Times New Roman"/>
                <w:b/>
                <w:bCs/>
                <w:kern w:val="2"/>
                <w:lang w:eastAsia="zh-CN"/>
              </w:rPr>
              <w:t>Count</w:t>
            </w:r>
          </w:p>
        </w:tc>
        <w:tc>
          <w:tcPr>
            <w:tcW w:w="1307" w:type="pct"/>
            <w:tcBorders>
              <w:top w:val="single" w:sz="8" w:space="0" w:color="auto"/>
              <w:left w:val="nil"/>
              <w:bottom w:val="single" w:sz="4" w:space="0" w:color="auto"/>
              <w:right w:val="nil"/>
            </w:tcBorders>
            <w:shd w:val="clear" w:color="auto" w:fill="auto"/>
            <w:noWrap/>
            <w:vAlign w:val="center"/>
            <w:hideMark/>
          </w:tcPr>
          <w:p w14:paraId="276A5D52" w14:textId="77777777" w:rsidR="00461E75" w:rsidRPr="00461E75" w:rsidRDefault="00461E75" w:rsidP="00461E75">
            <w:pPr>
              <w:spacing w:before="0" w:after="0"/>
              <w:jc w:val="center"/>
              <w:rPr>
                <w:rFonts w:eastAsia="等线" w:cs="Times New Roman"/>
                <w:b/>
                <w:bCs/>
                <w:color w:val="000000"/>
                <w:sz w:val="22"/>
                <w:lang w:eastAsia="zh-CN"/>
              </w:rPr>
            </w:pPr>
            <w:r w:rsidRPr="00461E75">
              <w:rPr>
                <w:rFonts w:eastAsia="宋体" w:cs="Times New Roman"/>
                <w:b/>
                <w:bCs/>
                <w:kern w:val="2"/>
                <w:lang w:eastAsia="zh-CN"/>
              </w:rPr>
              <w:t>Centrality</w:t>
            </w:r>
          </w:p>
        </w:tc>
        <w:tc>
          <w:tcPr>
            <w:tcW w:w="765" w:type="pct"/>
            <w:tcBorders>
              <w:top w:val="single" w:sz="8" w:space="0" w:color="auto"/>
              <w:left w:val="nil"/>
              <w:bottom w:val="single" w:sz="4" w:space="0" w:color="auto"/>
              <w:right w:val="nil"/>
            </w:tcBorders>
            <w:shd w:val="clear" w:color="auto" w:fill="auto"/>
            <w:noWrap/>
            <w:vAlign w:val="center"/>
            <w:hideMark/>
          </w:tcPr>
          <w:p w14:paraId="368ACF08" w14:textId="77777777" w:rsidR="00461E75" w:rsidRPr="00461E75" w:rsidRDefault="00461E75" w:rsidP="00461E75">
            <w:pPr>
              <w:spacing w:before="0" w:after="0"/>
              <w:jc w:val="center"/>
              <w:rPr>
                <w:rFonts w:eastAsia="等线" w:cs="Times New Roman"/>
                <w:b/>
                <w:bCs/>
                <w:color w:val="000000"/>
                <w:sz w:val="22"/>
                <w:lang w:eastAsia="zh-CN"/>
              </w:rPr>
            </w:pPr>
            <w:r w:rsidRPr="00461E75">
              <w:rPr>
                <w:rFonts w:eastAsia="宋体" w:cs="Times New Roman"/>
                <w:b/>
                <w:bCs/>
                <w:kern w:val="2"/>
                <w:lang w:eastAsia="zh-CN"/>
              </w:rPr>
              <w:t>Year</w:t>
            </w:r>
          </w:p>
        </w:tc>
        <w:tc>
          <w:tcPr>
            <w:tcW w:w="2062" w:type="pct"/>
            <w:tcBorders>
              <w:top w:val="single" w:sz="8" w:space="0" w:color="auto"/>
              <w:left w:val="nil"/>
              <w:bottom w:val="single" w:sz="4" w:space="0" w:color="auto"/>
              <w:right w:val="nil"/>
            </w:tcBorders>
            <w:shd w:val="clear" w:color="auto" w:fill="auto"/>
            <w:vAlign w:val="center"/>
            <w:hideMark/>
          </w:tcPr>
          <w:p w14:paraId="0635413F" w14:textId="77777777" w:rsidR="00461E75" w:rsidRPr="00461E75" w:rsidRDefault="00461E75" w:rsidP="00461E75">
            <w:pPr>
              <w:spacing w:before="0" w:after="0"/>
              <w:jc w:val="center"/>
              <w:rPr>
                <w:rFonts w:eastAsia="等线" w:cs="Times New Roman"/>
                <w:b/>
                <w:bCs/>
                <w:color w:val="000000"/>
                <w:sz w:val="22"/>
                <w:lang w:eastAsia="zh-CN"/>
              </w:rPr>
            </w:pPr>
            <w:r w:rsidRPr="00461E75">
              <w:rPr>
                <w:rFonts w:eastAsia="宋体" w:cs="Times New Roman"/>
                <w:b/>
                <w:bCs/>
                <w:kern w:val="2"/>
                <w:lang w:eastAsia="zh-CN"/>
              </w:rPr>
              <w:t>Institutions</w:t>
            </w:r>
          </w:p>
        </w:tc>
      </w:tr>
      <w:tr w:rsidR="00461E75" w:rsidRPr="00461E75" w14:paraId="7AAB74FC" w14:textId="77777777" w:rsidTr="00AC3BCA">
        <w:trPr>
          <w:trHeight w:val="278"/>
          <w:jc w:val="center"/>
        </w:trPr>
        <w:tc>
          <w:tcPr>
            <w:tcW w:w="866" w:type="pct"/>
            <w:tcBorders>
              <w:top w:val="single" w:sz="4" w:space="0" w:color="auto"/>
              <w:left w:val="nil"/>
              <w:bottom w:val="nil"/>
              <w:right w:val="nil"/>
            </w:tcBorders>
            <w:shd w:val="clear" w:color="auto" w:fill="auto"/>
            <w:vAlign w:val="center"/>
            <w:hideMark/>
          </w:tcPr>
          <w:p w14:paraId="6DB4E2A6"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17</w:t>
            </w:r>
          </w:p>
        </w:tc>
        <w:tc>
          <w:tcPr>
            <w:tcW w:w="1307" w:type="pct"/>
            <w:tcBorders>
              <w:top w:val="single" w:sz="4" w:space="0" w:color="auto"/>
              <w:left w:val="nil"/>
              <w:bottom w:val="nil"/>
              <w:right w:val="nil"/>
            </w:tcBorders>
            <w:shd w:val="clear" w:color="auto" w:fill="auto"/>
            <w:vAlign w:val="center"/>
            <w:hideMark/>
          </w:tcPr>
          <w:p w14:paraId="4F67F663"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0.17</w:t>
            </w:r>
          </w:p>
        </w:tc>
        <w:tc>
          <w:tcPr>
            <w:tcW w:w="765" w:type="pct"/>
            <w:tcBorders>
              <w:top w:val="single" w:sz="4" w:space="0" w:color="auto"/>
              <w:left w:val="nil"/>
              <w:bottom w:val="nil"/>
              <w:right w:val="nil"/>
            </w:tcBorders>
            <w:shd w:val="clear" w:color="auto" w:fill="auto"/>
            <w:vAlign w:val="center"/>
            <w:hideMark/>
          </w:tcPr>
          <w:p w14:paraId="62640602"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2008</w:t>
            </w:r>
          </w:p>
        </w:tc>
        <w:tc>
          <w:tcPr>
            <w:tcW w:w="2062" w:type="pct"/>
            <w:tcBorders>
              <w:top w:val="single" w:sz="4" w:space="0" w:color="auto"/>
              <w:left w:val="nil"/>
              <w:bottom w:val="nil"/>
              <w:right w:val="nil"/>
            </w:tcBorders>
            <w:shd w:val="clear" w:color="auto" w:fill="auto"/>
            <w:vAlign w:val="center"/>
            <w:hideMark/>
          </w:tcPr>
          <w:p w14:paraId="324776F5"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Chinese Academy of Sciences</w:t>
            </w:r>
          </w:p>
        </w:tc>
      </w:tr>
      <w:tr w:rsidR="00461E75" w:rsidRPr="00461E75" w14:paraId="330F610B" w14:textId="77777777" w:rsidTr="00AC3BCA">
        <w:trPr>
          <w:trHeight w:val="278"/>
          <w:jc w:val="center"/>
        </w:trPr>
        <w:tc>
          <w:tcPr>
            <w:tcW w:w="866" w:type="pct"/>
            <w:tcBorders>
              <w:top w:val="nil"/>
              <w:left w:val="nil"/>
              <w:bottom w:val="nil"/>
              <w:right w:val="nil"/>
            </w:tcBorders>
            <w:shd w:val="clear" w:color="auto" w:fill="auto"/>
            <w:vAlign w:val="center"/>
            <w:hideMark/>
          </w:tcPr>
          <w:p w14:paraId="1EB3DB8A"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14</w:t>
            </w:r>
          </w:p>
        </w:tc>
        <w:tc>
          <w:tcPr>
            <w:tcW w:w="1307" w:type="pct"/>
            <w:tcBorders>
              <w:top w:val="nil"/>
              <w:left w:val="nil"/>
              <w:bottom w:val="nil"/>
              <w:right w:val="nil"/>
            </w:tcBorders>
            <w:shd w:val="clear" w:color="auto" w:fill="auto"/>
            <w:vAlign w:val="center"/>
            <w:hideMark/>
          </w:tcPr>
          <w:p w14:paraId="74F9F780"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0.17</w:t>
            </w:r>
          </w:p>
        </w:tc>
        <w:tc>
          <w:tcPr>
            <w:tcW w:w="765" w:type="pct"/>
            <w:tcBorders>
              <w:top w:val="nil"/>
              <w:left w:val="nil"/>
              <w:bottom w:val="nil"/>
              <w:right w:val="nil"/>
            </w:tcBorders>
            <w:shd w:val="clear" w:color="auto" w:fill="auto"/>
            <w:vAlign w:val="center"/>
            <w:hideMark/>
          </w:tcPr>
          <w:p w14:paraId="3498D672"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2012</w:t>
            </w:r>
          </w:p>
        </w:tc>
        <w:tc>
          <w:tcPr>
            <w:tcW w:w="2062" w:type="pct"/>
            <w:tcBorders>
              <w:top w:val="nil"/>
              <w:left w:val="nil"/>
              <w:bottom w:val="nil"/>
              <w:right w:val="nil"/>
            </w:tcBorders>
            <w:shd w:val="clear" w:color="auto" w:fill="auto"/>
            <w:vAlign w:val="center"/>
            <w:hideMark/>
          </w:tcPr>
          <w:p w14:paraId="6667B172"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Kangwon National University</w:t>
            </w:r>
          </w:p>
        </w:tc>
      </w:tr>
      <w:tr w:rsidR="00461E75" w:rsidRPr="00461E75" w14:paraId="2406CC3F" w14:textId="77777777" w:rsidTr="00AC3BCA">
        <w:trPr>
          <w:trHeight w:val="278"/>
          <w:jc w:val="center"/>
        </w:trPr>
        <w:tc>
          <w:tcPr>
            <w:tcW w:w="866" w:type="pct"/>
            <w:tcBorders>
              <w:top w:val="nil"/>
              <w:left w:val="nil"/>
              <w:bottom w:val="nil"/>
              <w:right w:val="nil"/>
            </w:tcBorders>
            <w:shd w:val="clear" w:color="auto" w:fill="auto"/>
            <w:vAlign w:val="center"/>
            <w:hideMark/>
          </w:tcPr>
          <w:p w14:paraId="700ABBC9"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9</w:t>
            </w:r>
          </w:p>
        </w:tc>
        <w:tc>
          <w:tcPr>
            <w:tcW w:w="1307" w:type="pct"/>
            <w:tcBorders>
              <w:top w:val="nil"/>
              <w:left w:val="nil"/>
              <w:bottom w:val="nil"/>
              <w:right w:val="nil"/>
            </w:tcBorders>
            <w:shd w:val="clear" w:color="auto" w:fill="auto"/>
            <w:vAlign w:val="center"/>
            <w:hideMark/>
          </w:tcPr>
          <w:p w14:paraId="66D2F139"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0.05</w:t>
            </w:r>
          </w:p>
        </w:tc>
        <w:tc>
          <w:tcPr>
            <w:tcW w:w="765" w:type="pct"/>
            <w:tcBorders>
              <w:top w:val="nil"/>
              <w:left w:val="nil"/>
              <w:bottom w:val="nil"/>
              <w:right w:val="nil"/>
            </w:tcBorders>
            <w:shd w:val="clear" w:color="auto" w:fill="auto"/>
            <w:vAlign w:val="center"/>
            <w:hideMark/>
          </w:tcPr>
          <w:p w14:paraId="457D046E"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2017</w:t>
            </w:r>
          </w:p>
        </w:tc>
        <w:tc>
          <w:tcPr>
            <w:tcW w:w="2062" w:type="pct"/>
            <w:tcBorders>
              <w:top w:val="nil"/>
              <w:left w:val="nil"/>
              <w:bottom w:val="nil"/>
              <w:right w:val="nil"/>
            </w:tcBorders>
            <w:shd w:val="clear" w:color="auto" w:fill="auto"/>
            <w:vAlign w:val="center"/>
            <w:hideMark/>
          </w:tcPr>
          <w:p w14:paraId="681FB8F0"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Newcastle University</w:t>
            </w:r>
          </w:p>
        </w:tc>
      </w:tr>
      <w:tr w:rsidR="00461E75" w:rsidRPr="00461E75" w14:paraId="31286A97" w14:textId="77777777" w:rsidTr="00AC3BCA">
        <w:trPr>
          <w:trHeight w:val="278"/>
          <w:jc w:val="center"/>
        </w:trPr>
        <w:tc>
          <w:tcPr>
            <w:tcW w:w="866" w:type="pct"/>
            <w:tcBorders>
              <w:top w:val="nil"/>
              <w:left w:val="nil"/>
              <w:bottom w:val="nil"/>
              <w:right w:val="nil"/>
            </w:tcBorders>
            <w:shd w:val="clear" w:color="auto" w:fill="auto"/>
            <w:vAlign w:val="center"/>
            <w:hideMark/>
          </w:tcPr>
          <w:p w14:paraId="33D6466F"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8</w:t>
            </w:r>
          </w:p>
        </w:tc>
        <w:tc>
          <w:tcPr>
            <w:tcW w:w="1307" w:type="pct"/>
            <w:tcBorders>
              <w:top w:val="nil"/>
              <w:left w:val="nil"/>
              <w:bottom w:val="nil"/>
              <w:right w:val="nil"/>
            </w:tcBorders>
            <w:shd w:val="clear" w:color="auto" w:fill="auto"/>
            <w:vAlign w:val="center"/>
            <w:hideMark/>
          </w:tcPr>
          <w:p w14:paraId="3E58D6FB"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0.01</w:t>
            </w:r>
          </w:p>
        </w:tc>
        <w:tc>
          <w:tcPr>
            <w:tcW w:w="765" w:type="pct"/>
            <w:tcBorders>
              <w:top w:val="nil"/>
              <w:left w:val="nil"/>
              <w:bottom w:val="nil"/>
              <w:right w:val="nil"/>
            </w:tcBorders>
            <w:shd w:val="clear" w:color="auto" w:fill="auto"/>
            <w:vAlign w:val="center"/>
            <w:hideMark/>
          </w:tcPr>
          <w:p w14:paraId="713C4009"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2009</w:t>
            </w:r>
          </w:p>
        </w:tc>
        <w:tc>
          <w:tcPr>
            <w:tcW w:w="2062" w:type="pct"/>
            <w:tcBorders>
              <w:top w:val="nil"/>
              <w:left w:val="nil"/>
              <w:bottom w:val="nil"/>
              <w:right w:val="nil"/>
            </w:tcBorders>
            <w:shd w:val="clear" w:color="auto" w:fill="auto"/>
            <w:vAlign w:val="center"/>
            <w:hideMark/>
          </w:tcPr>
          <w:p w14:paraId="2F7185D8"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Gifu University</w:t>
            </w:r>
          </w:p>
        </w:tc>
      </w:tr>
      <w:tr w:rsidR="00461E75" w:rsidRPr="00461E75" w14:paraId="01EA5965" w14:textId="77777777" w:rsidTr="00AC3BCA">
        <w:trPr>
          <w:trHeight w:val="278"/>
          <w:jc w:val="center"/>
        </w:trPr>
        <w:tc>
          <w:tcPr>
            <w:tcW w:w="866" w:type="pct"/>
            <w:tcBorders>
              <w:top w:val="nil"/>
              <w:left w:val="nil"/>
              <w:bottom w:val="single" w:sz="8" w:space="0" w:color="auto"/>
              <w:right w:val="nil"/>
            </w:tcBorders>
            <w:shd w:val="clear" w:color="auto" w:fill="auto"/>
            <w:vAlign w:val="center"/>
            <w:hideMark/>
          </w:tcPr>
          <w:p w14:paraId="768DE264"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8</w:t>
            </w:r>
          </w:p>
        </w:tc>
        <w:tc>
          <w:tcPr>
            <w:tcW w:w="1307" w:type="pct"/>
            <w:tcBorders>
              <w:top w:val="nil"/>
              <w:left w:val="nil"/>
              <w:bottom w:val="single" w:sz="8" w:space="0" w:color="auto"/>
              <w:right w:val="nil"/>
            </w:tcBorders>
            <w:shd w:val="clear" w:color="auto" w:fill="auto"/>
            <w:vAlign w:val="center"/>
            <w:hideMark/>
          </w:tcPr>
          <w:p w14:paraId="3C3317BB"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0.08</w:t>
            </w:r>
          </w:p>
        </w:tc>
        <w:tc>
          <w:tcPr>
            <w:tcW w:w="765" w:type="pct"/>
            <w:tcBorders>
              <w:top w:val="nil"/>
              <w:left w:val="nil"/>
              <w:bottom w:val="single" w:sz="8" w:space="0" w:color="auto"/>
              <w:right w:val="nil"/>
            </w:tcBorders>
            <w:shd w:val="clear" w:color="auto" w:fill="auto"/>
            <w:vAlign w:val="center"/>
            <w:hideMark/>
          </w:tcPr>
          <w:p w14:paraId="0F222F16"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2016</w:t>
            </w:r>
          </w:p>
        </w:tc>
        <w:tc>
          <w:tcPr>
            <w:tcW w:w="2062" w:type="pct"/>
            <w:tcBorders>
              <w:top w:val="nil"/>
              <w:left w:val="nil"/>
              <w:bottom w:val="single" w:sz="8" w:space="0" w:color="auto"/>
              <w:right w:val="nil"/>
            </w:tcBorders>
            <w:shd w:val="clear" w:color="auto" w:fill="auto"/>
            <w:vAlign w:val="center"/>
            <w:hideMark/>
          </w:tcPr>
          <w:p w14:paraId="2D7523C7"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宋体" w:cs="Times New Roman"/>
                <w:kern w:val="2"/>
                <w:lang w:eastAsia="zh-CN"/>
              </w:rPr>
              <w:t>The Hong Kong Polytechnic University</w:t>
            </w:r>
          </w:p>
        </w:tc>
      </w:tr>
      <w:bookmarkEnd w:id="0"/>
    </w:tbl>
    <w:p w14:paraId="271C44D8" w14:textId="3F96F627" w:rsidR="00461E75" w:rsidRDefault="00461E75" w:rsidP="00461E75"/>
    <w:p w14:paraId="7EEB1380" w14:textId="77777777" w:rsidR="00461E75" w:rsidRDefault="00461E75" w:rsidP="00461E75"/>
    <w:p w14:paraId="6776168E" w14:textId="67893F12" w:rsidR="00461E75" w:rsidRPr="00461E75" w:rsidRDefault="00461E75" w:rsidP="00461E75">
      <w:pPr>
        <w:widowControl w:val="0"/>
        <w:spacing w:before="0" w:after="0" w:line="276" w:lineRule="auto"/>
        <w:rPr>
          <w:rFonts w:eastAsia="宋体" w:cs="Times New Roman"/>
          <w:kern w:val="2"/>
          <w:sz w:val="21"/>
          <w:szCs w:val="20"/>
          <w:lang w:eastAsia="zh-CN"/>
        </w:rPr>
      </w:pPr>
      <w:bookmarkStart w:id="1" w:name="_Hlk152880230"/>
      <w:r w:rsidRPr="0001436A">
        <w:rPr>
          <w:rFonts w:cs="Times New Roman"/>
          <w:b/>
          <w:szCs w:val="24"/>
        </w:rPr>
        <w:t>Supplementary</w:t>
      </w:r>
      <w:r w:rsidRPr="0021610F">
        <w:rPr>
          <w:rFonts w:hint="eastAsia"/>
          <w:b/>
          <w:bCs/>
        </w:rPr>
        <w:t xml:space="preserve"> Table</w:t>
      </w:r>
      <w:r w:rsidRPr="00461E75">
        <w:rPr>
          <w:rFonts w:eastAsia="宋体" w:cs="Times New Roman"/>
          <w:b/>
          <w:bCs/>
          <w:kern w:val="2"/>
          <w:lang w:eastAsia="zh-CN"/>
        </w:rPr>
        <w:t xml:space="preserve"> 3</w:t>
      </w:r>
      <w:r w:rsidRPr="00461E75">
        <w:rPr>
          <w:rFonts w:eastAsia="宋体" w:cs="Times New Roman"/>
          <w:kern w:val="2"/>
          <w:lang w:eastAsia="zh-CN"/>
        </w:rPr>
        <w:t xml:space="preserve"> </w:t>
      </w:r>
      <w:r w:rsidRPr="00461E75">
        <w:rPr>
          <w:rFonts w:eastAsia="宋体" w:cs="Times New Roman"/>
          <w:kern w:val="2"/>
          <w:sz w:val="21"/>
          <w:szCs w:val="20"/>
          <w:lang w:eastAsia="zh-CN"/>
        </w:rPr>
        <w:t>A collection of the top five keywords in terms of frequency of occurrence as well as top five keywords in terms of centrality in the literature related to remediation of contaminated sites at firing ranges, 2001-2023</w:t>
      </w:r>
    </w:p>
    <w:tbl>
      <w:tblPr>
        <w:tblW w:w="5000" w:type="pct"/>
        <w:jc w:val="center"/>
        <w:tblLook w:val="04A0" w:firstRow="1" w:lastRow="0" w:firstColumn="1" w:lastColumn="0" w:noHBand="0" w:noVBand="1"/>
      </w:tblPr>
      <w:tblGrid>
        <w:gridCol w:w="1693"/>
        <w:gridCol w:w="2556"/>
        <w:gridCol w:w="1496"/>
        <w:gridCol w:w="4032"/>
      </w:tblGrid>
      <w:tr w:rsidR="00461E75" w:rsidRPr="00461E75" w14:paraId="112ECDC6" w14:textId="77777777" w:rsidTr="00AC3BCA">
        <w:trPr>
          <w:trHeight w:val="278"/>
          <w:jc w:val="center"/>
        </w:trPr>
        <w:tc>
          <w:tcPr>
            <w:tcW w:w="866" w:type="pct"/>
            <w:tcBorders>
              <w:top w:val="single" w:sz="8" w:space="0" w:color="auto"/>
              <w:left w:val="nil"/>
              <w:bottom w:val="single" w:sz="4" w:space="0" w:color="auto"/>
              <w:right w:val="nil"/>
            </w:tcBorders>
            <w:shd w:val="clear" w:color="auto" w:fill="auto"/>
            <w:noWrap/>
            <w:vAlign w:val="center"/>
            <w:hideMark/>
          </w:tcPr>
          <w:p w14:paraId="384C20D9" w14:textId="77777777" w:rsidR="00461E75" w:rsidRPr="00461E75" w:rsidRDefault="00461E75" w:rsidP="00461E75">
            <w:pPr>
              <w:spacing w:before="0" w:after="0"/>
              <w:jc w:val="center"/>
              <w:rPr>
                <w:rFonts w:eastAsia="等线" w:cs="Times New Roman"/>
                <w:b/>
                <w:bCs/>
                <w:color w:val="000000"/>
                <w:sz w:val="22"/>
                <w:lang w:eastAsia="zh-CN"/>
              </w:rPr>
            </w:pPr>
            <w:r w:rsidRPr="00461E75">
              <w:rPr>
                <w:rFonts w:eastAsia="等线" w:cs="Times New Roman"/>
                <w:b/>
                <w:bCs/>
                <w:color w:val="000000"/>
                <w:sz w:val="22"/>
                <w:lang w:eastAsia="zh-CN"/>
              </w:rPr>
              <w:t>Count</w:t>
            </w:r>
          </w:p>
        </w:tc>
        <w:tc>
          <w:tcPr>
            <w:tcW w:w="1307" w:type="pct"/>
            <w:tcBorders>
              <w:top w:val="single" w:sz="8" w:space="0" w:color="auto"/>
              <w:left w:val="nil"/>
              <w:bottom w:val="single" w:sz="4" w:space="0" w:color="auto"/>
              <w:right w:val="nil"/>
            </w:tcBorders>
            <w:shd w:val="clear" w:color="auto" w:fill="auto"/>
            <w:noWrap/>
            <w:vAlign w:val="center"/>
            <w:hideMark/>
          </w:tcPr>
          <w:p w14:paraId="5B9507D0" w14:textId="77777777" w:rsidR="00461E75" w:rsidRPr="00461E75" w:rsidRDefault="00461E75" w:rsidP="00461E75">
            <w:pPr>
              <w:spacing w:before="0" w:after="0"/>
              <w:jc w:val="center"/>
              <w:rPr>
                <w:rFonts w:eastAsia="等线" w:cs="Times New Roman"/>
                <w:b/>
                <w:bCs/>
                <w:color w:val="000000"/>
                <w:sz w:val="22"/>
                <w:lang w:eastAsia="zh-CN"/>
              </w:rPr>
            </w:pPr>
            <w:r w:rsidRPr="00461E75">
              <w:rPr>
                <w:rFonts w:eastAsia="等线" w:cs="Times New Roman"/>
                <w:b/>
                <w:bCs/>
                <w:color w:val="000000"/>
                <w:sz w:val="22"/>
                <w:lang w:eastAsia="zh-CN"/>
              </w:rPr>
              <w:t>Centrality</w:t>
            </w:r>
          </w:p>
        </w:tc>
        <w:tc>
          <w:tcPr>
            <w:tcW w:w="765" w:type="pct"/>
            <w:tcBorders>
              <w:top w:val="single" w:sz="8" w:space="0" w:color="auto"/>
              <w:left w:val="nil"/>
              <w:bottom w:val="single" w:sz="4" w:space="0" w:color="auto"/>
              <w:right w:val="nil"/>
            </w:tcBorders>
            <w:shd w:val="clear" w:color="auto" w:fill="auto"/>
            <w:noWrap/>
            <w:vAlign w:val="center"/>
            <w:hideMark/>
          </w:tcPr>
          <w:p w14:paraId="7F598E60" w14:textId="77777777" w:rsidR="00461E75" w:rsidRPr="00461E75" w:rsidRDefault="00461E75" w:rsidP="00461E75">
            <w:pPr>
              <w:spacing w:before="0" w:after="0"/>
              <w:jc w:val="center"/>
              <w:rPr>
                <w:rFonts w:eastAsia="等线" w:cs="Times New Roman"/>
                <w:b/>
                <w:bCs/>
                <w:color w:val="000000"/>
                <w:sz w:val="22"/>
                <w:lang w:eastAsia="zh-CN"/>
              </w:rPr>
            </w:pPr>
            <w:r w:rsidRPr="00461E75">
              <w:rPr>
                <w:rFonts w:eastAsia="等线" w:cs="Times New Roman"/>
                <w:b/>
                <w:bCs/>
                <w:color w:val="000000"/>
                <w:sz w:val="22"/>
                <w:lang w:eastAsia="zh-CN"/>
              </w:rPr>
              <w:t>Year</w:t>
            </w:r>
          </w:p>
        </w:tc>
        <w:tc>
          <w:tcPr>
            <w:tcW w:w="2062" w:type="pct"/>
            <w:tcBorders>
              <w:top w:val="single" w:sz="8" w:space="0" w:color="auto"/>
              <w:left w:val="nil"/>
              <w:bottom w:val="single" w:sz="4" w:space="0" w:color="auto"/>
              <w:right w:val="nil"/>
            </w:tcBorders>
            <w:shd w:val="clear" w:color="auto" w:fill="auto"/>
            <w:vAlign w:val="center"/>
            <w:hideMark/>
          </w:tcPr>
          <w:p w14:paraId="29B7F495" w14:textId="77777777" w:rsidR="00461E75" w:rsidRPr="00461E75" w:rsidRDefault="00461E75" w:rsidP="00461E75">
            <w:pPr>
              <w:spacing w:before="0" w:after="0"/>
              <w:jc w:val="center"/>
              <w:rPr>
                <w:rFonts w:eastAsia="等线" w:cs="Times New Roman"/>
                <w:b/>
                <w:bCs/>
                <w:color w:val="000000"/>
                <w:sz w:val="22"/>
                <w:lang w:eastAsia="zh-CN"/>
              </w:rPr>
            </w:pPr>
            <w:r w:rsidRPr="00461E75">
              <w:rPr>
                <w:rFonts w:eastAsia="等线" w:cs="Times New Roman"/>
                <w:b/>
                <w:bCs/>
                <w:color w:val="000000"/>
                <w:sz w:val="22"/>
                <w:lang w:eastAsia="zh-CN"/>
              </w:rPr>
              <w:t>Keywords</w:t>
            </w:r>
          </w:p>
        </w:tc>
      </w:tr>
      <w:tr w:rsidR="00461E75" w:rsidRPr="00461E75" w14:paraId="0017D4D8" w14:textId="77777777" w:rsidTr="00AC3BCA">
        <w:trPr>
          <w:trHeight w:val="278"/>
          <w:jc w:val="center"/>
        </w:trPr>
        <w:tc>
          <w:tcPr>
            <w:tcW w:w="866" w:type="pct"/>
            <w:tcBorders>
              <w:top w:val="single" w:sz="4" w:space="0" w:color="auto"/>
              <w:left w:val="nil"/>
              <w:bottom w:val="nil"/>
              <w:right w:val="nil"/>
            </w:tcBorders>
            <w:shd w:val="clear" w:color="auto" w:fill="auto"/>
            <w:vAlign w:val="center"/>
            <w:hideMark/>
          </w:tcPr>
          <w:p w14:paraId="4B98F002"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113</w:t>
            </w:r>
          </w:p>
        </w:tc>
        <w:tc>
          <w:tcPr>
            <w:tcW w:w="1307" w:type="pct"/>
            <w:tcBorders>
              <w:top w:val="single" w:sz="4" w:space="0" w:color="auto"/>
              <w:left w:val="nil"/>
              <w:bottom w:val="nil"/>
              <w:right w:val="nil"/>
            </w:tcBorders>
            <w:shd w:val="clear" w:color="auto" w:fill="auto"/>
            <w:vAlign w:val="center"/>
            <w:hideMark/>
          </w:tcPr>
          <w:p w14:paraId="453C56B7"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0.08</w:t>
            </w:r>
          </w:p>
        </w:tc>
        <w:tc>
          <w:tcPr>
            <w:tcW w:w="765" w:type="pct"/>
            <w:tcBorders>
              <w:top w:val="single" w:sz="4" w:space="0" w:color="auto"/>
              <w:left w:val="nil"/>
              <w:bottom w:val="nil"/>
              <w:right w:val="nil"/>
            </w:tcBorders>
            <w:shd w:val="clear" w:color="auto" w:fill="auto"/>
            <w:vAlign w:val="center"/>
            <w:hideMark/>
          </w:tcPr>
          <w:p w14:paraId="36D78A17"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2002</w:t>
            </w:r>
          </w:p>
        </w:tc>
        <w:tc>
          <w:tcPr>
            <w:tcW w:w="2062" w:type="pct"/>
            <w:tcBorders>
              <w:top w:val="single" w:sz="4" w:space="0" w:color="auto"/>
              <w:left w:val="nil"/>
              <w:bottom w:val="nil"/>
              <w:right w:val="nil"/>
            </w:tcBorders>
            <w:shd w:val="clear" w:color="auto" w:fill="auto"/>
            <w:vAlign w:val="center"/>
            <w:hideMark/>
          </w:tcPr>
          <w:p w14:paraId="05D96582"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heavy metals</w:t>
            </w:r>
          </w:p>
        </w:tc>
      </w:tr>
      <w:tr w:rsidR="00461E75" w:rsidRPr="00461E75" w14:paraId="203C8143" w14:textId="77777777" w:rsidTr="00AC3BCA">
        <w:trPr>
          <w:trHeight w:val="278"/>
          <w:jc w:val="center"/>
        </w:trPr>
        <w:tc>
          <w:tcPr>
            <w:tcW w:w="866" w:type="pct"/>
            <w:tcBorders>
              <w:top w:val="nil"/>
              <w:left w:val="nil"/>
              <w:bottom w:val="nil"/>
              <w:right w:val="nil"/>
            </w:tcBorders>
            <w:shd w:val="clear" w:color="auto" w:fill="auto"/>
            <w:vAlign w:val="center"/>
            <w:hideMark/>
          </w:tcPr>
          <w:p w14:paraId="2D4D00D1"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76</w:t>
            </w:r>
          </w:p>
        </w:tc>
        <w:tc>
          <w:tcPr>
            <w:tcW w:w="1307" w:type="pct"/>
            <w:tcBorders>
              <w:top w:val="nil"/>
              <w:left w:val="nil"/>
              <w:bottom w:val="nil"/>
              <w:right w:val="nil"/>
            </w:tcBorders>
            <w:shd w:val="clear" w:color="auto" w:fill="auto"/>
            <w:vAlign w:val="center"/>
            <w:hideMark/>
          </w:tcPr>
          <w:p w14:paraId="7E251B0E"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0.12</w:t>
            </w:r>
          </w:p>
        </w:tc>
        <w:tc>
          <w:tcPr>
            <w:tcW w:w="765" w:type="pct"/>
            <w:tcBorders>
              <w:top w:val="nil"/>
              <w:left w:val="nil"/>
              <w:bottom w:val="nil"/>
              <w:right w:val="nil"/>
            </w:tcBorders>
            <w:shd w:val="clear" w:color="auto" w:fill="auto"/>
            <w:vAlign w:val="center"/>
            <w:hideMark/>
          </w:tcPr>
          <w:p w14:paraId="708BDA59"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2004</w:t>
            </w:r>
          </w:p>
        </w:tc>
        <w:tc>
          <w:tcPr>
            <w:tcW w:w="2062" w:type="pct"/>
            <w:tcBorders>
              <w:top w:val="nil"/>
              <w:left w:val="nil"/>
              <w:bottom w:val="nil"/>
              <w:right w:val="nil"/>
            </w:tcBorders>
            <w:shd w:val="clear" w:color="auto" w:fill="auto"/>
            <w:vAlign w:val="center"/>
            <w:hideMark/>
          </w:tcPr>
          <w:p w14:paraId="404488AF"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remediation</w:t>
            </w:r>
          </w:p>
        </w:tc>
      </w:tr>
      <w:tr w:rsidR="00461E75" w:rsidRPr="00461E75" w14:paraId="7B3070D6" w14:textId="77777777" w:rsidTr="00AC3BCA">
        <w:trPr>
          <w:trHeight w:val="278"/>
          <w:jc w:val="center"/>
        </w:trPr>
        <w:tc>
          <w:tcPr>
            <w:tcW w:w="866" w:type="pct"/>
            <w:tcBorders>
              <w:top w:val="nil"/>
              <w:left w:val="nil"/>
              <w:bottom w:val="nil"/>
              <w:right w:val="nil"/>
            </w:tcBorders>
            <w:shd w:val="clear" w:color="auto" w:fill="auto"/>
            <w:vAlign w:val="center"/>
            <w:hideMark/>
          </w:tcPr>
          <w:p w14:paraId="4C379918"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50</w:t>
            </w:r>
          </w:p>
        </w:tc>
        <w:tc>
          <w:tcPr>
            <w:tcW w:w="1307" w:type="pct"/>
            <w:tcBorders>
              <w:top w:val="nil"/>
              <w:left w:val="nil"/>
              <w:bottom w:val="nil"/>
              <w:right w:val="nil"/>
            </w:tcBorders>
            <w:shd w:val="clear" w:color="auto" w:fill="auto"/>
            <w:vAlign w:val="center"/>
            <w:hideMark/>
          </w:tcPr>
          <w:p w14:paraId="0BF8F893"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0.10</w:t>
            </w:r>
          </w:p>
        </w:tc>
        <w:tc>
          <w:tcPr>
            <w:tcW w:w="765" w:type="pct"/>
            <w:tcBorders>
              <w:top w:val="nil"/>
              <w:left w:val="nil"/>
              <w:bottom w:val="nil"/>
              <w:right w:val="nil"/>
            </w:tcBorders>
            <w:shd w:val="clear" w:color="auto" w:fill="auto"/>
            <w:vAlign w:val="center"/>
            <w:hideMark/>
          </w:tcPr>
          <w:p w14:paraId="6964E47C"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2005</w:t>
            </w:r>
          </w:p>
        </w:tc>
        <w:tc>
          <w:tcPr>
            <w:tcW w:w="2062" w:type="pct"/>
            <w:tcBorders>
              <w:top w:val="nil"/>
              <w:left w:val="nil"/>
              <w:bottom w:val="nil"/>
              <w:right w:val="nil"/>
            </w:tcBorders>
            <w:shd w:val="clear" w:color="auto" w:fill="auto"/>
            <w:vAlign w:val="center"/>
            <w:hideMark/>
          </w:tcPr>
          <w:p w14:paraId="5E9E5504"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lead</w:t>
            </w:r>
          </w:p>
        </w:tc>
      </w:tr>
      <w:tr w:rsidR="00461E75" w:rsidRPr="00461E75" w14:paraId="0078F600" w14:textId="77777777" w:rsidTr="00AC3BCA">
        <w:trPr>
          <w:trHeight w:val="278"/>
          <w:jc w:val="center"/>
        </w:trPr>
        <w:tc>
          <w:tcPr>
            <w:tcW w:w="866" w:type="pct"/>
            <w:tcBorders>
              <w:top w:val="nil"/>
              <w:left w:val="nil"/>
              <w:bottom w:val="nil"/>
              <w:right w:val="nil"/>
            </w:tcBorders>
            <w:shd w:val="clear" w:color="auto" w:fill="auto"/>
            <w:vAlign w:val="center"/>
            <w:hideMark/>
          </w:tcPr>
          <w:p w14:paraId="0C65C1A6"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48</w:t>
            </w:r>
          </w:p>
        </w:tc>
        <w:tc>
          <w:tcPr>
            <w:tcW w:w="1307" w:type="pct"/>
            <w:tcBorders>
              <w:top w:val="nil"/>
              <w:left w:val="nil"/>
              <w:bottom w:val="nil"/>
              <w:right w:val="nil"/>
            </w:tcBorders>
            <w:shd w:val="clear" w:color="auto" w:fill="auto"/>
            <w:vAlign w:val="center"/>
            <w:hideMark/>
          </w:tcPr>
          <w:p w14:paraId="36C2B32E"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0.15</w:t>
            </w:r>
          </w:p>
        </w:tc>
        <w:tc>
          <w:tcPr>
            <w:tcW w:w="765" w:type="pct"/>
            <w:tcBorders>
              <w:top w:val="nil"/>
              <w:left w:val="nil"/>
              <w:bottom w:val="nil"/>
              <w:right w:val="nil"/>
            </w:tcBorders>
            <w:shd w:val="clear" w:color="auto" w:fill="auto"/>
            <w:vAlign w:val="center"/>
            <w:hideMark/>
          </w:tcPr>
          <w:p w14:paraId="6660B630"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2002</w:t>
            </w:r>
          </w:p>
        </w:tc>
        <w:tc>
          <w:tcPr>
            <w:tcW w:w="2062" w:type="pct"/>
            <w:tcBorders>
              <w:top w:val="nil"/>
              <w:left w:val="nil"/>
              <w:bottom w:val="nil"/>
              <w:right w:val="nil"/>
            </w:tcBorders>
            <w:shd w:val="clear" w:color="auto" w:fill="auto"/>
            <w:vAlign w:val="center"/>
            <w:hideMark/>
          </w:tcPr>
          <w:p w14:paraId="273A3E68"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phytoremediation</w:t>
            </w:r>
          </w:p>
        </w:tc>
      </w:tr>
      <w:tr w:rsidR="00461E75" w:rsidRPr="00461E75" w14:paraId="44DEB502" w14:textId="77777777" w:rsidTr="00AC3BCA">
        <w:trPr>
          <w:trHeight w:val="278"/>
          <w:jc w:val="center"/>
        </w:trPr>
        <w:tc>
          <w:tcPr>
            <w:tcW w:w="866" w:type="pct"/>
            <w:tcBorders>
              <w:top w:val="nil"/>
              <w:left w:val="nil"/>
              <w:bottom w:val="single" w:sz="8" w:space="0" w:color="auto"/>
              <w:right w:val="nil"/>
            </w:tcBorders>
            <w:shd w:val="clear" w:color="auto" w:fill="auto"/>
            <w:vAlign w:val="center"/>
            <w:hideMark/>
          </w:tcPr>
          <w:p w14:paraId="3B8205CA"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42</w:t>
            </w:r>
          </w:p>
        </w:tc>
        <w:tc>
          <w:tcPr>
            <w:tcW w:w="1307" w:type="pct"/>
            <w:tcBorders>
              <w:top w:val="nil"/>
              <w:left w:val="nil"/>
              <w:bottom w:val="single" w:sz="8" w:space="0" w:color="auto"/>
              <w:right w:val="nil"/>
            </w:tcBorders>
            <w:shd w:val="clear" w:color="auto" w:fill="auto"/>
            <w:vAlign w:val="center"/>
            <w:hideMark/>
          </w:tcPr>
          <w:p w14:paraId="0624DB2C"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0.14</w:t>
            </w:r>
          </w:p>
        </w:tc>
        <w:tc>
          <w:tcPr>
            <w:tcW w:w="765" w:type="pct"/>
            <w:tcBorders>
              <w:top w:val="nil"/>
              <w:left w:val="nil"/>
              <w:bottom w:val="single" w:sz="8" w:space="0" w:color="auto"/>
              <w:right w:val="nil"/>
            </w:tcBorders>
            <w:shd w:val="clear" w:color="auto" w:fill="auto"/>
            <w:vAlign w:val="center"/>
            <w:hideMark/>
          </w:tcPr>
          <w:p w14:paraId="4EF8DC2F"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2004</w:t>
            </w:r>
          </w:p>
        </w:tc>
        <w:tc>
          <w:tcPr>
            <w:tcW w:w="2062" w:type="pct"/>
            <w:tcBorders>
              <w:top w:val="nil"/>
              <w:left w:val="nil"/>
              <w:bottom w:val="single" w:sz="8" w:space="0" w:color="auto"/>
              <w:right w:val="nil"/>
            </w:tcBorders>
            <w:shd w:val="clear" w:color="auto" w:fill="auto"/>
            <w:vAlign w:val="center"/>
            <w:hideMark/>
          </w:tcPr>
          <w:p w14:paraId="3C23CF91"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accumulation</w:t>
            </w:r>
          </w:p>
        </w:tc>
      </w:tr>
      <w:tr w:rsidR="00461E75" w:rsidRPr="00461E75" w14:paraId="7F2FEC2F" w14:textId="77777777" w:rsidTr="00AC3BCA">
        <w:trPr>
          <w:trHeight w:val="278"/>
          <w:jc w:val="center"/>
        </w:trPr>
        <w:tc>
          <w:tcPr>
            <w:tcW w:w="866" w:type="pct"/>
            <w:tcBorders>
              <w:top w:val="nil"/>
              <w:left w:val="nil"/>
              <w:bottom w:val="single" w:sz="4" w:space="0" w:color="auto"/>
              <w:right w:val="nil"/>
            </w:tcBorders>
            <w:shd w:val="clear" w:color="auto" w:fill="auto"/>
            <w:vAlign w:val="center"/>
            <w:hideMark/>
          </w:tcPr>
          <w:p w14:paraId="2ED2E492" w14:textId="77777777" w:rsidR="00461E75" w:rsidRPr="00461E75" w:rsidRDefault="00461E75" w:rsidP="00461E75">
            <w:pPr>
              <w:spacing w:before="0" w:after="0"/>
              <w:jc w:val="center"/>
              <w:rPr>
                <w:rFonts w:eastAsia="等线" w:cs="Times New Roman"/>
                <w:b/>
                <w:bCs/>
                <w:color w:val="000000"/>
                <w:sz w:val="22"/>
                <w:lang w:eastAsia="zh-CN"/>
              </w:rPr>
            </w:pPr>
            <w:r w:rsidRPr="00461E75">
              <w:rPr>
                <w:rFonts w:eastAsia="等线" w:cs="Times New Roman"/>
                <w:b/>
                <w:bCs/>
                <w:color w:val="000000"/>
                <w:sz w:val="22"/>
                <w:lang w:eastAsia="zh-CN"/>
              </w:rPr>
              <w:t>Count</w:t>
            </w:r>
          </w:p>
        </w:tc>
        <w:tc>
          <w:tcPr>
            <w:tcW w:w="1307" w:type="pct"/>
            <w:tcBorders>
              <w:top w:val="nil"/>
              <w:left w:val="nil"/>
              <w:bottom w:val="single" w:sz="4" w:space="0" w:color="auto"/>
              <w:right w:val="nil"/>
            </w:tcBorders>
            <w:shd w:val="clear" w:color="auto" w:fill="auto"/>
            <w:vAlign w:val="center"/>
            <w:hideMark/>
          </w:tcPr>
          <w:p w14:paraId="6B977C85" w14:textId="77777777" w:rsidR="00461E75" w:rsidRPr="00461E75" w:rsidRDefault="00461E75" w:rsidP="00461E75">
            <w:pPr>
              <w:spacing w:before="0" w:after="0"/>
              <w:jc w:val="center"/>
              <w:rPr>
                <w:rFonts w:eastAsia="等线" w:cs="Times New Roman"/>
                <w:b/>
                <w:bCs/>
                <w:color w:val="000000"/>
                <w:sz w:val="22"/>
                <w:lang w:eastAsia="zh-CN"/>
              </w:rPr>
            </w:pPr>
            <w:r w:rsidRPr="00461E75">
              <w:rPr>
                <w:rFonts w:eastAsia="等线" w:cs="Times New Roman"/>
                <w:b/>
                <w:bCs/>
                <w:color w:val="000000"/>
                <w:sz w:val="22"/>
                <w:lang w:eastAsia="zh-CN"/>
              </w:rPr>
              <w:t>Centrality</w:t>
            </w:r>
          </w:p>
        </w:tc>
        <w:tc>
          <w:tcPr>
            <w:tcW w:w="765" w:type="pct"/>
            <w:tcBorders>
              <w:top w:val="nil"/>
              <w:left w:val="nil"/>
              <w:bottom w:val="single" w:sz="4" w:space="0" w:color="auto"/>
              <w:right w:val="nil"/>
            </w:tcBorders>
            <w:shd w:val="clear" w:color="auto" w:fill="auto"/>
            <w:vAlign w:val="center"/>
            <w:hideMark/>
          </w:tcPr>
          <w:p w14:paraId="2D90DF19" w14:textId="77777777" w:rsidR="00461E75" w:rsidRPr="00461E75" w:rsidRDefault="00461E75" w:rsidP="00461E75">
            <w:pPr>
              <w:spacing w:before="0" w:after="0"/>
              <w:jc w:val="center"/>
              <w:rPr>
                <w:rFonts w:eastAsia="等线" w:cs="Times New Roman"/>
                <w:b/>
                <w:bCs/>
                <w:color w:val="000000"/>
                <w:sz w:val="22"/>
                <w:lang w:eastAsia="zh-CN"/>
              </w:rPr>
            </w:pPr>
            <w:r w:rsidRPr="00461E75">
              <w:rPr>
                <w:rFonts w:eastAsia="等线" w:cs="Times New Roman"/>
                <w:b/>
                <w:bCs/>
                <w:color w:val="000000"/>
                <w:sz w:val="22"/>
                <w:lang w:eastAsia="zh-CN"/>
              </w:rPr>
              <w:t>Year</w:t>
            </w:r>
          </w:p>
        </w:tc>
        <w:tc>
          <w:tcPr>
            <w:tcW w:w="2062" w:type="pct"/>
            <w:tcBorders>
              <w:top w:val="nil"/>
              <w:left w:val="nil"/>
              <w:bottom w:val="single" w:sz="4" w:space="0" w:color="auto"/>
              <w:right w:val="nil"/>
            </w:tcBorders>
            <w:shd w:val="clear" w:color="auto" w:fill="auto"/>
            <w:vAlign w:val="center"/>
            <w:hideMark/>
          </w:tcPr>
          <w:p w14:paraId="29CB8166" w14:textId="77777777" w:rsidR="00461E75" w:rsidRPr="00461E75" w:rsidRDefault="00461E75" w:rsidP="00461E75">
            <w:pPr>
              <w:spacing w:before="0" w:after="0"/>
              <w:jc w:val="center"/>
              <w:rPr>
                <w:rFonts w:eastAsia="等线" w:cs="Times New Roman"/>
                <w:b/>
                <w:bCs/>
                <w:color w:val="000000"/>
                <w:sz w:val="22"/>
                <w:lang w:eastAsia="zh-CN"/>
              </w:rPr>
            </w:pPr>
            <w:r w:rsidRPr="00461E75">
              <w:rPr>
                <w:rFonts w:eastAsia="等线" w:cs="Times New Roman"/>
                <w:b/>
                <w:bCs/>
                <w:color w:val="000000"/>
                <w:sz w:val="22"/>
                <w:lang w:eastAsia="zh-CN"/>
              </w:rPr>
              <w:t>Keywords</w:t>
            </w:r>
          </w:p>
        </w:tc>
      </w:tr>
      <w:tr w:rsidR="00461E75" w:rsidRPr="00461E75" w14:paraId="7FE205B4" w14:textId="77777777" w:rsidTr="00AC3BCA">
        <w:trPr>
          <w:trHeight w:val="278"/>
          <w:jc w:val="center"/>
        </w:trPr>
        <w:tc>
          <w:tcPr>
            <w:tcW w:w="866" w:type="pct"/>
            <w:tcBorders>
              <w:top w:val="single" w:sz="4" w:space="0" w:color="auto"/>
              <w:left w:val="nil"/>
              <w:right w:val="nil"/>
            </w:tcBorders>
            <w:shd w:val="clear" w:color="auto" w:fill="auto"/>
            <w:vAlign w:val="center"/>
            <w:hideMark/>
          </w:tcPr>
          <w:p w14:paraId="6C84C7E0" w14:textId="77777777" w:rsidR="00461E75" w:rsidRPr="00461E75" w:rsidRDefault="00461E75" w:rsidP="00461E75">
            <w:pPr>
              <w:spacing w:before="0" w:after="0"/>
              <w:jc w:val="center"/>
              <w:rPr>
                <w:rFonts w:eastAsia="等线" w:cs="Times New Roman"/>
                <w:color w:val="000000"/>
                <w:sz w:val="22"/>
                <w:lang w:eastAsia="zh-CN"/>
              </w:rPr>
            </w:pPr>
            <w:bookmarkStart w:id="2" w:name="_Hlk146744486"/>
            <w:r w:rsidRPr="00461E75">
              <w:rPr>
                <w:rFonts w:eastAsia="等线" w:cs="Times New Roman"/>
                <w:color w:val="000000"/>
                <w:sz w:val="22"/>
                <w:lang w:eastAsia="zh-CN"/>
              </w:rPr>
              <w:t>27</w:t>
            </w:r>
          </w:p>
        </w:tc>
        <w:tc>
          <w:tcPr>
            <w:tcW w:w="1307" w:type="pct"/>
            <w:tcBorders>
              <w:top w:val="single" w:sz="4" w:space="0" w:color="auto"/>
              <w:left w:val="nil"/>
              <w:right w:val="nil"/>
            </w:tcBorders>
            <w:shd w:val="clear" w:color="auto" w:fill="auto"/>
            <w:vAlign w:val="center"/>
            <w:hideMark/>
          </w:tcPr>
          <w:p w14:paraId="3CF4BF81"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hint="eastAsia"/>
                <w:color w:val="000000"/>
                <w:sz w:val="22"/>
                <w:lang w:eastAsia="zh-CN"/>
              </w:rPr>
              <w:t>0.23</w:t>
            </w:r>
          </w:p>
        </w:tc>
        <w:tc>
          <w:tcPr>
            <w:tcW w:w="765" w:type="pct"/>
            <w:tcBorders>
              <w:top w:val="single" w:sz="4" w:space="0" w:color="auto"/>
              <w:left w:val="nil"/>
              <w:right w:val="nil"/>
            </w:tcBorders>
            <w:shd w:val="clear" w:color="auto" w:fill="auto"/>
            <w:vAlign w:val="center"/>
            <w:hideMark/>
          </w:tcPr>
          <w:p w14:paraId="14639DB2"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hint="eastAsia"/>
                <w:color w:val="000000"/>
                <w:sz w:val="22"/>
                <w:lang w:eastAsia="zh-CN"/>
              </w:rPr>
              <w:t>200</w:t>
            </w:r>
            <w:r w:rsidRPr="00461E75">
              <w:rPr>
                <w:rFonts w:eastAsia="等线" w:cs="Times New Roman"/>
                <w:color w:val="000000"/>
                <w:sz w:val="22"/>
                <w:lang w:eastAsia="zh-CN"/>
              </w:rPr>
              <w:t>2</w:t>
            </w:r>
          </w:p>
        </w:tc>
        <w:tc>
          <w:tcPr>
            <w:tcW w:w="2062" w:type="pct"/>
            <w:tcBorders>
              <w:top w:val="single" w:sz="4" w:space="0" w:color="auto"/>
              <w:left w:val="nil"/>
              <w:right w:val="nil"/>
            </w:tcBorders>
            <w:shd w:val="clear" w:color="auto" w:fill="auto"/>
            <w:vAlign w:val="center"/>
            <w:hideMark/>
          </w:tcPr>
          <w:p w14:paraId="4CA5635F"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p</w:t>
            </w:r>
            <w:r w:rsidRPr="00461E75">
              <w:rPr>
                <w:rFonts w:eastAsia="等线" w:cs="Times New Roman" w:hint="eastAsia"/>
                <w:color w:val="000000"/>
                <w:sz w:val="22"/>
                <w:lang w:eastAsia="zh-CN"/>
              </w:rPr>
              <w:t>l</w:t>
            </w:r>
            <w:r w:rsidRPr="00461E75">
              <w:rPr>
                <w:rFonts w:eastAsia="等线" w:cs="Times New Roman"/>
                <w:color w:val="000000"/>
                <w:sz w:val="22"/>
                <w:lang w:eastAsia="zh-CN"/>
              </w:rPr>
              <w:t>ants</w:t>
            </w:r>
          </w:p>
        </w:tc>
      </w:tr>
      <w:tr w:rsidR="00461E75" w:rsidRPr="00461E75" w14:paraId="57DDC0DE" w14:textId="77777777" w:rsidTr="00AC3BCA">
        <w:trPr>
          <w:trHeight w:val="278"/>
          <w:jc w:val="center"/>
        </w:trPr>
        <w:tc>
          <w:tcPr>
            <w:tcW w:w="866" w:type="pct"/>
            <w:tcBorders>
              <w:top w:val="nil"/>
              <w:left w:val="nil"/>
              <w:right w:val="nil"/>
            </w:tcBorders>
            <w:shd w:val="clear" w:color="auto" w:fill="auto"/>
            <w:vAlign w:val="center"/>
            <w:hideMark/>
          </w:tcPr>
          <w:p w14:paraId="1D01D490"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hint="eastAsia"/>
                <w:color w:val="000000"/>
                <w:sz w:val="22"/>
                <w:lang w:eastAsia="zh-CN"/>
              </w:rPr>
              <w:t>9</w:t>
            </w:r>
          </w:p>
        </w:tc>
        <w:tc>
          <w:tcPr>
            <w:tcW w:w="1307" w:type="pct"/>
            <w:tcBorders>
              <w:top w:val="nil"/>
              <w:left w:val="nil"/>
              <w:right w:val="nil"/>
            </w:tcBorders>
            <w:shd w:val="clear" w:color="auto" w:fill="auto"/>
            <w:vAlign w:val="center"/>
            <w:hideMark/>
          </w:tcPr>
          <w:p w14:paraId="6A4449B0"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hint="eastAsia"/>
                <w:color w:val="000000"/>
                <w:sz w:val="22"/>
                <w:lang w:eastAsia="zh-CN"/>
              </w:rPr>
              <w:t>0.2</w:t>
            </w:r>
            <w:r w:rsidRPr="00461E75">
              <w:rPr>
                <w:rFonts w:eastAsia="等线" w:cs="Times New Roman"/>
                <w:color w:val="000000"/>
                <w:sz w:val="22"/>
                <w:lang w:eastAsia="zh-CN"/>
              </w:rPr>
              <w:t>0</w:t>
            </w:r>
          </w:p>
        </w:tc>
        <w:tc>
          <w:tcPr>
            <w:tcW w:w="765" w:type="pct"/>
            <w:tcBorders>
              <w:top w:val="nil"/>
              <w:left w:val="nil"/>
              <w:right w:val="nil"/>
            </w:tcBorders>
            <w:shd w:val="clear" w:color="auto" w:fill="auto"/>
            <w:vAlign w:val="center"/>
            <w:hideMark/>
          </w:tcPr>
          <w:p w14:paraId="58CBD9AD"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hint="eastAsia"/>
                <w:color w:val="000000"/>
                <w:sz w:val="22"/>
                <w:lang w:eastAsia="zh-CN"/>
              </w:rPr>
              <w:t>20</w:t>
            </w:r>
            <w:r w:rsidRPr="00461E75">
              <w:rPr>
                <w:rFonts w:eastAsia="等线" w:cs="Times New Roman"/>
                <w:color w:val="000000"/>
                <w:sz w:val="22"/>
                <w:lang w:eastAsia="zh-CN"/>
              </w:rPr>
              <w:t>16</w:t>
            </w:r>
          </w:p>
        </w:tc>
        <w:tc>
          <w:tcPr>
            <w:tcW w:w="2062" w:type="pct"/>
            <w:tcBorders>
              <w:top w:val="nil"/>
              <w:left w:val="nil"/>
              <w:right w:val="nil"/>
            </w:tcBorders>
            <w:shd w:val="clear" w:color="auto" w:fill="auto"/>
            <w:vAlign w:val="center"/>
            <w:hideMark/>
          </w:tcPr>
          <w:p w14:paraId="1F6A9B8A"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shooting range soils</w:t>
            </w:r>
          </w:p>
        </w:tc>
      </w:tr>
      <w:tr w:rsidR="00461E75" w:rsidRPr="00461E75" w14:paraId="648E900E" w14:textId="77777777" w:rsidTr="00AC3BCA">
        <w:trPr>
          <w:trHeight w:val="278"/>
          <w:jc w:val="center"/>
        </w:trPr>
        <w:tc>
          <w:tcPr>
            <w:tcW w:w="866" w:type="pct"/>
            <w:tcBorders>
              <w:top w:val="nil"/>
              <w:left w:val="nil"/>
              <w:right w:val="nil"/>
            </w:tcBorders>
            <w:shd w:val="clear" w:color="auto" w:fill="auto"/>
            <w:vAlign w:val="center"/>
            <w:hideMark/>
          </w:tcPr>
          <w:p w14:paraId="713CE647"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25</w:t>
            </w:r>
          </w:p>
        </w:tc>
        <w:tc>
          <w:tcPr>
            <w:tcW w:w="1307" w:type="pct"/>
            <w:tcBorders>
              <w:top w:val="nil"/>
              <w:left w:val="nil"/>
              <w:right w:val="nil"/>
            </w:tcBorders>
            <w:shd w:val="clear" w:color="auto" w:fill="auto"/>
            <w:vAlign w:val="center"/>
            <w:hideMark/>
          </w:tcPr>
          <w:p w14:paraId="485B25A2"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hint="eastAsia"/>
                <w:color w:val="000000"/>
                <w:sz w:val="22"/>
                <w:lang w:eastAsia="zh-CN"/>
              </w:rPr>
              <w:t>0.</w:t>
            </w:r>
            <w:r w:rsidRPr="00461E75">
              <w:rPr>
                <w:rFonts w:eastAsia="等线" w:cs="Times New Roman"/>
                <w:color w:val="000000"/>
                <w:sz w:val="22"/>
                <w:lang w:eastAsia="zh-CN"/>
              </w:rPr>
              <w:t>18</w:t>
            </w:r>
          </w:p>
        </w:tc>
        <w:tc>
          <w:tcPr>
            <w:tcW w:w="765" w:type="pct"/>
            <w:tcBorders>
              <w:top w:val="nil"/>
              <w:left w:val="nil"/>
              <w:right w:val="nil"/>
            </w:tcBorders>
            <w:shd w:val="clear" w:color="auto" w:fill="auto"/>
            <w:vAlign w:val="center"/>
            <w:hideMark/>
          </w:tcPr>
          <w:p w14:paraId="6BBF8ACB"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hint="eastAsia"/>
                <w:color w:val="000000"/>
                <w:sz w:val="22"/>
                <w:lang w:eastAsia="zh-CN"/>
              </w:rPr>
              <w:t>200</w:t>
            </w:r>
            <w:r w:rsidRPr="00461E75">
              <w:rPr>
                <w:rFonts w:eastAsia="等线" w:cs="Times New Roman"/>
                <w:color w:val="000000"/>
                <w:sz w:val="22"/>
                <w:lang w:eastAsia="zh-CN"/>
              </w:rPr>
              <w:t>2</w:t>
            </w:r>
          </w:p>
        </w:tc>
        <w:tc>
          <w:tcPr>
            <w:tcW w:w="2062" w:type="pct"/>
            <w:tcBorders>
              <w:top w:val="nil"/>
              <w:left w:val="nil"/>
              <w:right w:val="nil"/>
            </w:tcBorders>
            <w:shd w:val="clear" w:color="auto" w:fill="auto"/>
            <w:vAlign w:val="center"/>
            <w:hideMark/>
          </w:tcPr>
          <w:p w14:paraId="2E3C90DF"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growth</w:t>
            </w:r>
          </w:p>
        </w:tc>
      </w:tr>
      <w:tr w:rsidR="00461E75" w:rsidRPr="00461E75" w14:paraId="174720D1" w14:textId="77777777" w:rsidTr="00AC3BCA">
        <w:trPr>
          <w:trHeight w:val="278"/>
          <w:jc w:val="center"/>
        </w:trPr>
        <w:tc>
          <w:tcPr>
            <w:tcW w:w="866" w:type="pct"/>
            <w:tcBorders>
              <w:top w:val="nil"/>
              <w:left w:val="nil"/>
              <w:right w:val="nil"/>
            </w:tcBorders>
            <w:shd w:val="clear" w:color="auto" w:fill="auto"/>
            <w:vAlign w:val="center"/>
            <w:hideMark/>
          </w:tcPr>
          <w:p w14:paraId="4C394925"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48</w:t>
            </w:r>
          </w:p>
        </w:tc>
        <w:tc>
          <w:tcPr>
            <w:tcW w:w="1307" w:type="pct"/>
            <w:tcBorders>
              <w:top w:val="nil"/>
              <w:left w:val="nil"/>
              <w:right w:val="nil"/>
            </w:tcBorders>
            <w:shd w:val="clear" w:color="auto" w:fill="auto"/>
            <w:vAlign w:val="center"/>
            <w:hideMark/>
          </w:tcPr>
          <w:p w14:paraId="4CB7E509"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hint="eastAsia"/>
                <w:color w:val="000000"/>
                <w:sz w:val="22"/>
                <w:lang w:eastAsia="zh-CN"/>
              </w:rPr>
              <w:t>0.</w:t>
            </w:r>
            <w:r w:rsidRPr="00461E75">
              <w:rPr>
                <w:rFonts w:eastAsia="等线" w:cs="Times New Roman"/>
                <w:color w:val="000000"/>
                <w:sz w:val="22"/>
                <w:lang w:eastAsia="zh-CN"/>
              </w:rPr>
              <w:t>15</w:t>
            </w:r>
          </w:p>
        </w:tc>
        <w:tc>
          <w:tcPr>
            <w:tcW w:w="765" w:type="pct"/>
            <w:tcBorders>
              <w:top w:val="nil"/>
              <w:left w:val="nil"/>
              <w:right w:val="nil"/>
            </w:tcBorders>
            <w:shd w:val="clear" w:color="auto" w:fill="auto"/>
            <w:vAlign w:val="center"/>
            <w:hideMark/>
          </w:tcPr>
          <w:p w14:paraId="45DA66E2"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hint="eastAsia"/>
                <w:color w:val="000000"/>
                <w:sz w:val="22"/>
                <w:lang w:eastAsia="zh-CN"/>
              </w:rPr>
              <w:t>200</w:t>
            </w:r>
            <w:r w:rsidRPr="00461E75">
              <w:rPr>
                <w:rFonts w:eastAsia="等线" w:cs="Times New Roman"/>
                <w:color w:val="000000"/>
                <w:sz w:val="22"/>
                <w:lang w:eastAsia="zh-CN"/>
              </w:rPr>
              <w:t>2</w:t>
            </w:r>
          </w:p>
        </w:tc>
        <w:tc>
          <w:tcPr>
            <w:tcW w:w="2062" w:type="pct"/>
            <w:tcBorders>
              <w:top w:val="nil"/>
              <w:left w:val="nil"/>
              <w:right w:val="nil"/>
            </w:tcBorders>
            <w:shd w:val="clear" w:color="auto" w:fill="auto"/>
            <w:vAlign w:val="center"/>
            <w:hideMark/>
          </w:tcPr>
          <w:p w14:paraId="66A9B30E"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phytoremediation</w:t>
            </w:r>
          </w:p>
        </w:tc>
      </w:tr>
      <w:tr w:rsidR="00461E75" w:rsidRPr="00461E75" w14:paraId="5D0305DB" w14:textId="77777777" w:rsidTr="00AC3BCA">
        <w:trPr>
          <w:trHeight w:val="278"/>
          <w:jc w:val="center"/>
        </w:trPr>
        <w:tc>
          <w:tcPr>
            <w:tcW w:w="866" w:type="pct"/>
            <w:tcBorders>
              <w:left w:val="nil"/>
              <w:bottom w:val="single" w:sz="8" w:space="0" w:color="auto"/>
              <w:right w:val="nil"/>
            </w:tcBorders>
            <w:shd w:val="clear" w:color="auto" w:fill="auto"/>
            <w:vAlign w:val="center"/>
            <w:hideMark/>
          </w:tcPr>
          <w:p w14:paraId="1EC2A7A7"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42</w:t>
            </w:r>
          </w:p>
        </w:tc>
        <w:tc>
          <w:tcPr>
            <w:tcW w:w="1307" w:type="pct"/>
            <w:tcBorders>
              <w:left w:val="nil"/>
              <w:bottom w:val="single" w:sz="8" w:space="0" w:color="auto"/>
              <w:right w:val="nil"/>
            </w:tcBorders>
            <w:shd w:val="clear" w:color="auto" w:fill="auto"/>
            <w:vAlign w:val="center"/>
            <w:hideMark/>
          </w:tcPr>
          <w:p w14:paraId="2CA66E36"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hint="eastAsia"/>
                <w:color w:val="000000"/>
                <w:sz w:val="22"/>
                <w:lang w:eastAsia="zh-CN"/>
              </w:rPr>
              <w:t>0.1</w:t>
            </w:r>
            <w:r w:rsidRPr="00461E75">
              <w:rPr>
                <w:rFonts w:eastAsia="等线" w:cs="Times New Roman"/>
                <w:color w:val="000000"/>
                <w:sz w:val="22"/>
                <w:lang w:eastAsia="zh-CN"/>
              </w:rPr>
              <w:t>4</w:t>
            </w:r>
          </w:p>
        </w:tc>
        <w:tc>
          <w:tcPr>
            <w:tcW w:w="765" w:type="pct"/>
            <w:tcBorders>
              <w:left w:val="nil"/>
              <w:bottom w:val="single" w:sz="8" w:space="0" w:color="auto"/>
              <w:right w:val="nil"/>
            </w:tcBorders>
            <w:shd w:val="clear" w:color="auto" w:fill="auto"/>
            <w:vAlign w:val="center"/>
            <w:hideMark/>
          </w:tcPr>
          <w:p w14:paraId="07DEDE78"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hint="eastAsia"/>
                <w:color w:val="000000"/>
                <w:sz w:val="22"/>
                <w:lang w:eastAsia="zh-CN"/>
              </w:rPr>
              <w:t>2004</w:t>
            </w:r>
          </w:p>
        </w:tc>
        <w:tc>
          <w:tcPr>
            <w:tcW w:w="2062" w:type="pct"/>
            <w:tcBorders>
              <w:left w:val="nil"/>
              <w:bottom w:val="single" w:sz="8" w:space="0" w:color="auto"/>
              <w:right w:val="nil"/>
            </w:tcBorders>
            <w:shd w:val="clear" w:color="auto" w:fill="auto"/>
            <w:vAlign w:val="center"/>
            <w:hideMark/>
          </w:tcPr>
          <w:p w14:paraId="0C0954B3" w14:textId="77777777" w:rsidR="00461E75" w:rsidRPr="00461E75" w:rsidRDefault="00461E75" w:rsidP="00461E75">
            <w:pPr>
              <w:spacing w:before="0" w:after="0"/>
              <w:jc w:val="center"/>
              <w:rPr>
                <w:rFonts w:eastAsia="等线" w:cs="Times New Roman"/>
                <w:color w:val="000000"/>
                <w:sz w:val="22"/>
                <w:lang w:eastAsia="zh-CN"/>
              </w:rPr>
            </w:pPr>
            <w:r w:rsidRPr="00461E75">
              <w:rPr>
                <w:rFonts w:eastAsia="等线" w:cs="Times New Roman"/>
                <w:color w:val="000000"/>
                <w:sz w:val="22"/>
                <w:lang w:eastAsia="zh-CN"/>
              </w:rPr>
              <w:t>accumulation</w:t>
            </w:r>
          </w:p>
        </w:tc>
      </w:tr>
      <w:bookmarkEnd w:id="1"/>
      <w:bookmarkEnd w:id="2"/>
    </w:tbl>
    <w:p w14:paraId="1AB90080" w14:textId="77777777" w:rsidR="00461E75" w:rsidRDefault="00461E75" w:rsidP="00461E75"/>
    <w:p w14:paraId="46048599" w14:textId="77777777" w:rsidR="00461E75" w:rsidRPr="00461E75" w:rsidRDefault="00461E75" w:rsidP="00461E75"/>
    <w:p w14:paraId="5CA2D766" w14:textId="152F9882" w:rsidR="002F685E" w:rsidRDefault="002F685E" w:rsidP="002F685E">
      <w:pPr>
        <w:pStyle w:val="1"/>
        <w:numPr>
          <w:ilvl w:val="0"/>
          <w:numId w:val="0"/>
        </w:numPr>
        <w:ind w:left="567" w:hanging="567"/>
        <w:rPr>
          <w:lang w:eastAsia="zh-CN"/>
        </w:rPr>
      </w:pPr>
      <w:r>
        <w:rPr>
          <w:rFonts w:hint="eastAsia"/>
          <w:lang w:eastAsia="zh-CN"/>
        </w:rPr>
        <w:t>R</w:t>
      </w:r>
      <w:r>
        <w:rPr>
          <w:lang w:eastAsia="zh-CN"/>
        </w:rPr>
        <w:t>eference</w:t>
      </w:r>
    </w:p>
    <w:p w14:paraId="576DD7B1" w14:textId="77777777" w:rsidR="002F685E" w:rsidRPr="002F685E" w:rsidRDefault="002F685E" w:rsidP="002F685E">
      <w:pPr>
        <w:pStyle w:val="aff9"/>
        <w:rPr>
          <w:rFonts w:cs="Times New Roman"/>
        </w:rPr>
      </w:pPr>
      <w:r>
        <w:rPr>
          <w:lang w:eastAsia="zh-CN"/>
        </w:rPr>
        <w:lastRenderedPageBreak/>
        <w:fldChar w:fldCharType="begin"/>
      </w:r>
      <w:r>
        <w:rPr>
          <w:lang w:eastAsia="zh-CN"/>
        </w:rPr>
        <w:instrText xml:space="preserve"> ADDIN ZOTERO_BIBL {"uncited":[],"omitted":[],"custom":[]} CSL_BIBLIOGRAPHY </w:instrText>
      </w:r>
      <w:r>
        <w:rPr>
          <w:lang w:eastAsia="zh-CN"/>
        </w:rPr>
        <w:fldChar w:fldCharType="separate"/>
      </w:r>
      <w:r w:rsidRPr="002F685E">
        <w:rPr>
          <w:rFonts w:cs="Times New Roman"/>
        </w:rPr>
        <w:t xml:space="preserve">Bannon, D. I., Drexler, J. W., Fent, G. M., Casteel, S. W., Hunter, P. J., Brattin, W. J., et al. (2009). Evaluation of Small Arms Range Soils for Metal Contamination and Lead Bioavailability. </w:t>
      </w:r>
      <w:r w:rsidRPr="002F685E">
        <w:rPr>
          <w:rFonts w:cs="Times New Roman"/>
          <w:i/>
          <w:iCs/>
        </w:rPr>
        <w:t>Environ. Sci. Technol.</w:t>
      </w:r>
      <w:r w:rsidRPr="002F685E">
        <w:rPr>
          <w:rFonts w:cs="Times New Roman"/>
        </w:rPr>
        <w:t xml:space="preserve"> 43, 9071–9076. doi: 10.1021/es901834h.</w:t>
      </w:r>
    </w:p>
    <w:p w14:paraId="2BF884E2" w14:textId="77777777" w:rsidR="002F685E" w:rsidRPr="002F685E" w:rsidRDefault="002F685E" w:rsidP="002F685E">
      <w:pPr>
        <w:pStyle w:val="aff9"/>
        <w:rPr>
          <w:rFonts w:cs="Times New Roman"/>
        </w:rPr>
      </w:pPr>
      <w:r w:rsidRPr="002F685E">
        <w:rPr>
          <w:rFonts w:cs="Times New Roman"/>
        </w:rPr>
        <w:t xml:space="preserve">Česynaitė, J., Praspaliauskas, M., Pedišius, N., and Sujetovienė, G. (2021). Biological assessment of contaminated shooting range soil using earthworm biomarkers. </w:t>
      </w:r>
      <w:r w:rsidRPr="002F685E">
        <w:rPr>
          <w:rFonts w:cs="Times New Roman"/>
          <w:i/>
          <w:iCs/>
        </w:rPr>
        <w:t>Ecotoxicology</w:t>
      </w:r>
      <w:r w:rsidRPr="002F685E">
        <w:rPr>
          <w:rFonts w:cs="Times New Roman"/>
        </w:rPr>
        <w:t xml:space="preserve"> 30, 2024–2035. doi: 10.1007/s10646-021-02463-w.</w:t>
      </w:r>
    </w:p>
    <w:p w14:paraId="780E94EF" w14:textId="77777777" w:rsidR="002F685E" w:rsidRPr="002F685E" w:rsidRDefault="002F685E" w:rsidP="002F685E">
      <w:pPr>
        <w:pStyle w:val="aff9"/>
        <w:rPr>
          <w:rFonts w:cs="Times New Roman"/>
        </w:rPr>
      </w:pPr>
      <w:r w:rsidRPr="002F685E">
        <w:rPr>
          <w:rFonts w:cs="Times New Roman"/>
        </w:rPr>
        <w:t xml:space="preserve">Česynaitė, J., Praspaliauskas, M., and Sujetovienė, G. (2023). Bioaccumulation of trace metal(loid)s and toxic response of Lactuca sativa grown in shooting range soil. </w:t>
      </w:r>
      <w:r w:rsidRPr="002F685E">
        <w:rPr>
          <w:rFonts w:cs="Times New Roman"/>
          <w:i/>
          <w:iCs/>
        </w:rPr>
        <w:t>Toxicological &amp; Environmental Chemistry</w:t>
      </w:r>
      <w:r w:rsidRPr="002F685E">
        <w:rPr>
          <w:rFonts w:cs="Times New Roman"/>
        </w:rPr>
        <w:t xml:space="preserve"> 105, 28–41. doi: 10.1080/02772248.2023.2199996.</w:t>
      </w:r>
    </w:p>
    <w:p w14:paraId="627495ED" w14:textId="77777777" w:rsidR="002F685E" w:rsidRPr="002F685E" w:rsidRDefault="002F685E" w:rsidP="002F685E">
      <w:pPr>
        <w:pStyle w:val="aff9"/>
        <w:rPr>
          <w:rFonts w:cs="Times New Roman"/>
        </w:rPr>
      </w:pPr>
      <w:r w:rsidRPr="002F685E">
        <w:rPr>
          <w:rFonts w:cs="Times New Roman"/>
        </w:rPr>
        <w:t xml:space="preserve">Christou, A., Hadjisterkotis, E., Dalias, P., Demetriou, E., Christofidou, M., Kozakou, S., et al. (2022). Lead contamination of soils, sediments, and vegetation in a shooting range and adjacent terrestrial and aquatic ecosystems: A holistic approach for evaluating potential risks. </w:t>
      </w:r>
      <w:r w:rsidRPr="002F685E">
        <w:rPr>
          <w:rFonts w:cs="Times New Roman"/>
          <w:i/>
          <w:iCs/>
        </w:rPr>
        <w:t>Chemosphere</w:t>
      </w:r>
      <w:r w:rsidRPr="002F685E">
        <w:rPr>
          <w:rFonts w:cs="Times New Roman"/>
        </w:rPr>
        <w:t xml:space="preserve"> 292, 133424. doi: 10.1016/j.chemosphere.2021.133424.</w:t>
      </w:r>
    </w:p>
    <w:p w14:paraId="2DA87DBD" w14:textId="77777777" w:rsidR="002F685E" w:rsidRPr="002F685E" w:rsidRDefault="002F685E" w:rsidP="002F685E">
      <w:pPr>
        <w:pStyle w:val="aff9"/>
        <w:rPr>
          <w:rFonts w:cs="Times New Roman"/>
        </w:rPr>
      </w:pPr>
      <w:r w:rsidRPr="002F685E">
        <w:rPr>
          <w:rFonts w:cs="Times New Roman"/>
        </w:rPr>
        <w:t xml:space="preserve">Dinake, P., Maphane, O., Sebogisi, K., and Kamwi, O. (2018). Pollution status of shooting range soils from Cd, Cu, Mn, Ni and Zn found in ammunition. </w:t>
      </w:r>
      <w:r w:rsidRPr="002F685E">
        <w:rPr>
          <w:rFonts w:cs="Times New Roman"/>
          <w:i/>
          <w:iCs/>
        </w:rPr>
        <w:t>Cogent Environmental Science</w:t>
      </w:r>
      <w:r w:rsidRPr="002F685E">
        <w:rPr>
          <w:rFonts w:cs="Times New Roman"/>
        </w:rPr>
        <w:t xml:space="preserve"> 4, 1528701. doi: 10.1080/23311843.2018.1528701.</w:t>
      </w:r>
    </w:p>
    <w:p w14:paraId="33EC90EE" w14:textId="77777777" w:rsidR="002F685E" w:rsidRPr="002F685E" w:rsidRDefault="002F685E" w:rsidP="002F685E">
      <w:pPr>
        <w:pStyle w:val="aff9"/>
        <w:rPr>
          <w:rFonts w:cs="Times New Roman"/>
        </w:rPr>
      </w:pPr>
      <w:r w:rsidRPr="002F685E">
        <w:rPr>
          <w:rFonts w:cs="Times New Roman"/>
        </w:rPr>
        <w:t xml:space="preserve">Dinake, P., Mokgosi, S. M., Kelebemang, R., Kereeditse, T. T., and Motswetla, O. (2022). Pollution assessment of antimony in shooting range soils. </w:t>
      </w:r>
      <w:r w:rsidRPr="002F685E">
        <w:rPr>
          <w:rFonts w:cs="Times New Roman"/>
          <w:i/>
          <w:iCs/>
        </w:rPr>
        <w:t>South African Journal of Chemistry</w:t>
      </w:r>
      <w:r w:rsidRPr="002F685E">
        <w:rPr>
          <w:rFonts w:cs="Times New Roman"/>
        </w:rPr>
        <w:t>, 72–78.</w:t>
      </w:r>
    </w:p>
    <w:p w14:paraId="1580C910" w14:textId="77777777" w:rsidR="002F685E" w:rsidRPr="002F685E" w:rsidRDefault="002F685E" w:rsidP="002F685E">
      <w:pPr>
        <w:pStyle w:val="aff9"/>
        <w:rPr>
          <w:rFonts w:cs="Times New Roman"/>
        </w:rPr>
      </w:pPr>
      <w:r w:rsidRPr="002F685E">
        <w:rPr>
          <w:rFonts w:cs="Times New Roman"/>
        </w:rPr>
        <w:t xml:space="preserve">Kelebemang, R., Dinake, P., Sehube, N., Daniel, B., Totolo, O., and Laetsang, M. (2017). Speciation and mobility of lead in shooting range soils. </w:t>
      </w:r>
      <w:r w:rsidRPr="002F685E">
        <w:rPr>
          <w:rFonts w:cs="Times New Roman"/>
          <w:i/>
          <w:iCs/>
        </w:rPr>
        <w:t>Chemical Speciation &amp; Bioavailability</w:t>
      </w:r>
      <w:r w:rsidRPr="002F685E">
        <w:rPr>
          <w:rFonts w:cs="Times New Roman"/>
        </w:rPr>
        <w:t xml:space="preserve"> 29, 143–152. doi: 10.1080/09542299.2017.1349552.</w:t>
      </w:r>
    </w:p>
    <w:p w14:paraId="08AE330C" w14:textId="77777777" w:rsidR="002F685E" w:rsidRPr="002F685E" w:rsidRDefault="002F685E" w:rsidP="002F685E">
      <w:pPr>
        <w:pStyle w:val="aff9"/>
        <w:rPr>
          <w:rFonts w:cs="Times New Roman"/>
        </w:rPr>
      </w:pPr>
      <w:r w:rsidRPr="002F685E">
        <w:rPr>
          <w:rFonts w:cs="Times New Roman"/>
        </w:rPr>
        <w:t xml:space="preserve">Knechtenhofer, L. A., Xifra, I. O., Scheinost, A. C., Flühler, H., and Kretzschmar, R. (2003). Fate of heavy metals in a strongly acidic shooting-range soil: small-scale metal distribution and its relation to preferential water flow. </w:t>
      </w:r>
      <w:r w:rsidRPr="002F685E">
        <w:rPr>
          <w:rFonts w:cs="Times New Roman"/>
          <w:i/>
          <w:iCs/>
        </w:rPr>
        <w:t>Journal of Plant Nutrition and Soil Science</w:t>
      </w:r>
      <w:r w:rsidRPr="002F685E">
        <w:rPr>
          <w:rFonts w:cs="Times New Roman"/>
        </w:rPr>
        <w:t xml:space="preserve"> 166, 84–92. doi: 10.1002/jpln.200390017.</w:t>
      </w:r>
    </w:p>
    <w:p w14:paraId="1DE90ABC" w14:textId="77777777" w:rsidR="002F685E" w:rsidRPr="002F685E" w:rsidRDefault="002F685E" w:rsidP="002F685E">
      <w:pPr>
        <w:pStyle w:val="aff9"/>
        <w:rPr>
          <w:rFonts w:cs="Times New Roman"/>
        </w:rPr>
      </w:pPr>
      <w:r w:rsidRPr="002F685E">
        <w:rPr>
          <w:rFonts w:cs="Times New Roman"/>
        </w:rPr>
        <w:t xml:space="preserve">Lafond, S., Blais, J.-F., Mercier, G., and Martel, R. (2014). A Counter-Current Acid Leaching Process for the Remediation of Contaminated Soils from a Small-Arms Shooting Range. </w:t>
      </w:r>
      <w:r w:rsidRPr="002F685E">
        <w:rPr>
          <w:rFonts w:cs="Times New Roman"/>
          <w:i/>
          <w:iCs/>
        </w:rPr>
        <w:t>Soil and Sediment Contamination: An International Journal</w:t>
      </w:r>
      <w:r w:rsidRPr="002F685E">
        <w:rPr>
          <w:rFonts w:cs="Times New Roman"/>
        </w:rPr>
        <w:t xml:space="preserve"> 23, 194–210. doi: 10.1080/15320383.2014.808171.</w:t>
      </w:r>
    </w:p>
    <w:p w14:paraId="104D8AB1" w14:textId="77777777" w:rsidR="002F685E" w:rsidRPr="002F685E" w:rsidRDefault="002F685E" w:rsidP="002F685E">
      <w:pPr>
        <w:pStyle w:val="aff9"/>
        <w:rPr>
          <w:rFonts w:cs="Times New Roman"/>
        </w:rPr>
      </w:pPr>
      <w:r w:rsidRPr="002F685E">
        <w:rPr>
          <w:rFonts w:cs="Times New Roman"/>
        </w:rPr>
        <w:t xml:space="preserve">Laporte‐Saumure, M., Martel, R., and Mercier, G. (2011). Characterization and metal availability of copper, lead, antimony and zinc contamination at four Canadian small arms firing ranges. </w:t>
      </w:r>
      <w:r w:rsidRPr="002F685E">
        <w:rPr>
          <w:rFonts w:cs="Times New Roman"/>
          <w:i/>
          <w:iCs/>
        </w:rPr>
        <w:t>Environmental Technology</w:t>
      </w:r>
      <w:r w:rsidRPr="002F685E">
        <w:rPr>
          <w:rFonts w:cs="Times New Roman"/>
        </w:rPr>
        <w:t xml:space="preserve"> 32, 767–781. doi: 10.1080/09593330.2010.512298.</w:t>
      </w:r>
    </w:p>
    <w:p w14:paraId="09CE6B37" w14:textId="77777777" w:rsidR="002F685E" w:rsidRPr="002F685E" w:rsidRDefault="002F685E" w:rsidP="002F685E">
      <w:pPr>
        <w:pStyle w:val="aff9"/>
        <w:rPr>
          <w:rFonts w:cs="Times New Roman"/>
        </w:rPr>
      </w:pPr>
      <w:r w:rsidRPr="002F685E">
        <w:rPr>
          <w:rFonts w:cs="Times New Roman"/>
        </w:rPr>
        <w:t>Lee, J.-H., and Park, K.-S. (2008). Heavy Metal Distribution in Soils from the Maehyang-ri Inland Shooting Range Area. 24, 407–414.</w:t>
      </w:r>
    </w:p>
    <w:p w14:paraId="4EF3D853" w14:textId="77777777" w:rsidR="002F685E" w:rsidRPr="002F685E" w:rsidRDefault="002F685E" w:rsidP="002F685E">
      <w:pPr>
        <w:pStyle w:val="aff9"/>
        <w:rPr>
          <w:rFonts w:cs="Times New Roman"/>
        </w:rPr>
      </w:pPr>
      <w:r w:rsidRPr="002F685E">
        <w:rPr>
          <w:rFonts w:cs="Times New Roman"/>
        </w:rPr>
        <w:t xml:space="preserve">Mariussen, E., Johnsen, I. V., and Strømseng, A. E. (2017). Distribution and mobility of lead (Pb), copper (Cu), zinc (Zn), and antimony (Sb) from ammunition residues on shooting ranges for small arms located on mires. </w:t>
      </w:r>
      <w:r w:rsidRPr="002F685E">
        <w:rPr>
          <w:rFonts w:cs="Times New Roman"/>
          <w:i/>
          <w:iCs/>
        </w:rPr>
        <w:t>Environ Sci Pollut Res</w:t>
      </w:r>
      <w:r w:rsidRPr="002F685E">
        <w:rPr>
          <w:rFonts w:cs="Times New Roman"/>
        </w:rPr>
        <w:t xml:space="preserve"> 24, 10182–10196. doi: 10.1007/s11356-017-8647-8.</w:t>
      </w:r>
    </w:p>
    <w:p w14:paraId="7BBEBC98" w14:textId="77777777" w:rsidR="002F685E" w:rsidRPr="002F685E" w:rsidRDefault="002F685E" w:rsidP="002F685E">
      <w:pPr>
        <w:pStyle w:val="aff9"/>
        <w:rPr>
          <w:rFonts w:cs="Times New Roman"/>
        </w:rPr>
      </w:pPr>
      <w:r w:rsidRPr="002F685E">
        <w:rPr>
          <w:rFonts w:cs="Times New Roman"/>
        </w:rPr>
        <w:lastRenderedPageBreak/>
        <w:t xml:space="preserve">Moon, I., Kim, H., Jeong, S., Choi, H., Park, J., and Lee, I. (2021). Chemical Properties of Heavy Metal-Contaminated Soils from a Korean Military Shooting Range: Evaluation of Pb Sources Using Pb Isotope Ratios. </w:t>
      </w:r>
      <w:r w:rsidRPr="002F685E">
        <w:rPr>
          <w:rFonts w:cs="Times New Roman"/>
          <w:i/>
          <w:iCs/>
        </w:rPr>
        <w:t>Applied Sciences</w:t>
      </w:r>
      <w:r w:rsidRPr="002F685E">
        <w:rPr>
          <w:rFonts w:cs="Times New Roman"/>
        </w:rPr>
        <w:t xml:space="preserve"> 11, 7099. doi: 10.3390/app11157099.</w:t>
      </w:r>
    </w:p>
    <w:p w14:paraId="5F560841" w14:textId="77777777" w:rsidR="002F685E" w:rsidRPr="002F685E" w:rsidRDefault="002F685E" w:rsidP="002F685E">
      <w:pPr>
        <w:pStyle w:val="aff9"/>
        <w:rPr>
          <w:rFonts w:cs="Times New Roman"/>
        </w:rPr>
      </w:pPr>
      <w:r w:rsidRPr="002F685E">
        <w:rPr>
          <w:rFonts w:cs="Times New Roman"/>
        </w:rPr>
        <w:t xml:space="preserve">Okkenhaug, G., Smebye, A. B., Pabst, T., Amundsen, C. E., Sævarsson, H., and Breedveld, G. D. (2018). Shooting range contamination: mobility and transport of lead (Pb), copper (Cu) and antimony (Sb) in contaminated peatland. </w:t>
      </w:r>
      <w:r w:rsidRPr="002F685E">
        <w:rPr>
          <w:rFonts w:cs="Times New Roman"/>
          <w:i/>
          <w:iCs/>
        </w:rPr>
        <w:t>J Soils Sediments</w:t>
      </w:r>
      <w:r w:rsidRPr="002F685E">
        <w:rPr>
          <w:rFonts w:cs="Times New Roman"/>
        </w:rPr>
        <w:t xml:space="preserve"> 18, 3310–3323. doi: 10.1007/s11368-017-1739-8.</w:t>
      </w:r>
    </w:p>
    <w:p w14:paraId="02879B54" w14:textId="77777777" w:rsidR="002F685E" w:rsidRPr="002F685E" w:rsidRDefault="002F685E" w:rsidP="002F685E">
      <w:pPr>
        <w:pStyle w:val="aff9"/>
        <w:rPr>
          <w:rFonts w:cs="Times New Roman"/>
        </w:rPr>
      </w:pPr>
      <w:r w:rsidRPr="002F685E">
        <w:rPr>
          <w:rFonts w:cs="Times New Roman"/>
        </w:rPr>
        <w:t xml:space="preserve">Rodríguez-Seijo, A., Alfaya, M. C., Andrade, M. L., and Vega, F. A. (2016). Copper, Chromium, Nickel, Lead and Zinc Levels and Pollution Degree in Firing Range Soils. </w:t>
      </w:r>
      <w:r w:rsidRPr="002F685E">
        <w:rPr>
          <w:rFonts w:cs="Times New Roman"/>
          <w:i/>
          <w:iCs/>
        </w:rPr>
        <w:t>Land Degradation &amp; Development</w:t>
      </w:r>
      <w:r w:rsidRPr="002F685E">
        <w:rPr>
          <w:rFonts w:cs="Times New Roman"/>
        </w:rPr>
        <w:t xml:space="preserve"> 27, 1721–1730. doi: 10.1002/ldr.2497.</w:t>
      </w:r>
    </w:p>
    <w:p w14:paraId="275EA6B4" w14:textId="77777777" w:rsidR="002F685E" w:rsidRPr="002F685E" w:rsidRDefault="002F685E" w:rsidP="002F685E">
      <w:pPr>
        <w:pStyle w:val="aff9"/>
        <w:rPr>
          <w:rFonts w:cs="Times New Roman"/>
        </w:rPr>
      </w:pPr>
      <w:r w:rsidRPr="002F685E">
        <w:rPr>
          <w:rFonts w:cs="Times New Roman"/>
        </w:rPr>
        <w:t xml:space="preserve">Sanderson, P., Naidu, R., Bolan, N., Bowman, M., and Mclure, S. (2012). Effect of soil type on distribution and bioaccessibility of metal contaminants in shooting range soils. </w:t>
      </w:r>
      <w:r w:rsidRPr="002F685E">
        <w:rPr>
          <w:rFonts w:cs="Times New Roman"/>
          <w:i/>
          <w:iCs/>
        </w:rPr>
        <w:t>Science of The Total Environment</w:t>
      </w:r>
      <w:r w:rsidRPr="002F685E">
        <w:rPr>
          <w:rFonts w:cs="Times New Roman"/>
        </w:rPr>
        <w:t xml:space="preserve"> 438, 452–462. doi: 10.1016/j.scitotenv.2012.08.014.</w:t>
      </w:r>
    </w:p>
    <w:p w14:paraId="752E2247" w14:textId="77777777" w:rsidR="002F685E" w:rsidRPr="002F685E" w:rsidRDefault="002F685E" w:rsidP="002F685E">
      <w:pPr>
        <w:pStyle w:val="aff9"/>
        <w:rPr>
          <w:rFonts w:cs="Times New Roman"/>
        </w:rPr>
      </w:pPr>
      <w:r w:rsidRPr="002F685E">
        <w:rPr>
          <w:rFonts w:cs="Times New Roman"/>
        </w:rPr>
        <w:t xml:space="preserve">Sorvari, J. (2007). Environmental Risks at Finnish Shooting Ranges—A Case Study. </w:t>
      </w:r>
      <w:r w:rsidRPr="002F685E">
        <w:rPr>
          <w:rFonts w:cs="Times New Roman"/>
          <w:i/>
          <w:iCs/>
        </w:rPr>
        <w:t>Human and Ecological Risk Assessment: An International Journal</w:t>
      </w:r>
      <w:r w:rsidRPr="002F685E">
        <w:rPr>
          <w:rFonts w:cs="Times New Roman"/>
        </w:rPr>
        <w:t xml:space="preserve"> 13, 1111–1146. doi: 10.1080/10807030701506124.</w:t>
      </w:r>
    </w:p>
    <w:p w14:paraId="05E5FB4D" w14:textId="77777777" w:rsidR="002F685E" w:rsidRPr="002F685E" w:rsidRDefault="002F685E" w:rsidP="002F685E">
      <w:pPr>
        <w:pStyle w:val="aff9"/>
        <w:rPr>
          <w:rFonts w:cs="Times New Roman"/>
        </w:rPr>
      </w:pPr>
      <w:r w:rsidRPr="002F685E">
        <w:rPr>
          <w:rFonts w:cs="Times New Roman"/>
        </w:rPr>
        <w:t xml:space="preserve">Sujetoviene, G., and Cesynaite, J. (2020). Changes in physicochemical properties and contamination with lead in outdoor shooting range soils. </w:t>
      </w:r>
      <w:r w:rsidRPr="002F685E">
        <w:rPr>
          <w:rFonts w:cs="Times New Roman"/>
          <w:i/>
          <w:iCs/>
        </w:rPr>
        <w:t>Environ. Eng. Manag. J.</w:t>
      </w:r>
      <w:r w:rsidRPr="002F685E">
        <w:rPr>
          <w:rFonts w:cs="Times New Roman"/>
        </w:rPr>
        <w:t xml:space="preserve"> 19, 1025–1031. doi: 10.30638/eemj.2020.097.</w:t>
      </w:r>
    </w:p>
    <w:p w14:paraId="62E6760A" w14:textId="77777777" w:rsidR="002F685E" w:rsidRPr="002F685E" w:rsidRDefault="002F685E" w:rsidP="002F685E">
      <w:pPr>
        <w:pStyle w:val="aff9"/>
        <w:rPr>
          <w:rFonts w:cs="Times New Roman"/>
        </w:rPr>
      </w:pPr>
      <w:r w:rsidRPr="002F685E">
        <w:rPr>
          <w:rFonts w:cs="Times New Roman"/>
        </w:rPr>
        <w:t xml:space="preserve">Wang, L., Li, H., Li, A., and Deng, J. (2022). Study on characteristics and ecological risks of heavy metal pollution in soil of projectile range in military training ground - A case of a training ground in Tibet. </w:t>
      </w:r>
      <w:r w:rsidRPr="002F685E">
        <w:rPr>
          <w:rFonts w:cs="Times New Roman"/>
          <w:i/>
          <w:iCs/>
        </w:rPr>
        <w:t>Environmental Chemistry</w:t>
      </w:r>
      <w:r w:rsidRPr="002F685E">
        <w:rPr>
          <w:rFonts w:cs="Times New Roman"/>
        </w:rPr>
        <w:t>, 2646–2654.</w:t>
      </w:r>
    </w:p>
    <w:p w14:paraId="59C64C5E" w14:textId="36584BCD" w:rsidR="002F685E" w:rsidRPr="002F685E" w:rsidRDefault="002F685E" w:rsidP="002F685E">
      <w:pPr>
        <w:rPr>
          <w:lang w:eastAsia="zh-CN"/>
        </w:rPr>
      </w:pPr>
      <w:r>
        <w:rPr>
          <w:lang w:eastAsia="zh-CN"/>
        </w:rPr>
        <w:fldChar w:fldCharType="end"/>
      </w:r>
    </w:p>
    <w:sectPr w:rsidR="002F685E" w:rsidRPr="002F685E" w:rsidSect="00551AFA">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5D633" w14:textId="77777777" w:rsidR="00551AFA" w:rsidRDefault="00551AFA" w:rsidP="00117666">
      <w:pPr>
        <w:spacing w:after="0"/>
      </w:pPr>
      <w:r>
        <w:separator/>
      </w:r>
    </w:p>
  </w:endnote>
  <w:endnote w:type="continuationSeparator" w:id="0">
    <w:p w14:paraId="061E19D1" w14:textId="77777777" w:rsidR="00551AFA" w:rsidRDefault="00551AFA"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5618F1"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5618F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5618F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5618F1"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5618F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5618F1"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79162" w14:textId="77777777" w:rsidR="00551AFA" w:rsidRDefault="00551AFA" w:rsidP="00117666">
      <w:pPr>
        <w:spacing w:after="0"/>
      </w:pPr>
      <w:r>
        <w:separator/>
      </w:r>
    </w:p>
  </w:footnote>
  <w:footnote w:type="continuationSeparator" w:id="0">
    <w:p w14:paraId="76825A78" w14:textId="77777777" w:rsidR="00551AFA" w:rsidRDefault="00551AFA"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5618F1"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5618F1"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2A7CAC"/>
    <w:multiLevelType w:val="multilevel"/>
    <w:tmpl w:val="2D740DBE"/>
    <w:numStyleLink w:val="Headings"/>
  </w:abstractNum>
  <w:abstractNum w:abstractNumId="5"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5"/>
  </w:num>
  <w:num w:numId="3" w16cid:durableId="615480040">
    <w:abstractNumId w:val="1"/>
  </w:num>
  <w:num w:numId="4" w16cid:durableId="1566183234">
    <w:abstractNumId w:val="6"/>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7"/>
  </w:num>
  <w:num w:numId="8" w16cid:durableId="1559510671">
    <w:abstractNumId w:val="7"/>
  </w:num>
  <w:num w:numId="9" w16cid:durableId="1734543462">
    <w:abstractNumId w:val="7"/>
  </w:num>
  <w:num w:numId="10" w16cid:durableId="708839681">
    <w:abstractNumId w:val="7"/>
  </w:num>
  <w:num w:numId="11" w16cid:durableId="2046978920">
    <w:abstractNumId w:val="7"/>
  </w:num>
  <w:num w:numId="12" w16cid:durableId="2124614653">
    <w:abstractNumId w:val="7"/>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 w:numId="20" w16cid:durableId="2002923295">
    <w:abstractNumId w:val="2"/>
    <w:lvlOverride w:ilvl="0">
      <w:lvl w:ilvl="0">
        <w:start w:val="1"/>
        <w:numFmt w:val="decimal"/>
        <w:pStyle w:val="1"/>
        <w:lvlText w:val="%1"/>
        <w:lvlJc w:val="left"/>
        <w:pPr>
          <w:tabs>
            <w:tab w:val="num" w:pos="567"/>
          </w:tabs>
          <w:ind w:left="567" w:hanging="567"/>
        </w:pPr>
        <w:rPr>
          <w:rFonts w:hint="default"/>
        </w:rPr>
      </w:lvl>
    </w:lvlOverride>
    <w:lvlOverride w:ilvl="1">
      <w:lvl w:ilvl="1">
        <w:start w:val="1"/>
        <w:numFmt w:val="decimal"/>
        <w:pStyle w:val="2"/>
        <w:lvlText w:val="%1.%2"/>
        <w:lvlJc w:val="left"/>
        <w:pPr>
          <w:tabs>
            <w:tab w:val="num" w:pos="567"/>
          </w:tabs>
          <w:ind w:left="567" w:hanging="567"/>
        </w:pPr>
        <w:rPr>
          <w:rFonts w:hint="default"/>
        </w:rPr>
      </w:lvl>
    </w:lvlOverride>
  </w:num>
  <w:num w:numId="21" w16cid:durableId="4145169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238D8"/>
    <w:rsid w:val="00034304"/>
    <w:rsid w:val="00035434"/>
    <w:rsid w:val="00045AA4"/>
    <w:rsid w:val="00052A14"/>
    <w:rsid w:val="00077D53"/>
    <w:rsid w:val="00094E10"/>
    <w:rsid w:val="000E412B"/>
    <w:rsid w:val="00105FD9"/>
    <w:rsid w:val="00117666"/>
    <w:rsid w:val="001549D3"/>
    <w:rsid w:val="00160065"/>
    <w:rsid w:val="00177D84"/>
    <w:rsid w:val="00267D18"/>
    <w:rsid w:val="002868E2"/>
    <w:rsid w:val="002869C3"/>
    <w:rsid w:val="002936E4"/>
    <w:rsid w:val="002B4A57"/>
    <w:rsid w:val="002C74CA"/>
    <w:rsid w:val="002E21CF"/>
    <w:rsid w:val="002F685E"/>
    <w:rsid w:val="00351FAB"/>
    <w:rsid w:val="003544FB"/>
    <w:rsid w:val="003D2F2D"/>
    <w:rsid w:val="00401590"/>
    <w:rsid w:val="00447801"/>
    <w:rsid w:val="00452E9C"/>
    <w:rsid w:val="00461E75"/>
    <w:rsid w:val="004735C8"/>
    <w:rsid w:val="004961FF"/>
    <w:rsid w:val="00517A89"/>
    <w:rsid w:val="005250F2"/>
    <w:rsid w:val="00551AFA"/>
    <w:rsid w:val="005618F1"/>
    <w:rsid w:val="00570533"/>
    <w:rsid w:val="00572E45"/>
    <w:rsid w:val="00593EEA"/>
    <w:rsid w:val="005A5EEE"/>
    <w:rsid w:val="006375C7"/>
    <w:rsid w:val="00654E8F"/>
    <w:rsid w:val="00660D05"/>
    <w:rsid w:val="006820B1"/>
    <w:rsid w:val="006B7D14"/>
    <w:rsid w:val="006F736F"/>
    <w:rsid w:val="00701727"/>
    <w:rsid w:val="0070566C"/>
    <w:rsid w:val="00714C50"/>
    <w:rsid w:val="00725A7D"/>
    <w:rsid w:val="007501BE"/>
    <w:rsid w:val="00790BB3"/>
    <w:rsid w:val="007C206C"/>
    <w:rsid w:val="00803D24"/>
    <w:rsid w:val="00817DD6"/>
    <w:rsid w:val="00885156"/>
    <w:rsid w:val="009151AA"/>
    <w:rsid w:val="0093429D"/>
    <w:rsid w:val="00943573"/>
    <w:rsid w:val="00970F7D"/>
    <w:rsid w:val="00994A3D"/>
    <w:rsid w:val="009C2B12"/>
    <w:rsid w:val="009C70F3"/>
    <w:rsid w:val="00A174D9"/>
    <w:rsid w:val="00A569CD"/>
    <w:rsid w:val="00A77633"/>
    <w:rsid w:val="00AB6715"/>
    <w:rsid w:val="00B1671E"/>
    <w:rsid w:val="00B210C4"/>
    <w:rsid w:val="00B25EB8"/>
    <w:rsid w:val="00B354E1"/>
    <w:rsid w:val="00B37F4D"/>
    <w:rsid w:val="00B87B54"/>
    <w:rsid w:val="00BA26D7"/>
    <w:rsid w:val="00C52A7B"/>
    <w:rsid w:val="00C56BAF"/>
    <w:rsid w:val="00C679AA"/>
    <w:rsid w:val="00C75972"/>
    <w:rsid w:val="00CB5842"/>
    <w:rsid w:val="00CC0A3A"/>
    <w:rsid w:val="00CD066B"/>
    <w:rsid w:val="00CE4FEE"/>
    <w:rsid w:val="00CF2917"/>
    <w:rsid w:val="00D161B2"/>
    <w:rsid w:val="00DB59C3"/>
    <w:rsid w:val="00DC259A"/>
    <w:rsid w:val="00DD3B73"/>
    <w:rsid w:val="00DE23E8"/>
    <w:rsid w:val="00E41BE8"/>
    <w:rsid w:val="00E52377"/>
    <w:rsid w:val="00E64E17"/>
    <w:rsid w:val="00E866C9"/>
    <w:rsid w:val="00EA3D3C"/>
    <w:rsid w:val="00F46900"/>
    <w:rsid w:val="00F60009"/>
    <w:rsid w:val="00F61D89"/>
    <w:rsid w:val="00F84744"/>
    <w:rsid w:val="00FD3B8C"/>
    <w:rsid w:val="00FF50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 w:type="paragraph" w:styleId="aff8">
    <w:name w:val="Revision"/>
    <w:hidden/>
    <w:uiPriority w:val="99"/>
    <w:semiHidden/>
    <w:rsid w:val="00803D24"/>
    <w:pPr>
      <w:spacing w:after="0" w:line="240" w:lineRule="auto"/>
    </w:pPr>
    <w:rPr>
      <w:rFonts w:ascii="Times New Roman" w:hAnsi="Times New Roman"/>
      <w:sz w:val="24"/>
    </w:rPr>
  </w:style>
  <w:style w:type="paragraph" w:styleId="aff9">
    <w:name w:val="Bibliography"/>
    <w:basedOn w:val="a0"/>
    <w:next w:val="a0"/>
    <w:uiPriority w:val="37"/>
    <w:unhideWhenUsed/>
    <w:rsid w:val="002F685E"/>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tiff"/><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2.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3.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168</TotalTime>
  <Pages>7</Pages>
  <Words>1864</Words>
  <Characters>10627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逸宁 朱</cp:lastModifiedBy>
  <cp:revision>17</cp:revision>
  <cp:lastPrinted>2013-10-03T12:51:00Z</cp:lastPrinted>
  <dcterms:created xsi:type="dcterms:W3CDTF">2023-12-07T14:16:00Z</dcterms:created>
  <dcterms:modified xsi:type="dcterms:W3CDTF">2024-02-16T05:34:00Z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ZOTERO_PREF_1">
    <vt:lpwstr>&lt;data data-version="3" zotero-version="6.0.30"&gt;&lt;session id="R70F1FQ7"/&gt;&lt;style id="http://www.zotero.org/styles/frontiers-in-environmental-science" hasBibliography="1" bibliographyStyleHasBeenSet="1"/&gt;&lt;prefs&gt;&lt;pref name="fieldType" value="Field"/&gt;&lt;/prefs&gt;&lt;/</vt:lpwstr>
  </property>
  <property fmtid="{D5CDD505-2E9C-101B-9397-08002B2CF9AE}" pid="11" name="ZOTERO_PREF_2">
    <vt:lpwstr>data&gt;</vt:lpwstr>
  </property>
</Properties>
</file>