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07970E94" w14:textId="77777777" w:rsidR="00994A3D" w:rsidRPr="001549D3" w:rsidRDefault="00994A3D" w:rsidP="0001436A">
      <w:pPr>
        <w:pStyle w:val="Heading2"/>
      </w:pPr>
      <w:bookmarkStart w:id="0" w:name="_Hlk153190427"/>
      <w:r w:rsidRPr="0001436A">
        <w:t>Supplementary</w:t>
      </w:r>
      <w:r w:rsidRPr="001549D3">
        <w:t xml:space="preserve"> Figures</w:t>
      </w:r>
    </w:p>
    <w:bookmarkEnd w:id="0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1CE0" w14:textId="77777777" w:rsidR="00423A76" w:rsidRPr="00423A76" w:rsidRDefault="00994A3D" w:rsidP="00423A76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23A76" w:rsidRPr="00423A76">
        <w:rPr>
          <w:rFonts w:cs="Times New Roman"/>
          <w:b/>
          <w:szCs w:val="24"/>
        </w:rPr>
        <w:t>Correlation curves between LTL and chronological age of n =20 patients with mild to moderate neurological disorders before (A) and after (B) visual arts-mediated CAT.</w:t>
      </w:r>
      <w:r w:rsidR="00423A76" w:rsidRPr="00423A76">
        <w:rPr>
          <w:rFonts w:cs="Times New Roman"/>
          <w:szCs w:val="24"/>
        </w:rPr>
        <w:t xml:space="preserve"> In (A), a simple linear regression plot shows the correlation between LTL and chronological age before treatment [correlation coefficient (r)=0.07441; two-sided p=0.7552]; while in (B), simple linear regression linear regression plot showing the correlation between LTL and chronological age after treatment [correlation coefficient (r)=0.002759; two-sided p=0.9908]. Mean, standard error (SE), and 95% coefficient intervals (CI) are represented as orange, pink, and black lines, respectively.</w:t>
      </w:r>
    </w:p>
    <w:p w14:paraId="58F1AED1" w14:textId="533E526A" w:rsidR="00423A76" w:rsidRDefault="00423A76" w:rsidP="00654E8F">
      <w:pPr>
        <w:spacing w:before="240"/>
      </w:pPr>
      <w:r w:rsidRPr="00423A76">
        <w:rPr>
          <w:rFonts w:eastAsia="Times New Roman" w:cs="Times New Roman"/>
          <w:b/>
          <w:noProof/>
          <w:color w:val="000000"/>
          <w:szCs w:val="24"/>
          <w:u w:val="single"/>
          <w:lang w:val="en-GB" w:eastAsia="en-GB"/>
        </w:rPr>
        <w:drawing>
          <wp:inline distT="0" distB="0" distL="0" distR="0" wp14:anchorId="5A01258F" wp14:editId="1CE903EA">
            <wp:extent cx="6096635" cy="34290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350CE6FB" w14:textId="77777777" w:rsidR="00423A76" w:rsidRPr="00423A76" w:rsidRDefault="00423A76" w:rsidP="00423A76">
      <w:pPr>
        <w:widowControl w:val="0"/>
        <w:autoSpaceDE w:val="0"/>
        <w:autoSpaceDN w:val="0"/>
        <w:adjustRightInd w:val="0"/>
        <w:spacing w:after="0"/>
        <w:ind w:left="135"/>
        <w:jc w:val="both"/>
        <w:rPr>
          <w:rFonts w:eastAsia="Calibri" w:cs="Times New Roman"/>
          <w:color w:val="282828"/>
          <w:kern w:val="2"/>
          <w:szCs w:val="24"/>
          <w:shd w:val="clear" w:color="auto" w:fill="FFFFFF"/>
          <w:lang w:val="en-GB"/>
          <w14:ligatures w14:val="standardContextual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 xml:space="preserve">Correlation curve between </w:t>
      </w:r>
      <w:bookmarkStart w:id="1" w:name="_Hlk149141094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∆</w:t>
      </w:r>
      <w:proofErr w:type="spellStart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DNAmAge</w:t>
      </w:r>
      <w:proofErr w:type="spellEnd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 xml:space="preserve"> </w:t>
      </w:r>
      <w:bookmarkEnd w:id="1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(∆</w:t>
      </w:r>
      <w:proofErr w:type="spellStart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DNAmAge</w:t>
      </w:r>
      <w:proofErr w:type="spellEnd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 xml:space="preserve"> = </w:t>
      </w:r>
      <w:proofErr w:type="spellStart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DNAmAge</w:t>
      </w:r>
      <w:proofErr w:type="spellEnd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 xml:space="preserve"> T1- </w:t>
      </w:r>
      <w:proofErr w:type="spellStart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DNAmAge</w:t>
      </w:r>
      <w:proofErr w:type="spellEnd"/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 xml:space="preserve"> T0) and days of treatment of patients with mild to moderate neurocognitive disorders (</w:t>
      </w:r>
      <w:r w:rsidRPr="00423A76">
        <w:rPr>
          <w:rFonts w:eastAsia="Calibri" w:cs="Times New Roman"/>
          <w:b/>
          <w:iCs/>
          <w:color w:val="282828"/>
          <w:szCs w:val="24"/>
          <w:shd w:val="clear" w:color="auto" w:fill="FFFFFF"/>
          <w:lang w:val="en-GB"/>
        </w:rPr>
        <w:t>n</w:t>
      </w:r>
      <w:r w:rsidRPr="00423A76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 = 20).</w:t>
      </w:r>
      <w:r w:rsidRPr="00423A76">
        <w:rPr>
          <w:rFonts w:eastAsia="Calibri" w:cs="Times New Roman"/>
          <w:color w:val="282828"/>
          <w:szCs w:val="24"/>
          <w:shd w:val="clear" w:color="auto" w:fill="FFFFFF"/>
          <w:lang w:val="en-GB"/>
        </w:rPr>
        <w:t xml:space="preserve"> A simple linear regression plot shows the correlation between ∆</w:t>
      </w:r>
      <w:proofErr w:type="spellStart"/>
      <w:r w:rsidRPr="00423A76">
        <w:rPr>
          <w:rFonts w:eastAsia="Calibri" w:cs="Times New Roman"/>
          <w:color w:val="282828"/>
          <w:szCs w:val="24"/>
          <w:shd w:val="clear" w:color="auto" w:fill="FFFFFF"/>
          <w:lang w:val="en-GB"/>
        </w:rPr>
        <w:t>DNAmAge</w:t>
      </w:r>
      <w:proofErr w:type="spellEnd"/>
      <w:r w:rsidRPr="00423A76">
        <w:rPr>
          <w:rFonts w:eastAsia="Calibri" w:cs="Times New Roman"/>
          <w:color w:val="282828"/>
          <w:szCs w:val="24"/>
          <w:shd w:val="clear" w:color="auto" w:fill="FFFFFF"/>
          <w:lang w:val="en-GB"/>
        </w:rPr>
        <w:t xml:space="preserve"> and days of treatment [correlation coefficient (r) =0.373308; two-sided </w:t>
      </w:r>
      <w:r w:rsidRPr="00423A76">
        <w:rPr>
          <w:rFonts w:eastAsia="Calibri" w:cs="Times New Roman"/>
          <w:iCs/>
          <w:color w:val="282828"/>
          <w:szCs w:val="24"/>
          <w:shd w:val="clear" w:color="auto" w:fill="FFFFFF"/>
          <w:lang w:val="en-GB"/>
        </w:rPr>
        <w:t>p=</w:t>
      </w:r>
      <w:r w:rsidRPr="00423A76">
        <w:rPr>
          <w:rFonts w:eastAsia="Calibri" w:cs="Times New Roman"/>
          <w:color w:val="282828"/>
          <w:szCs w:val="24"/>
          <w:shd w:val="clear" w:color="auto" w:fill="FFFFFF"/>
          <w:lang w:val="en-GB"/>
        </w:rPr>
        <w:t xml:space="preserve"> 0.7133]. Mean, standard error (SE), and 95% coefficient intervals (CI) are represented as </w:t>
      </w:r>
      <w:bookmarkStart w:id="2" w:name="_Hlk149140847"/>
      <w:r w:rsidRPr="00423A76">
        <w:rPr>
          <w:rFonts w:eastAsia="Calibri" w:cs="Times New Roman"/>
          <w:color w:val="282828"/>
          <w:szCs w:val="24"/>
          <w:shd w:val="clear" w:color="auto" w:fill="FFFFFF"/>
          <w:lang w:val="en-GB"/>
        </w:rPr>
        <w:t>orange</w:t>
      </w:r>
      <w:bookmarkEnd w:id="2"/>
      <w:r w:rsidRPr="00423A76">
        <w:rPr>
          <w:rFonts w:eastAsia="Calibri" w:cs="Times New Roman"/>
          <w:color w:val="282828"/>
          <w:szCs w:val="24"/>
          <w:shd w:val="clear" w:color="auto" w:fill="FFFFFF"/>
          <w:lang w:val="en-GB"/>
        </w:rPr>
        <w:t>, pink, and black lines, respectively.</w:t>
      </w:r>
    </w:p>
    <w:p w14:paraId="1AE83198" w14:textId="57B51D89" w:rsidR="00423A76" w:rsidRPr="00423A76" w:rsidRDefault="00423A76" w:rsidP="00423A76">
      <w:pPr>
        <w:keepNext/>
        <w:jc w:val="both"/>
        <w:rPr>
          <w:rFonts w:cs="Times New Roman"/>
          <w:szCs w:val="24"/>
          <w:lang w:val="en-GB"/>
        </w:rPr>
      </w:pPr>
    </w:p>
    <w:p w14:paraId="18EC830D" w14:textId="71A555D1" w:rsidR="00CB1B2B" w:rsidRDefault="00423A76" w:rsidP="00CB1B2B">
      <w:pPr>
        <w:spacing w:before="240"/>
        <w:jc w:val="center"/>
      </w:pPr>
      <w:r w:rsidRPr="00423A76">
        <w:rPr>
          <w:rFonts w:eastAsia="Times New Roman" w:cs="Times New Roman"/>
          <w:b/>
          <w:bCs/>
          <w:noProof/>
          <w:szCs w:val="24"/>
          <w:lang w:val="en-GB" w:eastAsia="it-IT"/>
        </w:rPr>
        <w:drawing>
          <wp:inline distT="0" distB="0" distL="0" distR="0" wp14:anchorId="16A2EF69" wp14:editId="03C75222">
            <wp:extent cx="4667415" cy="3428857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2" r="10528"/>
                    <a:stretch/>
                  </pic:blipFill>
                  <pic:spPr bwMode="auto">
                    <a:xfrm>
                      <a:off x="0" y="0"/>
                      <a:ext cx="4667609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1B2B">
        <w:br w:type="page"/>
      </w:r>
    </w:p>
    <w:p w14:paraId="0105BB93" w14:textId="77777777" w:rsidR="00CB1B2B" w:rsidRPr="00CB1B2B" w:rsidRDefault="00CB1B2B" w:rsidP="00CB1B2B">
      <w:pPr>
        <w:widowControl w:val="0"/>
        <w:autoSpaceDE w:val="0"/>
        <w:autoSpaceDN w:val="0"/>
        <w:adjustRightInd w:val="0"/>
        <w:spacing w:after="0"/>
        <w:ind w:left="135"/>
        <w:jc w:val="both"/>
        <w:rPr>
          <w:rFonts w:eastAsia="Calibri" w:cs="Times New Roman"/>
          <w:color w:val="282828"/>
          <w:kern w:val="2"/>
          <w:szCs w:val="24"/>
          <w:shd w:val="clear" w:color="auto" w:fill="FFFFFF"/>
          <w:lang w:val="en-GB"/>
          <w14:ligatures w14:val="standardContextual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CB1B2B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 xml:space="preserve">Correlation curve between </w:t>
      </w:r>
      <w:bookmarkStart w:id="3" w:name="_Hlk149140985"/>
      <w:r w:rsidRPr="00CB1B2B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∆</w:t>
      </w:r>
      <w:proofErr w:type="spellStart"/>
      <w:r w:rsidRPr="00CB1B2B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DNAmAge</w:t>
      </w:r>
      <w:proofErr w:type="spellEnd"/>
      <w:r w:rsidRPr="00CB1B2B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 xml:space="preserve"> and ∆LTL </w:t>
      </w:r>
      <w:bookmarkEnd w:id="3"/>
      <w:r w:rsidRPr="00CB1B2B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of patients with mild to moderate neurocognitive disorders (</w:t>
      </w:r>
      <w:r w:rsidRPr="00CB1B2B">
        <w:rPr>
          <w:rFonts w:eastAsia="Calibri" w:cs="Times New Roman"/>
          <w:b/>
          <w:iCs/>
          <w:color w:val="282828"/>
          <w:szCs w:val="24"/>
          <w:shd w:val="clear" w:color="auto" w:fill="FFFFFF"/>
          <w:lang w:val="en-GB"/>
        </w:rPr>
        <w:t>n</w:t>
      </w:r>
      <w:r w:rsidRPr="00CB1B2B">
        <w:rPr>
          <w:rFonts w:eastAsia="Calibri" w:cs="Times New Roman"/>
          <w:b/>
          <w:color w:val="282828"/>
          <w:szCs w:val="24"/>
          <w:shd w:val="clear" w:color="auto" w:fill="FFFFFF"/>
          <w:lang w:val="en-GB"/>
        </w:rPr>
        <w:t> = 20).</w:t>
      </w:r>
      <w:r w:rsidRPr="00CB1B2B">
        <w:rPr>
          <w:rFonts w:eastAsia="Calibri" w:cs="Times New Roman"/>
          <w:color w:val="282828"/>
          <w:szCs w:val="24"/>
          <w:shd w:val="clear" w:color="auto" w:fill="FFFFFF"/>
          <w:lang w:val="en-GB"/>
        </w:rPr>
        <w:t xml:space="preserve"> A simple linear regression plot shows the correlation between ∆</w:t>
      </w:r>
      <w:proofErr w:type="spellStart"/>
      <w:r w:rsidRPr="00CB1B2B">
        <w:rPr>
          <w:rFonts w:eastAsia="Calibri" w:cs="Times New Roman"/>
          <w:color w:val="282828"/>
          <w:szCs w:val="24"/>
          <w:shd w:val="clear" w:color="auto" w:fill="FFFFFF"/>
          <w:lang w:val="en-GB"/>
        </w:rPr>
        <w:t>DNAmAge</w:t>
      </w:r>
      <w:proofErr w:type="spellEnd"/>
      <w:r w:rsidRPr="00CB1B2B">
        <w:rPr>
          <w:rFonts w:eastAsia="Calibri" w:cs="Times New Roman"/>
          <w:color w:val="282828"/>
          <w:szCs w:val="24"/>
          <w:shd w:val="clear" w:color="auto" w:fill="FFFFFF"/>
          <w:lang w:val="en-GB"/>
        </w:rPr>
        <w:t xml:space="preserve"> and ∆LTL [correlation coefficient (r)=0.</w:t>
      </w:r>
      <w:r w:rsidRPr="00CB1B2B">
        <w:rPr>
          <w:rFonts w:eastAsia="Times New Roman" w:cs="Times New Roman"/>
          <w:color w:val="000000"/>
          <w:szCs w:val="24"/>
          <w:lang w:val="en-GB" w:eastAsia="en-GB"/>
        </w:rPr>
        <w:t>596247</w:t>
      </w:r>
      <w:r w:rsidRPr="00CB1B2B">
        <w:rPr>
          <w:rFonts w:eastAsia="Calibri" w:cs="Times New Roman"/>
          <w:color w:val="282828"/>
          <w:szCs w:val="24"/>
          <w:shd w:val="clear" w:color="auto" w:fill="FFFFFF"/>
          <w:lang w:val="en-GB"/>
        </w:rPr>
        <w:t>; two-sided </w:t>
      </w:r>
      <w:r w:rsidRPr="00CB1B2B">
        <w:rPr>
          <w:rFonts w:eastAsia="Calibri" w:cs="Times New Roman"/>
          <w:iCs/>
          <w:color w:val="282828"/>
          <w:szCs w:val="24"/>
          <w:shd w:val="clear" w:color="auto" w:fill="FFFFFF"/>
          <w:lang w:val="en-GB"/>
        </w:rPr>
        <w:t>p=</w:t>
      </w:r>
      <w:r w:rsidRPr="00CB1B2B">
        <w:rPr>
          <w:rFonts w:eastAsia="Calibri" w:cs="Times New Roman"/>
          <w:color w:val="282828"/>
          <w:szCs w:val="24"/>
          <w:shd w:val="clear" w:color="auto" w:fill="FFFFFF"/>
          <w:lang w:val="en-GB"/>
        </w:rPr>
        <w:t> 0.5599]. Mean, standard error (SE), and 95% coefficient intervals (CI) are represented as orange, pink, and black lines, respectively.</w:t>
      </w:r>
    </w:p>
    <w:p w14:paraId="6EDA142E" w14:textId="2300F7BE" w:rsidR="00CB1B2B" w:rsidRDefault="00CB1B2B" w:rsidP="00CB1B2B">
      <w:pPr>
        <w:spacing w:before="240"/>
        <w:rPr>
          <w:lang w:val="en-GB"/>
        </w:rPr>
      </w:pPr>
      <w:r w:rsidRPr="00CB1B2B">
        <w:rPr>
          <w:rFonts w:eastAsia="Times New Roman" w:cs="Times New Roman"/>
          <w:b/>
          <w:bCs/>
          <w:noProof/>
          <w:szCs w:val="24"/>
          <w:lang w:val="en-GB" w:eastAsia="it-IT"/>
        </w:rPr>
        <w:drawing>
          <wp:inline distT="0" distB="0" distL="0" distR="0" wp14:anchorId="33395EB2" wp14:editId="3AF2962D">
            <wp:extent cx="6096528" cy="34292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br w:type="page"/>
      </w:r>
    </w:p>
    <w:p w14:paraId="7549F29D" w14:textId="77777777" w:rsidR="00CB1B2B" w:rsidRPr="00CB1B2B" w:rsidRDefault="00CB1B2B" w:rsidP="00CB1B2B">
      <w:pPr>
        <w:spacing w:line="276" w:lineRule="auto"/>
        <w:jc w:val="both"/>
        <w:outlineLvl w:val="2"/>
        <w:rPr>
          <w:rFonts w:eastAsia="Calibri" w:cs="Times New Roman"/>
          <w:b/>
          <w:iCs/>
          <w:kern w:val="2"/>
          <w:szCs w:val="24"/>
          <w:lang w:val="en-GB"/>
          <w14:ligatures w14:val="standardContextual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 xml:space="preserve">4. </w:t>
      </w:r>
      <w:r w:rsidRPr="00CB1B2B">
        <w:rPr>
          <w:rFonts w:eastAsia="Calibri" w:cs="Times New Roman"/>
          <w:b/>
          <w:iCs/>
          <w:kern w:val="2"/>
          <w:szCs w:val="24"/>
          <w:lang w:val="en-GB"/>
          <w14:ligatures w14:val="standardContextual"/>
        </w:rPr>
        <w:t xml:space="preserve">Associations between ∆LTL and seven cognitive performance test measures: Communication Activities of the Daily Living (CADL 2); Direct Assessment of Functional Status (DAFS); Visual Object and Space Perception Battery (VOSP): </w:t>
      </w:r>
      <w:proofErr w:type="spellStart"/>
      <w:r w:rsidRPr="00CB1B2B">
        <w:rPr>
          <w:rFonts w:eastAsia="Calibri" w:cs="Times New Roman"/>
          <w:b/>
          <w:iCs/>
          <w:kern w:val="2"/>
          <w:szCs w:val="24"/>
          <w:lang w:val="en-GB"/>
          <w14:ligatures w14:val="standardContextual"/>
        </w:rPr>
        <w:t>Obj</w:t>
      </w:r>
      <w:proofErr w:type="spellEnd"/>
      <w:r w:rsidRPr="00CB1B2B">
        <w:rPr>
          <w:rFonts w:eastAsia="Calibri" w:cs="Times New Roman"/>
          <w:b/>
          <w:iCs/>
          <w:kern w:val="2"/>
          <w:szCs w:val="24"/>
          <w:lang w:val="en-GB"/>
          <w14:ligatures w14:val="standardContextual"/>
        </w:rPr>
        <w:t xml:space="preserve"> Decision, Progressive Silhouettes, Position; Copy of complex geometric figure (Figure PG &amp; PC). </w:t>
      </w:r>
      <w:r w:rsidRPr="00CB1B2B">
        <w:rPr>
          <w:rFonts w:eastAsia="Calibri" w:cs="Times New Roman"/>
          <w:iCs/>
          <w:kern w:val="2"/>
          <w:szCs w:val="24"/>
          <w:lang w:val="en-GB"/>
          <w14:ligatures w14:val="standardContextual"/>
        </w:rPr>
        <w:t xml:space="preserve">Graphs indicate the associations between ∆LTL and seven cognitive performance test measures: Communication Activities of the Daily Living (CADL 2); Direct Assessment of Functional Status (DAFS); Visual Object and Space Perception Battery (VOSP): </w:t>
      </w:r>
      <w:proofErr w:type="spellStart"/>
      <w:r w:rsidRPr="00CB1B2B">
        <w:rPr>
          <w:rFonts w:eastAsia="Calibri" w:cs="Times New Roman"/>
          <w:iCs/>
          <w:kern w:val="2"/>
          <w:szCs w:val="24"/>
          <w:lang w:val="en-GB"/>
          <w14:ligatures w14:val="standardContextual"/>
        </w:rPr>
        <w:t>Obj</w:t>
      </w:r>
      <w:proofErr w:type="spellEnd"/>
      <w:r w:rsidRPr="00CB1B2B">
        <w:rPr>
          <w:rFonts w:eastAsia="Calibri" w:cs="Times New Roman"/>
          <w:iCs/>
          <w:kern w:val="2"/>
          <w:szCs w:val="24"/>
          <w:lang w:val="en-GB"/>
          <w14:ligatures w14:val="standardContextual"/>
        </w:rPr>
        <w:t xml:space="preserve"> Decision, Progressive Silhouettes, Position; Copy of complex geometric figure (Figure PG &amp; PC). The cognitive function scores (x-axis) are divided into four quintiles; the black dots show the mean TL value, and the whiskers represent the 95% confidence interval. ∆LTL (</w:t>
      </w:r>
      <w:r w:rsidRPr="00CB1B2B">
        <w:rPr>
          <w:rFonts w:eastAsia="Calibri" w:cs="Times New Roman"/>
          <w:kern w:val="2"/>
          <w:szCs w:val="24"/>
          <w:lang w:val="en-GB"/>
          <w14:ligatures w14:val="standardContextual"/>
        </w:rPr>
        <w:t>TL T1-TL T0</w:t>
      </w:r>
      <w:r w:rsidRPr="00CB1B2B">
        <w:rPr>
          <w:rFonts w:eastAsia="Calibri" w:cs="Times New Roman"/>
          <w:iCs/>
          <w:kern w:val="2"/>
          <w:szCs w:val="24"/>
          <w:lang w:val="en-GB"/>
          <w14:ligatures w14:val="standardContextual"/>
        </w:rPr>
        <w:t>) can be seen on the y-axis. The associations between ∆LTL and differences in cognitive test scores were not statistically significant (p&gt;0.05).</w:t>
      </w:r>
    </w:p>
    <w:p w14:paraId="772D05B1" w14:textId="0D44CAF6" w:rsidR="00DE23E8" w:rsidRDefault="002236AD" w:rsidP="002236AD">
      <w:pPr>
        <w:spacing w:before="240"/>
        <w:jc w:val="center"/>
        <w:rPr>
          <w:lang w:val="en-GB"/>
        </w:rPr>
      </w:pPr>
      <w:r w:rsidRPr="002236AD">
        <w:rPr>
          <w:rFonts w:eastAsia="Calibri" w:cs="Times New Roman"/>
          <w:noProof/>
          <w:kern w:val="2"/>
          <w:szCs w:val="24"/>
          <w:lang w:val="en-GB"/>
          <w14:ligatures w14:val="standardContextual"/>
        </w:rPr>
        <w:drawing>
          <wp:inline distT="0" distB="0" distL="0" distR="0" wp14:anchorId="0334B435" wp14:editId="17F1FE2B">
            <wp:extent cx="4860388" cy="4919104"/>
            <wp:effectExtent l="0" t="0" r="0" b="0"/>
            <wp:docPr id="22" name="Picture 22" descr="A group of graphs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group of graphs with blue line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2698" cy="492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B09C6" w14:textId="4522B291" w:rsidR="002236AD" w:rsidRDefault="002236AD" w:rsidP="002236AD">
      <w:pPr>
        <w:spacing w:before="240"/>
        <w:jc w:val="center"/>
        <w:rPr>
          <w:lang w:val="en-GB"/>
        </w:rPr>
      </w:pPr>
    </w:p>
    <w:p w14:paraId="5F294302" w14:textId="4CFC97DD" w:rsidR="002236AD" w:rsidRDefault="002236AD" w:rsidP="002236AD">
      <w:pPr>
        <w:spacing w:before="240"/>
        <w:jc w:val="center"/>
        <w:rPr>
          <w:lang w:val="en-GB"/>
        </w:rPr>
      </w:pPr>
    </w:p>
    <w:p w14:paraId="115AE7F5" w14:textId="67816058" w:rsidR="002236AD" w:rsidRDefault="002236AD" w:rsidP="002236AD">
      <w:pPr>
        <w:spacing w:before="240"/>
        <w:jc w:val="center"/>
        <w:rPr>
          <w:lang w:val="en-GB"/>
        </w:rPr>
      </w:pPr>
    </w:p>
    <w:p w14:paraId="6EE60131" w14:textId="439F653C" w:rsidR="002236AD" w:rsidRPr="001549D3" w:rsidRDefault="002236AD" w:rsidP="002236AD">
      <w:pPr>
        <w:pStyle w:val="Heading2"/>
      </w:pPr>
      <w:r w:rsidRPr="0001436A">
        <w:lastRenderedPageBreak/>
        <w:t>Supplementary</w:t>
      </w:r>
      <w:r w:rsidRPr="001549D3">
        <w:t xml:space="preserve"> </w:t>
      </w:r>
      <w:r>
        <w:t>Tabl</w:t>
      </w:r>
      <w:r w:rsidRPr="001549D3">
        <w:t>es</w:t>
      </w:r>
    </w:p>
    <w:p w14:paraId="413183EE" w14:textId="250ECD9A" w:rsidR="006D31B9" w:rsidRPr="00A67CCE" w:rsidRDefault="00181701" w:rsidP="006D31B9">
      <w:pPr>
        <w:rPr>
          <w:rFonts w:cs="Times New Roman"/>
          <w:szCs w:val="24"/>
          <w:lang w:val="en-GB"/>
        </w:rPr>
      </w:pPr>
      <w:r>
        <w:rPr>
          <w:rFonts w:cs="Times New Roman"/>
          <w:b/>
          <w:bCs/>
          <w:szCs w:val="24"/>
          <w:lang w:val="en-GB"/>
        </w:rPr>
        <w:t xml:space="preserve">Supplementary </w:t>
      </w:r>
      <w:r w:rsidR="006D31B9" w:rsidRPr="00A67CCE">
        <w:rPr>
          <w:rFonts w:cs="Times New Roman"/>
          <w:b/>
          <w:bCs/>
          <w:szCs w:val="24"/>
          <w:lang w:val="en-GB"/>
        </w:rPr>
        <w:t>Table 1</w:t>
      </w:r>
      <w:r w:rsidR="006D31B9" w:rsidRPr="00A67CCE">
        <w:rPr>
          <w:rFonts w:cs="Times New Roman"/>
          <w:szCs w:val="24"/>
          <w:lang w:val="en-GB"/>
        </w:rPr>
        <w:t>. Multiple regression analysis of the influence of leukocytes count (10</w:t>
      </w:r>
      <w:r w:rsidR="006D31B9" w:rsidRPr="00A67CCE">
        <w:rPr>
          <w:rFonts w:cs="Times New Roman"/>
          <w:szCs w:val="24"/>
          <w:vertAlign w:val="superscript"/>
          <w:lang w:val="en-GB"/>
        </w:rPr>
        <w:t>3</w:t>
      </w:r>
      <w:r w:rsidR="006D31B9" w:rsidRPr="00A67CCE">
        <w:rPr>
          <w:rFonts w:cs="Times New Roman"/>
          <w:szCs w:val="24"/>
          <w:lang w:val="en-GB"/>
        </w:rPr>
        <w:t>/ml), neutrophils (10</w:t>
      </w:r>
      <w:r w:rsidR="006D31B9" w:rsidRPr="00A67CCE">
        <w:rPr>
          <w:rFonts w:cs="Times New Roman"/>
          <w:szCs w:val="24"/>
          <w:vertAlign w:val="superscript"/>
          <w:lang w:val="en-GB"/>
        </w:rPr>
        <w:t>3</w:t>
      </w:r>
      <w:r w:rsidR="006D31B9" w:rsidRPr="00A67CCE">
        <w:rPr>
          <w:rFonts w:cs="Times New Roman"/>
          <w:szCs w:val="24"/>
          <w:lang w:val="en-GB"/>
        </w:rPr>
        <w:t>/ml), lymphocytes (10</w:t>
      </w:r>
      <w:r w:rsidR="006D31B9" w:rsidRPr="00A67CCE">
        <w:rPr>
          <w:rFonts w:cs="Times New Roman"/>
          <w:szCs w:val="24"/>
          <w:vertAlign w:val="superscript"/>
          <w:lang w:val="en-GB"/>
        </w:rPr>
        <w:t>3</w:t>
      </w:r>
      <w:r w:rsidR="006D31B9" w:rsidRPr="00A67CCE">
        <w:rPr>
          <w:rFonts w:cs="Times New Roman"/>
          <w:szCs w:val="24"/>
          <w:lang w:val="en-GB"/>
        </w:rPr>
        <w:t>/ml) and monocytes (10</w:t>
      </w:r>
      <w:r w:rsidR="006D31B9" w:rsidRPr="00A67CCE">
        <w:rPr>
          <w:rFonts w:cs="Times New Roman"/>
          <w:szCs w:val="24"/>
          <w:vertAlign w:val="superscript"/>
          <w:lang w:val="en-GB"/>
        </w:rPr>
        <w:t>3</w:t>
      </w:r>
      <w:r w:rsidR="006D31B9" w:rsidRPr="00A67CCE">
        <w:rPr>
          <w:rFonts w:cs="Times New Roman"/>
          <w:szCs w:val="24"/>
          <w:lang w:val="en-GB"/>
        </w:rPr>
        <w:t>/ml) on TL at baseline (T0) in men.</w:t>
      </w:r>
    </w:p>
    <w:tbl>
      <w:tblPr>
        <w:tblStyle w:val="GridTable5Dark-Accent5"/>
        <w:tblW w:w="9741" w:type="dxa"/>
        <w:tblLook w:val="04A0" w:firstRow="1" w:lastRow="0" w:firstColumn="1" w:lastColumn="0" w:noHBand="0" w:noVBand="1"/>
      </w:tblPr>
      <w:tblGrid>
        <w:gridCol w:w="1925"/>
        <w:gridCol w:w="113"/>
        <w:gridCol w:w="1812"/>
        <w:gridCol w:w="113"/>
        <w:gridCol w:w="1813"/>
        <w:gridCol w:w="113"/>
        <w:gridCol w:w="1813"/>
        <w:gridCol w:w="113"/>
        <w:gridCol w:w="1813"/>
        <w:gridCol w:w="113"/>
      </w:tblGrid>
      <w:tr w:rsidR="006D31B9" w:rsidRPr="00181701" w14:paraId="4D708CBA" w14:textId="77777777" w:rsidTr="0018170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39F1EC0" w14:textId="77777777" w:rsidR="006D31B9" w:rsidRPr="00181701" w:rsidRDefault="006D31B9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A6B64B2" w14:textId="77777777" w:rsidR="006D31B9" w:rsidRPr="00181701" w:rsidRDefault="006D31B9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181701">
              <w:rPr>
                <w:rFonts w:eastAsia="Times New Roman" w:cs="Times New Roman"/>
                <w:color w:val="000000"/>
                <w:lang w:eastAsia="it-IT"/>
              </w:rPr>
              <w:t>b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502DC4C" w14:textId="77777777" w:rsidR="006D31B9" w:rsidRPr="00181701" w:rsidRDefault="006D31B9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181701">
              <w:rPr>
                <w:rFonts w:eastAsia="Times New Roman" w:cs="Times New Roman"/>
                <w:color w:val="000000"/>
                <w:lang w:eastAsia="it-IT"/>
              </w:rPr>
              <w:t>r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9CA556F" w14:textId="77777777" w:rsidR="006D31B9" w:rsidRPr="00181701" w:rsidRDefault="006D31B9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181701">
              <w:rPr>
                <w:rFonts w:eastAsia="Times New Roman" w:cs="Times New Roman"/>
                <w:color w:val="000000"/>
                <w:lang w:eastAsia="it-IT"/>
              </w:rPr>
              <w:t xml:space="preserve">t 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23C46B0" w14:textId="77777777" w:rsidR="006D31B9" w:rsidRPr="00181701" w:rsidRDefault="006D31B9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181701">
              <w:rPr>
                <w:rFonts w:eastAsia="Times New Roman" w:cs="Times New Roman"/>
                <w:color w:val="000000"/>
                <w:lang w:eastAsia="it-IT"/>
              </w:rPr>
              <w:t>p</w:t>
            </w:r>
          </w:p>
        </w:tc>
      </w:tr>
      <w:tr w:rsidR="006D31B9" w:rsidRPr="00A67CCE" w14:paraId="724522EB" w14:textId="77777777" w:rsidTr="005A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shd w:val="clear" w:color="auto" w:fill="DBE5F1"/>
          </w:tcPr>
          <w:p w14:paraId="71D39DA6" w14:textId="77777777" w:rsidR="006D31B9" w:rsidRPr="00205FA1" w:rsidRDefault="006D31B9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Leukocytes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E53E097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b1 = 0.544888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2DBE14A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0.627391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85EA4F4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1.39549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1EB1303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0.2572</w:t>
            </w:r>
          </w:p>
        </w:tc>
      </w:tr>
      <w:tr w:rsidR="006D31B9" w:rsidRPr="00A67CCE" w14:paraId="14A6EECC" w14:textId="77777777" w:rsidTr="005A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shd w:val="clear" w:color="auto" w:fill="DBE5F1"/>
          </w:tcPr>
          <w:p w14:paraId="6159807D" w14:textId="77777777" w:rsidR="006D31B9" w:rsidRPr="00205FA1" w:rsidRDefault="006D31B9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Neutrophils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41A323A3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b2 = -0.487581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2A9AF118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-0.548027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151FE722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-1.134793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03F2CCC9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0.3389</w:t>
            </w:r>
          </w:p>
        </w:tc>
      </w:tr>
      <w:tr w:rsidR="006D31B9" w:rsidRPr="00A67CCE" w14:paraId="5A358344" w14:textId="77777777" w:rsidTr="005A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tcBorders>
              <w:bottom w:val="single" w:sz="4" w:space="0" w:color="FFFFFF" w:themeColor="background1"/>
            </w:tcBorders>
            <w:shd w:val="clear" w:color="auto" w:fill="DBE5F1"/>
          </w:tcPr>
          <w:p w14:paraId="6323CF4A" w14:textId="77777777" w:rsidR="006D31B9" w:rsidRPr="00205FA1" w:rsidRDefault="006D31B9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Lymphocytes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6FD43926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b3 = -0.222692</w:t>
            </w:r>
          </w:p>
        </w:tc>
        <w:tc>
          <w:tcPr>
            <w:tcW w:w="192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BA15CE4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-0.280435</w:t>
            </w:r>
          </w:p>
        </w:tc>
        <w:tc>
          <w:tcPr>
            <w:tcW w:w="192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8757ADC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-0.506033</w:t>
            </w:r>
          </w:p>
        </w:tc>
        <w:tc>
          <w:tcPr>
            <w:tcW w:w="192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0DF71035" w14:textId="77777777" w:rsidR="006D31B9" w:rsidRPr="00205FA1" w:rsidRDefault="006D31B9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0.6477</w:t>
            </w:r>
          </w:p>
        </w:tc>
      </w:tr>
      <w:tr w:rsidR="006D31B9" w:rsidRPr="00A67CCE" w14:paraId="3550D041" w14:textId="77777777" w:rsidTr="005A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1F9A284" w14:textId="77777777" w:rsidR="006D31B9" w:rsidRPr="00205FA1" w:rsidRDefault="006D31B9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Monocytes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DC817C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b4 = -1.195586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606297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-0.893844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B30E1A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-3.452857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30CDB7" w14:textId="77777777" w:rsidR="006D31B9" w:rsidRPr="00205FA1" w:rsidRDefault="006D31B9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GB" w:eastAsia="en-GB"/>
              </w:rPr>
            </w:pPr>
            <w:r w:rsidRPr="00205FA1">
              <w:rPr>
                <w:rFonts w:eastAsia="Times New Roman" w:cs="Times New Roman"/>
                <w:b/>
                <w:lang w:val="en-GB" w:eastAsia="en-GB"/>
              </w:rPr>
              <w:t>p = 0.0409</w:t>
            </w:r>
          </w:p>
        </w:tc>
      </w:tr>
    </w:tbl>
    <w:p w14:paraId="7852213B" w14:textId="4A238B94" w:rsidR="006D31B9" w:rsidRDefault="006D31B9" w:rsidP="006D31B9">
      <w:pPr>
        <w:rPr>
          <w:rFonts w:cs="Times New Roman"/>
          <w:b/>
          <w:bCs/>
          <w:szCs w:val="24"/>
          <w:lang w:val="en-GB"/>
        </w:rPr>
      </w:pPr>
    </w:p>
    <w:p w14:paraId="50AE9391" w14:textId="5460039B" w:rsidR="00181701" w:rsidRDefault="00181701" w:rsidP="006D31B9">
      <w:pPr>
        <w:rPr>
          <w:rFonts w:cs="Times New Roman"/>
          <w:b/>
          <w:bCs/>
          <w:szCs w:val="24"/>
          <w:lang w:val="en-GB"/>
        </w:rPr>
      </w:pPr>
    </w:p>
    <w:p w14:paraId="331227B5" w14:textId="7952864B" w:rsidR="00181701" w:rsidRPr="00A67CCE" w:rsidRDefault="00181701" w:rsidP="00181701">
      <w:pPr>
        <w:rPr>
          <w:rFonts w:cs="Times New Roman"/>
          <w:szCs w:val="24"/>
          <w:lang w:val="en-GB"/>
        </w:rPr>
      </w:pPr>
      <w:r>
        <w:rPr>
          <w:rFonts w:cs="Times New Roman"/>
          <w:b/>
          <w:bCs/>
          <w:szCs w:val="24"/>
          <w:lang w:val="en-GB"/>
        </w:rPr>
        <w:t xml:space="preserve">Supplementary </w:t>
      </w:r>
      <w:r w:rsidRPr="00A67CCE">
        <w:rPr>
          <w:rFonts w:cs="Times New Roman"/>
          <w:b/>
          <w:bCs/>
          <w:szCs w:val="24"/>
          <w:lang w:val="en-GB"/>
        </w:rPr>
        <w:t>Table 2</w:t>
      </w:r>
      <w:r w:rsidRPr="00A67CCE">
        <w:rPr>
          <w:rFonts w:cs="Times New Roman"/>
          <w:szCs w:val="24"/>
          <w:lang w:val="en-GB"/>
        </w:rPr>
        <w:t>. Multiple regression analysis of the influence of leukocytes count (10</w:t>
      </w:r>
      <w:r w:rsidRPr="00A67CCE">
        <w:rPr>
          <w:rFonts w:cs="Times New Roman"/>
          <w:szCs w:val="24"/>
          <w:vertAlign w:val="superscript"/>
          <w:lang w:val="en-GB"/>
        </w:rPr>
        <w:t>3</w:t>
      </w:r>
      <w:r w:rsidRPr="00A67CCE">
        <w:rPr>
          <w:rFonts w:cs="Times New Roman"/>
          <w:szCs w:val="24"/>
          <w:lang w:val="en-GB"/>
        </w:rPr>
        <w:t>/ml), neutrophils (10</w:t>
      </w:r>
      <w:r w:rsidRPr="00A67CCE">
        <w:rPr>
          <w:rFonts w:cs="Times New Roman"/>
          <w:szCs w:val="24"/>
          <w:vertAlign w:val="superscript"/>
          <w:lang w:val="en-GB"/>
        </w:rPr>
        <w:t>3</w:t>
      </w:r>
      <w:r w:rsidRPr="00A67CCE">
        <w:rPr>
          <w:rFonts w:cs="Times New Roman"/>
          <w:szCs w:val="24"/>
          <w:lang w:val="en-GB"/>
        </w:rPr>
        <w:t>/ml), lymphocytes (10</w:t>
      </w:r>
      <w:r w:rsidRPr="00A67CCE">
        <w:rPr>
          <w:rFonts w:cs="Times New Roman"/>
          <w:szCs w:val="24"/>
          <w:vertAlign w:val="superscript"/>
          <w:lang w:val="en-GB"/>
        </w:rPr>
        <w:t>3</w:t>
      </w:r>
      <w:r w:rsidRPr="00A67CCE">
        <w:rPr>
          <w:rFonts w:cs="Times New Roman"/>
          <w:szCs w:val="24"/>
          <w:lang w:val="en-GB"/>
        </w:rPr>
        <w:t>/ml) and monocytes (10</w:t>
      </w:r>
      <w:r w:rsidRPr="00A67CCE">
        <w:rPr>
          <w:rFonts w:cs="Times New Roman"/>
          <w:szCs w:val="24"/>
          <w:vertAlign w:val="superscript"/>
          <w:lang w:val="en-GB"/>
        </w:rPr>
        <w:t>3</w:t>
      </w:r>
      <w:r w:rsidRPr="00A67CCE">
        <w:rPr>
          <w:rFonts w:cs="Times New Roman"/>
          <w:szCs w:val="24"/>
          <w:lang w:val="en-GB"/>
        </w:rPr>
        <w:t>/ml) on TL at baseline (T0) in women.</w:t>
      </w:r>
    </w:p>
    <w:tbl>
      <w:tblPr>
        <w:tblStyle w:val="GridTable5Dark-Accent5"/>
        <w:tblW w:w="9741" w:type="dxa"/>
        <w:tblLook w:val="04A0" w:firstRow="1" w:lastRow="0" w:firstColumn="1" w:lastColumn="0" w:noHBand="0" w:noVBand="1"/>
      </w:tblPr>
      <w:tblGrid>
        <w:gridCol w:w="1925"/>
        <w:gridCol w:w="113"/>
        <w:gridCol w:w="1812"/>
        <w:gridCol w:w="113"/>
        <w:gridCol w:w="1813"/>
        <w:gridCol w:w="113"/>
        <w:gridCol w:w="1813"/>
        <w:gridCol w:w="113"/>
        <w:gridCol w:w="1813"/>
        <w:gridCol w:w="113"/>
      </w:tblGrid>
      <w:tr w:rsidR="00181701" w:rsidRPr="00205FA1" w14:paraId="0FDFD4BA" w14:textId="77777777" w:rsidTr="0018170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A8A1B14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en-GB" w:eastAsia="en-GB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F3DB450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>b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D3B7066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>r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C53E553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 xml:space="preserve">t 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9918D1F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>p</w:t>
            </w:r>
          </w:p>
        </w:tc>
      </w:tr>
      <w:tr w:rsidR="00181701" w:rsidRPr="00205FA1" w14:paraId="04B9DDCB" w14:textId="77777777" w:rsidTr="005A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shd w:val="clear" w:color="auto" w:fill="DBE5F1"/>
          </w:tcPr>
          <w:p w14:paraId="18F09DB8" w14:textId="77777777" w:rsidR="00181701" w:rsidRPr="00205FA1" w:rsidRDefault="00181701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Leukocytes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1DF4D85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b1 = 0.030017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EADD190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0.013139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D4D70E1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0.02628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EF05356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p= 0.9803</w:t>
            </w:r>
          </w:p>
        </w:tc>
      </w:tr>
      <w:tr w:rsidR="00181701" w:rsidRPr="00205FA1" w14:paraId="03655153" w14:textId="77777777" w:rsidTr="005A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shd w:val="clear" w:color="auto" w:fill="DBE5F1"/>
          </w:tcPr>
          <w:p w14:paraId="697E5629" w14:textId="77777777" w:rsidR="00181701" w:rsidRPr="00205FA1" w:rsidRDefault="00181701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Neutrophils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EBC638C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b2 = -0.051621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0C43C6FB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-0.021484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1F354BD9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-0.042977</w:t>
            </w:r>
          </w:p>
        </w:tc>
        <w:tc>
          <w:tcPr>
            <w:tcW w:w="1926" w:type="dxa"/>
            <w:gridSpan w:val="2"/>
            <w:shd w:val="clear" w:color="auto" w:fill="auto"/>
          </w:tcPr>
          <w:p w14:paraId="5AAB944E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0.9678</w:t>
            </w:r>
          </w:p>
        </w:tc>
      </w:tr>
      <w:tr w:rsidR="00181701" w:rsidRPr="00205FA1" w14:paraId="7B04C120" w14:textId="77777777" w:rsidTr="005A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tcBorders>
              <w:bottom w:val="single" w:sz="4" w:space="0" w:color="FFFFFF" w:themeColor="background1"/>
            </w:tcBorders>
            <w:shd w:val="clear" w:color="auto" w:fill="DBE5F1"/>
          </w:tcPr>
          <w:p w14:paraId="60EDA096" w14:textId="77777777" w:rsidR="00181701" w:rsidRPr="00205FA1" w:rsidRDefault="00181701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Lymphocytes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736869E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b3 = 0.054882</w:t>
            </w:r>
          </w:p>
        </w:tc>
        <w:tc>
          <w:tcPr>
            <w:tcW w:w="192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1D712FF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0.023374</w:t>
            </w:r>
          </w:p>
        </w:tc>
        <w:tc>
          <w:tcPr>
            <w:tcW w:w="192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530091EF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0.046761</w:t>
            </w:r>
          </w:p>
        </w:tc>
        <w:tc>
          <w:tcPr>
            <w:tcW w:w="192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57EB5ABC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0.9649</w:t>
            </w:r>
          </w:p>
        </w:tc>
      </w:tr>
      <w:tr w:rsidR="00181701" w:rsidRPr="00205FA1" w14:paraId="714A2316" w14:textId="77777777" w:rsidTr="005A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0071D8DF" w14:textId="77777777" w:rsidR="00181701" w:rsidRPr="00205FA1" w:rsidRDefault="00181701" w:rsidP="005A4825">
            <w:pPr>
              <w:spacing w:before="60" w:after="60" w:line="0" w:lineRule="atLeast"/>
              <w:rPr>
                <w:rFonts w:eastAsia="Times New Roman" w:cs="Times New Roman"/>
                <w:lang w:eastAsia="it-IT"/>
              </w:rPr>
            </w:pPr>
            <w:r w:rsidRPr="00205FA1">
              <w:rPr>
                <w:rFonts w:eastAsia="Times New Roman" w:cs="Times New Roman"/>
                <w:color w:val="000000"/>
                <w:lang w:eastAsia="it-IT"/>
              </w:rPr>
              <w:t>Monocytes (10</w:t>
            </w:r>
            <w:r w:rsidRPr="00205FA1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3</w:t>
            </w:r>
            <w:r w:rsidRPr="00205FA1">
              <w:rPr>
                <w:rFonts w:eastAsia="Times New Roman" w:cs="Times New Roman"/>
                <w:color w:val="000000"/>
                <w:lang w:eastAsia="it-IT"/>
              </w:rPr>
              <w:t>/ml)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99A63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b4 = 0.357314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4845B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0.096102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68BD6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0.193097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FF5AC6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0.8563</w:t>
            </w:r>
          </w:p>
        </w:tc>
      </w:tr>
    </w:tbl>
    <w:p w14:paraId="4430F5EF" w14:textId="77777777" w:rsidR="00181701" w:rsidRPr="00A67CCE" w:rsidRDefault="00181701" w:rsidP="00181701">
      <w:pPr>
        <w:rPr>
          <w:rFonts w:cs="Times New Roman"/>
          <w:b/>
          <w:bCs/>
          <w:szCs w:val="24"/>
          <w:lang w:val="en-GB"/>
        </w:rPr>
      </w:pPr>
    </w:p>
    <w:p w14:paraId="02773AA9" w14:textId="3E6F0159" w:rsidR="00181701" w:rsidRDefault="00181701" w:rsidP="006D31B9">
      <w:pPr>
        <w:rPr>
          <w:rFonts w:cs="Times New Roman"/>
          <w:b/>
          <w:bCs/>
          <w:szCs w:val="24"/>
          <w:lang w:val="en-GB"/>
        </w:rPr>
      </w:pPr>
    </w:p>
    <w:p w14:paraId="43939A0F" w14:textId="108A0C6A" w:rsidR="00181701" w:rsidRDefault="00181701" w:rsidP="006D31B9">
      <w:pPr>
        <w:rPr>
          <w:rFonts w:cs="Times New Roman"/>
          <w:b/>
          <w:bCs/>
          <w:szCs w:val="24"/>
          <w:lang w:val="en-GB"/>
        </w:rPr>
      </w:pPr>
    </w:p>
    <w:p w14:paraId="1B0B059E" w14:textId="10E34057" w:rsidR="00181701" w:rsidRDefault="00181701" w:rsidP="006D31B9">
      <w:pPr>
        <w:rPr>
          <w:rFonts w:cs="Times New Roman"/>
          <w:b/>
          <w:bCs/>
          <w:szCs w:val="24"/>
          <w:lang w:val="en-GB"/>
        </w:rPr>
      </w:pPr>
    </w:p>
    <w:p w14:paraId="7927F715" w14:textId="0D3EEAA6" w:rsidR="00181701" w:rsidRDefault="00181701" w:rsidP="006D31B9">
      <w:pPr>
        <w:rPr>
          <w:rFonts w:cs="Times New Roman"/>
          <w:b/>
          <w:bCs/>
          <w:szCs w:val="24"/>
          <w:lang w:val="en-GB"/>
        </w:rPr>
      </w:pPr>
    </w:p>
    <w:p w14:paraId="41BCAC42" w14:textId="77777777" w:rsidR="00181701" w:rsidRPr="00A67CCE" w:rsidRDefault="00181701" w:rsidP="006D31B9">
      <w:pPr>
        <w:rPr>
          <w:rFonts w:cs="Times New Roman"/>
          <w:b/>
          <w:bCs/>
          <w:szCs w:val="24"/>
          <w:lang w:val="en-GB"/>
        </w:rPr>
      </w:pPr>
    </w:p>
    <w:p w14:paraId="26FF2E62" w14:textId="33437D14" w:rsidR="00181701" w:rsidRPr="00A67CCE" w:rsidRDefault="00181701" w:rsidP="00181701">
      <w:pPr>
        <w:rPr>
          <w:rFonts w:cs="Times New Roman"/>
          <w:szCs w:val="24"/>
          <w:lang w:val="en-GB"/>
        </w:rPr>
      </w:pPr>
      <w:r>
        <w:rPr>
          <w:rFonts w:cs="Times New Roman"/>
          <w:b/>
          <w:bCs/>
          <w:szCs w:val="24"/>
          <w:lang w:val="en-GB"/>
        </w:rPr>
        <w:lastRenderedPageBreak/>
        <w:t xml:space="preserve">Supplementary </w:t>
      </w:r>
      <w:r w:rsidRPr="00A67CCE">
        <w:rPr>
          <w:rFonts w:cs="Times New Roman"/>
          <w:b/>
          <w:bCs/>
          <w:szCs w:val="24"/>
          <w:lang w:val="en-GB"/>
        </w:rPr>
        <w:t>Table 3</w:t>
      </w:r>
      <w:r w:rsidRPr="00A67CCE">
        <w:rPr>
          <w:rFonts w:cs="Times New Roman"/>
          <w:szCs w:val="24"/>
          <w:lang w:val="en-GB"/>
        </w:rPr>
        <w:t>. Multiple regression analysis of the influence of age, gender, education (years) and days of treatment on ∆</w:t>
      </w:r>
      <w:proofErr w:type="spellStart"/>
      <w:r w:rsidRPr="00A67CCE">
        <w:rPr>
          <w:rFonts w:cs="Times New Roman"/>
          <w:szCs w:val="24"/>
          <w:lang w:val="en-GB"/>
        </w:rPr>
        <w:t>DNAmAge</w:t>
      </w:r>
      <w:proofErr w:type="spellEnd"/>
      <w:r w:rsidRPr="00A67CCE">
        <w:rPr>
          <w:rFonts w:cs="Times New Roman"/>
          <w:szCs w:val="24"/>
          <w:lang w:val="en-GB"/>
        </w:rPr>
        <w:t>.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81701" w:rsidRPr="00205FA1" w14:paraId="169CFEB3" w14:textId="77777777" w:rsidTr="00181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6A32DC2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en-GB" w:eastAsia="en-GB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D1F423E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>b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33D2B67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>r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CB6D0F5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 xml:space="preserve">t 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C7B05DE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lang w:val="en-GB" w:eastAsia="en-GB"/>
              </w:rPr>
            </w:pPr>
            <w:r w:rsidRPr="00205FA1">
              <w:rPr>
                <w:rFonts w:eastAsia="Times New Roman" w:cs="Times New Roman"/>
                <w:color w:val="auto"/>
                <w:lang w:val="en-GB" w:eastAsia="en-GB"/>
              </w:rPr>
              <w:t>p</w:t>
            </w:r>
          </w:p>
        </w:tc>
      </w:tr>
      <w:tr w:rsidR="00181701" w:rsidRPr="00205FA1" w14:paraId="15EDE0A0" w14:textId="77777777" w:rsidTr="0018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14:paraId="1FE3E5FB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lang w:val="en-GB" w:eastAsia="en-GB"/>
              </w:rPr>
            </w:pPr>
            <w:r w:rsidRPr="00205FA1">
              <w:rPr>
                <w:rFonts w:eastAsia="Times New Roman" w:cs="Times New Roman"/>
                <w:i/>
                <w:color w:val="000000"/>
                <w:lang w:val="en-GB" w:eastAsia="en-GB"/>
              </w:rPr>
              <w:t>Age</w:t>
            </w: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</w:tcPr>
          <w:p w14:paraId="04FA9691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b1 = -0.029586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</w:tcPr>
          <w:p w14:paraId="1C6EFDFD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-0.079734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</w:tcPr>
          <w:p w14:paraId="6912870F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-0.309797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</w:tcPr>
          <w:p w14:paraId="06D4347A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0.761</w:t>
            </w:r>
          </w:p>
        </w:tc>
      </w:tr>
      <w:tr w:rsidR="00181701" w:rsidRPr="00205FA1" w14:paraId="34C3E4DE" w14:textId="77777777" w:rsidTr="00181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</w:tcPr>
          <w:p w14:paraId="61CF055B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lang w:val="en-GB" w:eastAsia="en-GB"/>
              </w:rPr>
            </w:pPr>
            <w:r w:rsidRPr="00205FA1">
              <w:rPr>
                <w:rFonts w:eastAsia="Times New Roman" w:cs="Times New Roman"/>
                <w:i/>
                <w:color w:val="000000"/>
                <w:lang w:val="en-GB" w:eastAsia="en-GB"/>
              </w:rPr>
              <w:t>Sex (M=1; F=2)</w:t>
            </w:r>
          </w:p>
        </w:tc>
        <w:tc>
          <w:tcPr>
            <w:tcW w:w="1925" w:type="dxa"/>
            <w:shd w:val="clear" w:color="auto" w:fill="auto"/>
          </w:tcPr>
          <w:p w14:paraId="5E0D6CD7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b2 = 0.928394</w:t>
            </w:r>
          </w:p>
        </w:tc>
        <w:tc>
          <w:tcPr>
            <w:tcW w:w="1926" w:type="dxa"/>
            <w:shd w:val="clear" w:color="auto" w:fill="auto"/>
          </w:tcPr>
          <w:p w14:paraId="44156CD1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0.184114</w:t>
            </w:r>
          </w:p>
        </w:tc>
        <w:tc>
          <w:tcPr>
            <w:tcW w:w="1926" w:type="dxa"/>
            <w:shd w:val="clear" w:color="auto" w:fill="auto"/>
          </w:tcPr>
          <w:p w14:paraId="04FC594F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0.725473</w:t>
            </w:r>
          </w:p>
        </w:tc>
        <w:tc>
          <w:tcPr>
            <w:tcW w:w="1926" w:type="dxa"/>
            <w:shd w:val="clear" w:color="auto" w:fill="auto"/>
          </w:tcPr>
          <w:p w14:paraId="5FFAD4D5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0.4793</w:t>
            </w:r>
          </w:p>
        </w:tc>
      </w:tr>
      <w:tr w:rsidR="00181701" w:rsidRPr="00205FA1" w14:paraId="67B69199" w14:textId="77777777" w:rsidTr="0018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14:paraId="5A2FEB4B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lang w:val="en-GB" w:eastAsia="en-GB"/>
              </w:rPr>
            </w:pPr>
            <w:r w:rsidRPr="00205FA1">
              <w:rPr>
                <w:rFonts w:eastAsia="Times New Roman" w:cs="Times New Roman"/>
                <w:i/>
                <w:color w:val="000000"/>
                <w:lang w:val="en-GB" w:eastAsia="en-GB"/>
              </w:rPr>
              <w:t>Education (years)</w:t>
            </w:r>
          </w:p>
        </w:tc>
        <w:tc>
          <w:tcPr>
            <w:tcW w:w="1925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B62837E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b3 = -0.190832</w:t>
            </w:r>
          </w:p>
        </w:tc>
        <w:tc>
          <w:tcPr>
            <w:tcW w:w="1926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D5B8485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-0.35653</w:t>
            </w:r>
          </w:p>
        </w:tc>
        <w:tc>
          <w:tcPr>
            <w:tcW w:w="1926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AF78CA8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-1.477962</w:t>
            </w:r>
          </w:p>
        </w:tc>
        <w:tc>
          <w:tcPr>
            <w:tcW w:w="1926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5DBAE32" w14:textId="77777777" w:rsidR="00181701" w:rsidRPr="00205FA1" w:rsidRDefault="00181701" w:rsidP="005A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0.1601</w:t>
            </w:r>
          </w:p>
        </w:tc>
      </w:tr>
      <w:tr w:rsidR="00181701" w:rsidRPr="00205FA1" w14:paraId="4670BDC2" w14:textId="77777777" w:rsidTr="00181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1FC87D3" w14:textId="77777777" w:rsidR="00181701" w:rsidRPr="00205FA1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lang w:val="en-GB" w:eastAsia="en-GB"/>
              </w:rPr>
            </w:pPr>
            <w:r w:rsidRPr="00205FA1">
              <w:rPr>
                <w:rFonts w:eastAsia="Times New Roman" w:cs="Times New Roman"/>
                <w:i/>
                <w:color w:val="000000"/>
                <w:lang w:val="en-GB" w:eastAsia="en-GB"/>
              </w:rPr>
              <w:t>days of treatment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</w:tcPr>
          <w:p w14:paraId="2FF3A36A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b4 = 0.016637</w:t>
            </w:r>
          </w:p>
        </w:tc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</w:tcPr>
          <w:p w14:paraId="30D0D35B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r = 0.077873</w:t>
            </w:r>
          </w:p>
        </w:tc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</w:tcPr>
          <w:p w14:paraId="5649063A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t = 0.30252</w:t>
            </w:r>
          </w:p>
        </w:tc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</w:tcPr>
          <w:p w14:paraId="4A80B370" w14:textId="77777777" w:rsidR="00181701" w:rsidRPr="00205FA1" w:rsidRDefault="00181701" w:rsidP="005A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GB" w:eastAsia="en-GB"/>
              </w:rPr>
            </w:pPr>
            <w:r w:rsidRPr="00205FA1">
              <w:rPr>
                <w:rFonts w:eastAsia="Times New Roman" w:cs="Times New Roman"/>
                <w:lang w:val="en-GB" w:eastAsia="en-GB"/>
              </w:rPr>
              <w:t>p = 0.7664</w:t>
            </w:r>
          </w:p>
        </w:tc>
      </w:tr>
    </w:tbl>
    <w:p w14:paraId="6959EE9A" w14:textId="7B1D7C5A" w:rsidR="00B97A1F" w:rsidRDefault="00B97A1F" w:rsidP="002236AD">
      <w:pPr>
        <w:spacing w:before="24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406440E8" w14:textId="30B7C076" w:rsidR="00181701" w:rsidRPr="00A67CCE" w:rsidRDefault="00B97A1F" w:rsidP="00181701">
      <w:pPr>
        <w:pStyle w:val="Caption"/>
        <w:rPr>
          <w:b w:val="0"/>
          <w:bCs w:val="0"/>
          <w:i/>
          <w:iCs/>
          <w:lang w:val="en-GB"/>
        </w:rPr>
      </w:pPr>
      <w:r>
        <w:rPr>
          <w:lang w:val="en-GB"/>
        </w:rPr>
        <w:lastRenderedPageBreak/>
        <w:t xml:space="preserve">Supplementary </w:t>
      </w:r>
      <w:r w:rsidR="00181701" w:rsidRPr="00A67CCE">
        <w:rPr>
          <w:lang w:val="en-GB"/>
        </w:rPr>
        <w:t>Tabl</w:t>
      </w:r>
      <w:r>
        <w:rPr>
          <w:lang w:val="en-GB"/>
        </w:rPr>
        <w:t>e</w:t>
      </w:r>
      <w:r w:rsidR="00181701" w:rsidRPr="00A67CCE">
        <w:rPr>
          <w:lang w:val="en-GB"/>
        </w:rPr>
        <w:t xml:space="preserve"> 4. </w:t>
      </w:r>
      <w:r w:rsidR="00181701" w:rsidRPr="00B97A1F">
        <w:rPr>
          <w:b w:val="0"/>
          <w:lang w:val="en-GB"/>
        </w:rPr>
        <w:t>Associations between LTL measures and cognitive and functional screening tests that showed significant improvements, at baseline (T0) and after treatment (T1).</w:t>
      </w:r>
    </w:p>
    <w:tbl>
      <w:tblPr>
        <w:tblStyle w:val="TableGrid"/>
        <w:tblW w:w="4047" w:type="pct"/>
        <w:tblLook w:val="04A0" w:firstRow="1" w:lastRow="0" w:firstColumn="1" w:lastColumn="0" w:noHBand="0" w:noVBand="1"/>
      </w:tblPr>
      <w:tblGrid>
        <w:gridCol w:w="2296"/>
        <w:gridCol w:w="1439"/>
        <w:gridCol w:w="2300"/>
        <w:gridCol w:w="1870"/>
      </w:tblGrid>
      <w:tr w:rsidR="00181701" w:rsidRPr="00A67CCE" w14:paraId="0713124E" w14:textId="77777777" w:rsidTr="00B97A1F">
        <w:tc>
          <w:tcPr>
            <w:tcW w:w="1452" w:type="pct"/>
            <w:vMerge w:val="restart"/>
            <w:shd w:val="clear" w:color="auto" w:fill="DBE5F1" w:themeFill="accent1" w:themeFillTint="33"/>
            <w:vAlign w:val="center"/>
          </w:tcPr>
          <w:p w14:paraId="611AD43A" w14:textId="77777777" w:rsidR="00181701" w:rsidRPr="00A67CCE" w:rsidRDefault="00181701" w:rsidP="005A4825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67CCE">
              <w:rPr>
                <w:rFonts w:cs="Times New Roman"/>
                <w:b/>
                <w:szCs w:val="24"/>
                <w:lang w:val="en-GB"/>
              </w:rPr>
              <w:t>T0</w:t>
            </w:r>
          </w:p>
        </w:tc>
        <w:tc>
          <w:tcPr>
            <w:tcW w:w="910" w:type="pct"/>
            <w:shd w:val="clear" w:color="auto" w:fill="DBE5F1" w:themeFill="accent1" w:themeFillTint="33"/>
          </w:tcPr>
          <w:p w14:paraId="5D4CAE01" w14:textId="77777777" w:rsidR="00181701" w:rsidRPr="007A30AF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LTL</w:t>
            </w:r>
          </w:p>
        </w:tc>
        <w:tc>
          <w:tcPr>
            <w:tcW w:w="1455" w:type="pct"/>
            <w:vMerge w:val="restart"/>
            <w:shd w:val="clear" w:color="auto" w:fill="DBE5F1" w:themeFill="accent1" w:themeFillTint="33"/>
            <w:vAlign w:val="center"/>
          </w:tcPr>
          <w:p w14:paraId="61BC3CA5" w14:textId="77777777" w:rsidR="00181701" w:rsidRPr="00A67CCE" w:rsidRDefault="00181701" w:rsidP="005A4825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67CCE">
              <w:rPr>
                <w:rFonts w:cs="Times New Roman"/>
                <w:b/>
                <w:szCs w:val="24"/>
                <w:lang w:val="en-GB"/>
              </w:rPr>
              <w:t>T1</w:t>
            </w:r>
          </w:p>
        </w:tc>
        <w:tc>
          <w:tcPr>
            <w:tcW w:w="1183" w:type="pct"/>
            <w:shd w:val="clear" w:color="auto" w:fill="DBE5F1" w:themeFill="accent1" w:themeFillTint="33"/>
          </w:tcPr>
          <w:p w14:paraId="0D6F6F72" w14:textId="77777777" w:rsidR="00181701" w:rsidRPr="007A30AF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LTL</w:t>
            </w:r>
          </w:p>
        </w:tc>
      </w:tr>
      <w:tr w:rsidR="00181701" w:rsidRPr="00A67CCE" w14:paraId="1BD13B82" w14:textId="77777777" w:rsidTr="00B97A1F">
        <w:tc>
          <w:tcPr>
            <w:tcW w:w="1452" w:type="pct"/>
            <w:vMerge/>
            <w:shd w:val="clear" w:color="auto" w:fill="DBE5F1" w:themeFill="accent1" w:themeFillTint="33"/>
          </w:tcPr>
          <w:p w14:paraId="01B1DC0F" w14:textId="77777777" w:rsidR="00181701" w:rsidRPr="00A67CCE" w:rsidRDefault="00181701" w:rsidP="005A4825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910" w:type="pct"/>
            <w:shd w:val="clear" w:color="auto" w:fill="DBE5F1" w:themeFill="accent1" w:themeFillTint="33"/>
          </w:tcPr>
          <w:p w14:paraId="1F53D4E3" w14:textId="77777777" w:rsidR="00181701" w:rsidRPr="00A67CCE" w:rsidRDefault="00181701" w:rsidP="005A4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67CCE">
              <w:rPr>
                <w:rFonts w:eastAsia="Times New Roman" w:cs="Times New Roman"/>
                <w:b/>
                <w:szCs w:val="24"/>
                <w:lang w:val="en-GB" w:eastAsia="en-GB"/>
              </w:rPr>
              <w:t>r (p-value)</w:t>
            </w:r>
          </w:p>
        </w:tc>
        <w:tc>
          <w:tcPr>
            <w:tcW w:w="1455" w:type="pct"/>
            <w:vMerge/>
            <w:shd w:val="clear" w:color="auto" w:fill="DBE5F1" w:themeFill="accent1" w:themeFillTint="33"/>
          </w:tcPr>
          <w:p w14:paraId="6E1ACD19" w14:textId="77777777" w:rsidR="00181701" w:rsidRPr="00A67CCE" w:rsidRDefault="00181701" w:rsidP="005A4825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83" w:type="pct"/>
            <w:shd w:val="clear" w:color="auto" w:fill="DBE5F1" w:themeFill="accent1" w:themeFillTint="33"/>
          </w:tcPr>
          <w:p w14:paraId="153B379D" w14:textId="77777777" w:rsidR="00181701" w:rsidRPr="00A67CCE" w:rsidRDefault="00181701" w:rsidP="005A4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67CCE">
              <w:rPr>
                <w:rFonts w:eastAsia="Times New Roman" w:cs="Times New Roman"/>
                <w:b/>
                <w:szCs w:val="24"/>
                <w:lang w:val="en-GB" w:eastAsia="en-GB"/>
              </w:rPr>
              <w:t>r (p-value)</w:t>
            </w:r>
          </w:p>
        </w:tc>
      </w:tr>
      <w:tr w:rsidR="00181701" w:rsidRPr="00A67CCE" w14:paraId="03559BCD" w14:textId="77777777" w:rsidTr="00B97A1F">
        <w:trPr>
          <w:trHeight w:val="619"/>
        </w:trPr>
        <w:tc>
          <w:tcPr>
            <w:tcW w:w="1452" w:type="pct"/>
            <w:shd w:val="clear" w:color="auto" w:fill="DBE5F1" w:themeFill="accent1" w:themeFillTint="33"/>
            <w:vAlign w:val="center"/>
          </w:tcPr>
          <w:p w14:paraId="44E4A9EA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Copy of complex geometric figure (PG)</w:t>
            </w:r>
          </w:p>
        </w:tc>
        <w:tc>
          <w:tcPr>
            <w:tcW w:w="910" w:type="pct"/>
            <w:vAlign w:val="center"/>
          </w:tcPr>
          <w:p w14:paraId="13575EFC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-0.30 (0.26)</w:t>
            </w:r>
          </w:p>
        </w:tc>
        <w:tc>
          <w:tcPr>
            <w:tcW w:w="1455" w:type="pct"/>
            <w:shd w:val="clear" w:color="auto" w:fill="DBE5F1" w:themeFill="accent1" w:themeFillTint="33"/>
            <w:vAlign w:val="center"/>
          </w:tcPr>
          <w:p w14:paraId="19E3AF62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Copy of complex geometric figure (PG)</w:t>
            </w:r>
          </w:p>
        </w:tc>
        <w:tc>
          <w:tcPr>
            <w:tcW w:w="1183" w:type="pct"/>
            <w:vAlign w:val="center"/>
          </w:tcPr>
          <w:p w14:paraId="4ECC012B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-0.01 (0.96)</w:t>
            </w:r>
          </w:p>
        </w:tc>
      </w:tr>
      <w:tr w:rsidR="00181701" w:rsidRPr="00A67CCE" w14:paraId="06116710" w14:textId="77777777" w:rsidTr="00B97A1F">
        <w:trPr>
          <w:trHeight w:val="600"/>
        </w:trPr>
        <w:tc>
          <w:tcPr>
            <w:tcW w:w="1452" w:type="pct"/>
            <w:shd w:val="clear" w:color="auto" w:fill="DBE5F1" w:themeFill="accent1" w:themeFillTint="33"/>
          </w:tcPr>
          <w:p w14:paraId="0646BE66" w14:textId="77777777" w:rsidR="00181701" w:rsidRPr="007A30AF" w:rsidRDefault="00181701" w:rsidP="005A4825">
            <w:pPr>
              <w:rPr>
                <w:rFonts w:cs="Times New Roman"/>
                <w:szCs w:val="24"/>
                <w:lang w:val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Copy of complex geometric figure (PC)</w:t>
            </w:r>
          </w:p>
        </w:tc>
        <w:tc>
          <w:tcPr>
            <w:tcW w:w="910" w:type="pct"/>
            <w:vAlign w:val="center"/>
          </w:tcPr>
          <w:p w14:paraId="63030800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-0.28 (0.30)</w:t>
            </w:r>
          </w:p>
        </w:tc>
        <w:tc>
          <w:tcPr>
            <w:tcW w:w="1455" w:type="pct"/>
            <w:shd w:val="clear" w:color="auto" w:fill="DBE5F1" w:themeFill="accent1" w:themeFillTint="33"/>
          </w:tcPr>
          <w:p w14:paraId="0656C3A4" w14:textId="77777777" w:rsidR="00181701" w:rsidRPr="007A30AF" w:rsidRDefault="00181701" w:rsidP="005A4825">
            <w:pPr>
              <w:rPr>
                <w:rFonts w:cs="Times New Roman"/>
                <w:b/>
                <w:szCs w:val="24"/>
                <w:lang w:val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Copy of complex geometric figure (PC)</w:t>
            </w:r>
          </w:p>
        </w:tc>
        <w:tc>
          <w:tcPr>
            <w:tcW w:w="1183" w:type="pct"/>
            <w:vAlign w:val="center"/>
          </w:tcPr>
          <w:p w14:paraId="499C23AC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-0.04 (0.86)</w:t>
            </w:r>
          </w:p>
        </w:tc>
      </w:tr>
      <w:tr w:rsidR="00181701" w:rsidRPr="00A67CCE" w14:paraId="08D7A333" w14:textId="77777777" w:rsidTr="00B97A1F">
        <w:tc>
          <w:tcPr>
            <w:tcW w:w="1452" w:type="pct"/>
            <w:shd w:val="clear" w:color="auto" w:fill="DBE5F1" w:themeFill="accent1" w:themeFillTint="33"/>
            <w:vAlign w:val="center"/>
          </w:tcPr>
          <w:p w14:paraId="64AB81AA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bookmarkStart w:id="4" w:name="_Hlk147156572"/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 xml:space="preserve">Objective decision </w:t>
            </w:r>
          </w:p>
        </w:tc>
        <w:tc>
          <w:tcPr>
            <w:tcW w:w="910" w:type="pct"/>
            <w:vAlign w:val="center"/>
          </w:tcPr>
          <w:p w14:paraId="229A4115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-0.08 (0.77)</w:t>
            </w:r>
          </w:p>
        </w:tc>
        <w:tc>
          <w:tcPr>
            <w:tcW w:w="1455" w:type="pct"/>
            <w:shd w:val="clear" w:color="auto" w:fill="DBE5F1" w:themeFill="accent1" w:themeFillTint="33"/>
            <w:vAlign w:val="center"/>
          </w:tcPr>
          <w:p w14:paraId="12BF92CE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 xml:space="preserve">Objective decision </w:t>
            </w:r>
          </w:p>
        </w:tc>
        <w:tc>
          <w:tcPr>
            <w:tcW w:w="1183" w:type="pct"/>
            <w:vAlign w:val="center"/>
          </w:tcPr>
          <w:p w14:paraId="5A6FA9F3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-0.25 (0.35)</w:t>
            </w:r>
          </w:p>
        </w:tc>
      </w:tr>
      <w:bookmarkEnd w:id="4"/>
      <w:tr w:rsidR="00181701" w:rsidRPr="00A67CCE" w14:paraId="260AE82C" w14:textId="77777777" w:rsidTr="00B97A1F">
        <w:tc>
          <w:tcPr>
            <w:tcW w:w="1452" w:type="pct"/>
            <w:shd w:val="clear" w:color="auto" w:fill="DBE5F1" w:themeFill="accent1" w:themeFillTint="33"/>
            <w:vAlign w:val="center"/>
          </w:tcPr>
          <w:p w14:paraId="539C9FC9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 xml:space="preserve">Progressive Silhouettes </w:t>
            </w:r>
          </w:p>
        </w:tc>
        <w:tc>
          <w:tcPr>
            <w:tcW w:w="910" w:type="pct"/>
            <w:vAlign w:val="center"/>
          </w:tcPr>
          <w:p w14:paraId="3AAACE11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-0.21 (0.41)</w:t>
            </w:r>
          </w:p>
        </w:tc>
        <w:tc>
          <w:tcPr>
            <w:tcW w:w="1455" w:type="pct"/>
            <w:shd w:val="clear" w:color="auto" w:fill="DBE5F1" w:themeFill="accent1" w:themeFillTint="33"/>
            <w:vAlign w:val="center"/>
          </w:tcPr>
          <w:p w14:paraId="45B0392B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 xml:space="preserve">Progressive Silhouettes </w:t>
            </w:r>
          </w:p>
        </w:tc>
        <w:tc>
          <w:tcPr>
            <w:tcW w:w="1183" w:type="pct"/>
            <w:vAlign w:val="center"/>
          </w:tcPr>
          <w:p w14:paraId="148DFC0B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-0.04 (0.89)</w:t>
            </w:r>
          </w:p>
        </w:tc>
      </w:tr>
      <w:tr w:rsidR="00181701" w:rsidRPr="00A67CCE" w14:paraId="7596AAA7" w14:textId="77777777" w:rsidTr="00B97A1F">
        <w:trPr>
          <w:trHeight w:val="60"/>
        </w:trPr>
        <w:tc>
          <w:tcPr>
            <w:tcW w:w="1452" w:type="pct"/>
            <w:shd w:val="clear" w:color="auto" w:fill="DBE5F1" w:themeFill="accent1" w:themeFillTint="33"/>
            <w:vAlign w:val="center"/>
          </w:tcPr>
          <w:p w14:paraId="0B799FFA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Position</w:t>
            </w:r>
          </w:p>
        </w:tc>
        <w:tc>
          <w:tcPr>
            <w:tcW w:w="910" w:type="pct"/>
            <w:vAlign w:val="center"/>
          </w:tcPr>
          <w:p w14:paraId="53FAF1F1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0.09 (0.74)</w:t>
            </w:r>
          </w:p>
        </w:tc>
        <w:tc>
          <w:tcPr>
            <w:tcW w:w="1455" w:type="pct"/>
            <w:shd w:val="clear" w:color="auto" w:fill="DBE5F1" w:themeFill="accent1" w:themeFillTint="33"/>
            <w:vAlign w:val="center"/>
          </w:tcPr>
          <w:p w14:paraId="5D208643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Position</w:t>
            </w:r>
          </w:p>
        </w:tc>
        <w:tc>
          <w:tcPr>
            <w:tcW w:w="1183" w:type="pct"/>
            <w:vAlign w:val="center"/>
          </w:tcPr>
          <w:p w14:paraId="43CB9EC4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-0.04 (0.88)</w:t>
            </w:r>
          </w:p>
        </w:tc>
      </w:tr>
      <w:tr w:rsidR="00181701" w:rsidRPr="00A67CCE" w14:paraId="144A245B" w14:textId="77777777" w:rsidTr="00B97A1F">
        <w:tc>
          <w:tcPr>
            <w:tcW w:w="1452" w:type="pct"/>
            <w:shd w:val="clear" w:color="auto" w:fill="DBE5F1" w:themeFill="accent1" w:themeFillTint="33"/>
            <w:vAlign w:val="center"/>
          </w:tcPr>
          <w:p w14:paraId="301DC6A0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CADL-2</w:t>
            </w:r>
          </w:p>
        </w:tc>
        <w:tc>
          <w:tcPr>
            <w:tcW w:w="910" w:type="pct"/>
            <w:vAlign w:val="center"/>
          </w:tcPr>
          <w:p w14:paraId="0159A8A4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0.24 (0.36)</w:t>
            </w:r>
          </w:p>
        </w:tc>
        <w:tc>
          <w:tcPr>
            <w:tcW w:w="1455" w:type="pct"/>
            <w:shd w:val="clear" w:color="auto" w:fill="DBE5F1" w:themeFill="accent1" w:themeFillTint="33"/>
            <w:vAlign w:val="center"/>
          </w:tcPr>
          <w:p w14:paraId="67A75E1D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CADL-2</w:t>
            </w:r>
          </w:p>
        </w:tc>
        <w:tc>
          <w:tcPr>
            <w:tcW w:w="1183" w:type="pct"/>
            <w:vAlign w:val="center"/>
          </w:tcPr>
          <w:p w14:paraId="1AD263C4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0.07 (0.81)</w:t>
            </w:r>
          </w:p>
        </w:tc>
      </w:tr>
      <w:tr w:rsidR="00181701" w:rsidRPr="00A67CCE" w14:paraId="63C227AC" w14:textId="77777777" w:rsidTr="00B97A1F">
        <w:tc>
          <w:tcPr>
            <w:tcW w:w="1452" w:type="pct"/>
            <w:shd w:val="clear" w:color="auto" w:fill="DBE5F1" w:themeFill="accent1" w:themeFillTint="33"/>
            <w:vAlign w:val="center"/>
          </w:tcPr>
          <w:p w14:paraId="7B617BD7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DAFS</w:t>
            </w:r>
          </w:p>
        </w:tc>
        <w:tc>
          <w:tcPr>
            <w:tcW w:w="910" w:type="pct"/>
            <w:vAlign w:val="center"/>
          </w:tcPr>
          <w:p w14:paraId="65D8DD91" w14:textId="77777777" w:rsidR="00181701" w:rsidRPr="00A67CCE" w:rsidRDefault="00181701" w:rsidP="005A4825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-0.06 (0.82)</w:t>
            </w:r>
          </w:p>
        </w:tc>
        <w:tc>
          <w:tcPr>
            <w:tcW w:w="1455" w:type="pct"/>
            <w:shd w:val="clear" w:color="auto" w:fill="DBE5F1" w:themeFill="accent1" w:themeFillTint="33"/>
            <w:vAlign w:val="center"/>
          </w:tcPr>
          <w:p w14:paraId="4BB8E442" w14:textId="77777777" w:rsidR="00181701" w:rsidRPr="007A30AF" w:rsidRDefault="00181701" w:rsidP="005A48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7A30AF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DAFS</w:t>
            </w:r>
          </w:p>
        </w:tc>
        <w:tc>
          <w:tcPr>
            <w:tcW w:w="1183" w:type="pct"/>
            <w:vAlign w:val="center"/>
          </w:tcPr>
          <w:p w14:paraId="0F1996FD" w14:textId="77777777" w:rsidR="00181701" w:rsidRPr="00A67CCE" w:rsidRDefault="00181701" w:rsidP="005A4825">
            <w:pPr>
              <w:keepNext/>
              <w:jc w:val="center"/>
              <w:rPr>
                <w:rFonts w:cs="Times New Roman"/>
                <w:szCs w:val="24"/>
                <w:lang w:val="en-GB"/>
              </w:rPr>
            </w:pPr>
            <w:r w:rsidRPr="00A67CCE">
              <w:rPr>
                <w:rFonts w:cs="Times New Roman"/>
                <w:szCs w:val="24"/>
                <w:lang w:val="en-GB"/>
              </w:rPr>
              <w:t>0.11 (0.70)</w:t>
            </w:r>
          </w:p>
        </w:tc>
      </w:tr>
    </w:tbl>
    <w:p w14:paraId="2A78E16E" w14:textId="77777777" w:rsidR="00181701" w:rsidRPr="00B97A1F" w:rsidRDefault="00181701" w:rsidP="00181701">
      <w:pPr>
        <w:pStyle w:val="Caption"/>
        <w:spacing w:after="0"/>
        <w:rPr>
          <w:b w:val="0"/>
          <w:sz w:val="20"/>
          <w:szCs w:val="20"/>
          <w:lang w:val="en-GB"/>
        </w:rPr>
      </w:pPr>
      <w:r w:rsidRPr="00B97A1F">
        <w:rPr>
          <w:b w:val="0"/>
          <w:sz w:val="20"/>
          <w:szCs w:val="20"/>
          <w:lang w:val="en-GB"/>
        </w:rPr>
        <w:t>Abbreviations:</w:t>
      </w:r>
    </w:p>
    <w:p w14:paraId="7A6CFAAB" w14:textId="77777777" w:rsidR="00181701" w:rsidRPr="00B97A1F" w:rsidRDefault="00181701" w:rsidP="00181701">
      <w:pPr>
        <w:pStyle w:val="Caption"/>
        <w:spacing w:after="0"/>
        <w:rPr>
          <w:b w:val="0"/>
          <w:i/>
          <w:sz w:val="20"/>
          <w:szCs w:val="20"/>
          <w:lang w:val="en-GB"/>
        </w:rPr>
      </w:pPr>
      <w:r w:rsidRPr="00B97A1F">
        <w:rPr>
          <w:b w:val="0"/>
          <w:sz w:val="20"/>
          <w:szCs w:val="20"/>
          <w:lang w:val="en-GB"/>
        </w:rPr>
        <w:t>PC: correct score</w:t>
      </w:r>
    </w:p>
    <w:p w14:paraId="41D97DCA" w14:textId="77777777" w:rsidR="00181701" w:rsidRPr="00B97A1F" w:rsidRDefault="00181701" w:rsidP="00181701">
      <w:pPr>
        <w:pStyle w:val="Caption"/>
        <w:spacing w:after="0"/>
        <w:rPr>
          <w:b w:val="0"/>
          <w:i/>
          <w:sz w:val="20"/>
          <w:szCs w:val="20"/>
          <w:lang w:val="en-GB"/>
        </w:rPr>
      </w:pPr>
      <w:r w:rsidRPr="00B97A1F">
        <w:rPr>
          <w:b w:val="0"/>
          <w:sz w:val="20"/>
          <w:szCs w:val="20"/>
          <w:lang w:val="en-GB"/>
        </w:rPr>
        <w:t xml:space="preserve">PG: raw score </w:t>
      </w:r>
    </w:p>
    <w:p w14:paraId="4FBB7809" w14:textId="77777777" w:rsidR="00181701" w:rsidRPr="00B97A1F" w:rsidRDefault="00181701" w:rsidP="00181701">
      <w:pPr>
        <w:pStyle w:val="Caption"/>
        <w:spacing w:after="0"/>
        <w:rPr>
          <w:b w:val="0"/>
          <w:i/>
          <w:sz w:val="20"/>
          <w:szCs w:val="20"/>
          <w:lang w:val="en-GB"/>
        </w:rPr>
      </w:pPr>
      <w:r w:rsidRPr="00B97A1F">
        <w:rPr>
          <w:b w:val="0"/>
          <w:sz w:val="20"/>
          <w:szCs w:val="20"/>
          <w:lang w:val="en-GB"/>
        </w:rPr>
        <w:t>CADL2: Communication Activities of the Daily Living</w:t>
      </w:r>
    </w:p>
    <w:p w14:paraId="65F8E050" w14:textId="77777777" w:rsidR="00181701" w:rsidRPr="00B97A1F" w:rsidRDefault="00181701" w:rsidP="00181701">
      <w:pPr>
        <w:pStyle w:val="Caption"/>
        <w:spacing w:after="0"/>
        <w:rPr>
          <w:b w:val="0"/>
          <w:i/>
          <w:sz w:val="20"/>
          <w:szCs w:val="20"/>
          <w:lang w:val="en-GB"/>
        </w:rPr>
      </w:pPr>
      <w:r w:rsidRPr="00B97A1F">
        <w:rPr>
          <w:b w:val="0"/>
          <w:sz w:val="20"/>
          <w:szCs w:val="20"/>
          <w:lang w:val="en-GB"/>
        </w:rPr>
        <w:t>DAFS: Direct Assessment of Functional Status</w:t>
      </w:r>
    </w:p>
    <w:p w14:paraId="20CBAACD" w14:textId="77777777" w:rsidR="00181701" w:rsidRPr="00CB1B2B" w:rsidRDefault="00181701" w:rsidP="002236AD">
      <w:pPr>
        <w:spacing w:before="240"/>
        <w:rPr>
          <w:lang w:val="en-GB"/>
        </w:rPr>
      </w:pPr>
    </w:p>
    <w:sectPr w:rsidR="00181701" w:rsidRPr="00CB1B2B" w:rsidSect="00A479FA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14CC" w14:textId="77777777" w:rsidR="00A479FA" w:rsidRDefault="00A479FA" w:rsidP="00117666">
      <w:pPr>
        <w:spacing w:after="0"/>
      </w:pPr>
      <w:r>
        <w:separator/>
      </w:r>
    </w:p>
  </w:endnote>
  <w:endnote w:type="continuationSeparator" w:id="0">
    <w:p w14:paraId="53BAFD82" w14:textId="77777777" w:rsidR="00A479FA" w:rsidRDefault="00A479F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3189" w14:textId="77777777" w:rsidR="00A479FA" w:rsidRDefault="00A479FA" w:rsidP="00117666">
      <w:pPr>
        <w:spacing w:after="0"/>
      </w:pPr>
      <w:r>
        <w:separator/>
      </w:r>
    </w:p>
  </w:footnote>
  <w:footnote w:type="continuationSeparator" w:id="0">
    <w:p w14:paraId="58E986DD" w14:textId="77777777" w:rsidR="00A479FA" w:rsidRDefault="00A479F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679233245">
    <w:abstractNumId w:val="0"/>
  </w:num>
  <w:num w:numId="2" w16cid:durableId="1739399945">
    <w:abstractNumId w:val="4"/>
  </w:num>
  <w:num w:numId="3" w16cid:durableId="217015240">
    <w:abstractNumId w:val="1"/>
  </w:num>
  <w:num w:numId="4" w16cid:durableId="1011285">
    <w:abstractNumId w:val="5"/>
  </w:num>
  <w:num w:numId="5" w16cid:durableId="228805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1257153">
    <w:abstractNumId w:val="3"/>
  </w:num>
  <w:num w:numId="7" w16cid:durableId="1286544257">
    <w:abstractNumId w:val="6"/>
  </w:num>
  <w:num w:numId="8" w16cid:durableId="1887984173">
    <w:abstractNumId w:val="6"/>
  </w:num>
  <w:num w:numId="9" w16cid:durableId="397674696">
    <w:abstractNumId w:val="6"/>
  </w:num>
  <w:num w:numId="10" w16cid:durableId="912273213">
    <w:abstractNumId w:val="6"/>
  </w:num>
  <w:num w:numId="11" w16cid:durableId="1300384589">
    <w:abstractNumId w:val="6"/>
  </w:num>
  <w:num w:numId="12" w16cid:durableId="839543969">
    <w:abstractNumId w:val="6"/>
  </w:num>
  <w:num w:numId="13" w16cid:durableId="2041583577">
    <w:abstractNumId w:val="3"/>
  </w:num>
  <w:num w:numId="14" w16cid:durableId="236674376">
    <w:abstractNumId w:val="2"/>
  </w:num>
  <w:num w:numId="15" w16cid:durableId="720133376">
    <w:abstractNumId w:val="2"/>
  </w:num>
  <w:num w:numId="16" w16cid:durableId="1306662180">
    <w:abstractNumId w:val="2"/>
  </w:num>
  <w:num w:numId="17" w16cid:durableId="1345090930">
    <w:abstractNumId w:val="2"/>
  </w:num>
  <w:num w:numId="18" w16cid:durableId="702095304">
    <w:abstractNumId w:val="2"/>
  </w:num>
  <w:num w:numId="19" w16cid:durableId="199564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1701"/>
    <w:rsid w:val="002236AD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23A76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D31B9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B0DDB"/>
    <w:rsid w:val="009151AA"/>
    <w:rsid w:val="0093429D"/>
    <w:rsid w:val="00943573"/>
    <w:rsid w:val="00970F7D"/>
    <w:rsid w:val="00994A3D"/>
    <w:rsid w:val="009C2B12"/>
    <w:rsid w:val="009C70F3"/>
    <w:rsid w:val="00A174D9"/>
    <w:rsid w:val="00A479FA"/>
    <w:rsid w:val="00A569CD"/>
    <w:rsid w:val="00A60175"/>
    <w:rsid w:val="00AB5EE2"/>
    <w:rsid w:val="00AB6715"/>
    <w:rsid w:val="00B1671E"/>
    <w:rsid w:val="00B25EB8"/>
    <w:rsid w:val="00B354E1"/>
    <w:rsid w:val="00B37F4D"/>
    <w:rsid w:val="00B97A1F"/>
    <w:rsid w:val="00C52A7B"/>
    <w:rsid w:val="00C56BAF"/>
    <w:rsid w:val="00C679AA"/>
    <w:rsid w:val="00C75972"/>
    <w:rsid w:val="00CB1B2B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76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GridTable5Dark-Accent5">
    <w:name w:val="Grid Table 5 Dark Accent 5"/>
    <w:basedOn w:val="TableNormal"/>
    <w:uiPriority w:val="50"/>
    <w:rsid w:val="006D31B9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481D2-F873-4ADE-AB8C-F7D588586F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Julie Millard</cp:lastModifiedBy>
  <cp:revision>2</cp:revision>
  <cp:lastPrinted>2013-10-03T12:51:00Z</cp:lastPrinted>
  <dcterms:created xsi:type="dcterms:W3CDTF">2024-02-20T15:01:00Z</dcterms:created>
  <dcterms:modified xsi:type="dcterms:W3CDTF">2024-02-20T15:01:00Z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