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AC87" w14:textId="164177EF" w:rsidR="006F4165" w:rsidRPr="00E466B1" w:rsidRDefault="00EA4B9F" w:rsidP="006F4165">
      <w:pPr>
        <w:rPr>
          <w:rFonts w:ascii="Times New Roman" w:hAnsi="Times New Roman" w:cs="Times New Roman"/>
          <w:szCs w:val="21"/>
        </w:rPr>
      </w:pPr>
      <w:r w:rsidRPr="00E466B1">
        <w:rPr>
          <w:rFonts w:ascii="Times New Roman" w:hAnsi="Times New Roman" w:cs="Times New Roman"/>
          <w:szCs w:val="21"/>
        </w:rPr>
        <w:t>Table 2S</w:t>
      </w:r>
      <w:r w:rsidR="006F4165" w:rsidRPr="00E466B1">
        <w:rPr>
          <w:rFonts w:ascii="Times New Roman" w:hAnsi="Times New Roman" w:cs="Times New Roman"/>
          <w:szCs w:val="21"/>
        </w:rPr>
        <w:t xml:space="preserve">. Global and regional age-standardized </w:t>
      </w:r>
      <w:r w:rsidR="008D2116" w:rsidRPr="00E466B1">
        <w:rPr>
          <w:rFonts w:ascii="Times New Roman" w:hAnsi="Times New Roman" w:cs="Times New Roman"/>
          <w:szCs w:val="21"/>
        </w:rPr>
        <w:t>DALYs</w:t>
      </w:r>
      <w:r w:rsidR="006F4165" w:rsidRPr="00E466B1">
        <w:rPr>
          <w:rFonts w:ascii="Times New Roman" w:hAnsi="Times New Roman" w:cs="Times New Roman"/>
          <w:szCs w:val="21"/>
        </w:rPr>
        <w:t xml:space="preserve"> of</w:t>
      </w:r>
      <w:r w:rsidR="00FF5FB8" w:rsidRPr="00E466B1">
        <w:rPr>
          <w:rFonts w:ascii="Times New Roman" w:hAnsi="Times New Roman" w:cs="Times New Roman"/>
          <w:szCs w:val="21"/>
        </w:rPr>
        <w:t xml:space="preserve"> diet high in processed meat</w:t>
      </w:r>
      <w:r w:rsidR="006F4165" w:rsidRPr="00E466B1">
        <w:rPr>
          <w:rFonts w:ascii="Times New Roman" w:hAnsi="Times New Roman" w:cs="Times New Roman"/>
          <w:szCs w:val="21"/>
        </w:rPr>
        <w:t xml:space="preserve"> for both sexes combined in 1990,2000,2010, and 2019, and EAPC of </w:t>
      </w:r>
      <w:r w:rsidR="00835CA4" w:rsidRPr="00E466B1">
        <w:rPr>
          <w:rFonts w:ascii="Times New Roman" w:hAnsi="Times New Roman" w:cs="Times New Roman"/>
          <w:szCs w:val="21"/>
        </w:rPr>
        <w:t>ASDR</w:t>
      </w:r>
      <w:r w:rsidR="006F4165" w:rsidRPr="00E466B1">
        <w:rPr>
          <w:rFonts w:ascii="Times New Roman" w:hAnsi="Times New Roman" w:cs="Times New Roman"/>
          <w:szCs w:val="21"/>
        </w:rPr>
        <w:t xml:space="preserve"> from 1990 to 201</w:t>
      </w:r>
      <w:r w:rsidR="00FF5FB8" w:rsidRPr="00E466B1">
        <w:rPr>
          <w:rFonts w:ascii="Times New Roman" w:hAnsi="Times New Roman" w:cs="Times New Roman"/>
          <w:szCs w:val="21"/>
        </w:rPr>
        <w:t>0</w:t>
      </w:r>
      <w:r w:rsidR="006F4165" w:rsidRPr="00E466B1">
        <w:rPr>
          <w:rFonts w:ascii="Times New Roman" w:hAnsi="Times New Roman" w:cs="Times New Roman"/>
          <w:szCs w:val="21"/>
        </w:rPr>
        <w:t xml:space="preserve"> and </w:t>
      </w:r>
      <w:r w:rsidR="00315D5A" w:rsidRPr="00E466B1">
        <w:rPr>
          <w:rFonts w:ascii="Times New Roman" w:hAnsi="Times New Roman" w:cs="Times New Roman"/>
          <w:szCs w:val="21"/>
        </w:rPr>
        <w:t>1990</w:t>
      </w:r>
      <w:r w:rsidR="006F4165" w:rsidRPr="00E466B1">
        <w:rPr>
          <w:rFonts w:ascii="Times New Roman" w:hAnsi="Times New Roman" w:cs="Times New Roman"/>
          <w:szCs w:val="21"/>
        </w:rPr>
        <w:t xml:space="preserve"> to 201</w:t>
      </w:r>
      <w:r w:rsidR="00FF5FB8" w:rsidRPr="00E466B1">
        <w:rPr>
          <w:rFonts w:ascii="Times New Roman" w:hAnsi="Times New Roman" w:cs="Times New Roman"/>
          <w:szCs w:val="21"/>
        </w:rPr>
        <w:t>9</w:t>
      </w:r>
    </w:p>
    <w:tbl>
      <w:tblPr>
        <w:tblStyle w:val="2"/>
        <w:tblW w:w="0" w:type="auto"/>
        <w:tblBorders>
          <w:top w:val="single" w:sz="18" w:space="0" w:color="ED7D31" w:themeColor="accent2"/>
          <w:bottom w:val="single" w:sz="1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643F53" w:rsidRPr="00E466B1" w14:paraId="14544662" w14:textId="77777777" w:rsidTr="00643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74229F57" w14:textId="77777777" w:rsidR="00186254" w:rsidRPr="00E466B1" w:rsidRDefault="0018625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6F47C6D0" w14:textId="77777777" w:rsidR="00837EED" w:rsidRPr="00E466B1" w:rsidRDefault="008D2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ASDR</w:t>
            </w:r>
            <w:r w:rsidR="00837EED" w:rsidRPr="00E466B1">
              <w:rPr>
                <w:rFonts w:ascii="Times New Roman" w:hAnsi="Times New Roman" w:cs="Times New Roman"/>
                <w:szCs w:val="21"/>
              </w:rPr>
              <w:t xml:space="preserve"> 1990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2FA2FD4B" w14:textId="77777777" w:rsidR="00837EED" w:rsidRPr="00E466B1" w:rsidRDefault="008D2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ASDR</w:t>
            </w:r>
            <w:r w:rsidR="00837EED" w:rsidRPr="00E466B1">
              <w:rPr>
                <w:rFonts w:ascii="Times New Roman" w:hAnsi="Times New Roman" w:cs="Times New Roman"/>
                <w:szCs w:val="21"/>
              </w:rPr>
              <w:t xml:space="preserve"> 2000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1ADBF719" w14:textId="77777777" w:rsidR="00837EED" w:rsidRPr="00E466B1" w:rsidRDefault="008D2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ASDR</w:t>
            </w:r>
            <w:r w:rsidR="00837EED" w:rsidRPr="00E466B1">
              <w:rPr>
                <w:rFonts w:ascii="Times New Roman" w:hAnsi="Times New Roman" w:cs="Times New Roman"/>
                <w:szCs w:val="21"/>
              </w:rPr>
              <w:t xml:space="preserve"> 2010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03A32D30" w14:textId="77777777" w:rsidR="00837EED" w:rsidRPr="00E466B1" w:rsidRDefault="008D2116" w:rsidP="008D2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ASDR</w:t>
            </w:r>
            <w:r w:rsidR="00837EED" w:rsidRPr="00E466B1">
              <w:rPr>
                <w:rFonts w:ascii="Times New Roman" w:hAnsi="Times New Roman" w:cs="Times New Roman"/>
                <w:szCs w:val="21"/>
              </w:rPr>
              <w:t xml:space="preserve"> 2019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26093945" w14:textId="77777777" w:rsidR="00837EED" w:rsidRPr="00E466B1" w:rsidRDefault="00D73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EAPC 1990</w:t>
            </w:r>
            <w:r w:rsidR="00837EED" w:rsidRPr="00E466B1">
              <w:rPr>
                <w:rFonts w:ascii="Times New Roman" w:hAnsi="Times New Roman" w:cs="Times New Roman"/>
                <w:szCs w:val="21"/>
              </w:rPr>
              <w:t>-2010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single" w:sz="18" w:space="0" w:color="ED7D31" w:themeColor="accent2"/>
            </w:tcBorders>
          </w:tcPr>
          <w:p w14:paraId="4AE6D3B3" w14:textId="77777777" w:rsidR="00837EED" w:rsidRPr="00E466B1" w:rsidRDefault="00D73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EAPC 1990</w:t>
            </w:r>
            <w:r w:rsidR="00837EED" w:rsidRPr="00E466B1">
              <w:rPr>
                <w:rFonts w:ascii="Times New Roman" w:hAnsi="Times New Roman" w:cs="Times New Roman"/>
                <w:szCs w:val="21"/>
              </w:rPr>
              <w:t>-2019</w:t>
            </w:r>
          </w:p>
        </w:tc>
      </w:tr>
      <w:tr w:rsidR="00643F53" w:rsidRPr="00E466B1" w14:paraId="22E7EB6B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001CD49A" w14:textId="77777777" w:rsidR="00837EED" w:rsidRPr="00E466B1" w:rsidRDefault="00837EED">
            <w:pPr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Global</w:t>
            </w:r>
          </w:p>
          <w:p w14:paraId="6D14D7DB" w14:textId="77777777" w:rsidR="00186254" w:rsidRPr="00E466B1" w:rsidRDefault="00186254">
            <w:pPr>
              <w:rPr>
                <w:rFonts w:ascii="Times New Roman" w:hAnsi="Times New Roman" w:cs="Times New Roman"/>
                <w:szCs w:val="21"/>
              </w:rPr>
            </w:pPr>
          </w:p>
          <w:p w14:paraId="53A9EA70" w14:textId="77777777" w:rsidR="00186254" w:rsidRPr="00E466B1" w:rsidRDefault="00186254">
            <w:pPr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tbl>
            <w:tblPr>
              <w:tblW w:w="1565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</w:tblGrid>
            <w:tr w:rsidR="00837EED" w:rsidRPr="00E466B1" w14:paraId="50C1E821" w14:textId="77777777" w:rsidTr="00643F53">
              <w:trPr>
                <w:trHeight w:val="285"/>
              </w:trPr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E3EC1" w14:textId="77777777" w:rsidR="00E1011A" w:rsidRPr="00E466B1" w:rsidRDefault="00E1011A" w:rsidP="00E1011A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</w:pPr>
                  <w:r w:rsidRPr="00E466B1"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  <w:t>145.57(63.48 to 226.67)</w:t>
                  </w:r>
                </w:p>
                <w:p w14:paraId="16297D8B" w14:textId="69CC361F" w:rsidR="00837EED" w:rsidRPr="00E466B1" w:rsidRDefault="00837EED" w:rsidP="00CB4DEA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39F32164" w14:textId="77777777" w:rsidR="00837EED" w:rsidRPr="00E466B1" w:rsidRDefault="0083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3247808A" w14:textId="1460F3D9" w:rsidR="00186254" w:rsidRPr="00E466B1" w:rsidRDefault="00E1011A" w:rsidP="00CB4DE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135.4(64.23 to 206.53)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7C1AF370" w14:textId="50CC642C" w:rsidR="00837EED" w:rsidRPr="00E466B1" w:rsidRDefault="00E1011A" w:rsidP="00CB4DE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116.33(66.78 to 172.98)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tbl>
            <w:tblPr>
              <w:tblW w:w="1379" w:type="dxa"/>
              <w:tblLayout w:type="fixed"/>
              <w:tblLook w:val="04A0" w:firstRow="1" w:lastRow="0" w:firstColumn="1" w:lastColumn="0" w:noHBand="0" w:noVBand="1"/>
            </w:tblPr>
            <w:tblGrid>
              <w:gridCol w:w="1379"/>
            </w:tblGrid>
            <w:tr w:rsidR="00837EED" w:rsidRPr="00E466B1" w14:paraId="045A4E57" w14:textId="77777777" w:rsidTr="00643F53">
              <w:trPr>
                <w:trHeight w:val="285"/>
              </w:trPr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A1091" w14:textId="67732FAE" w:rsidR="00837EED" w:rsidRPr="00E466B1" w:rsidRDefault="00E1011A" w:rsidP="00CB4DEA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</w:pPr>
                  <w:r w:rsidRPr="00E466B1"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  <w:t>104.35(64.34 to 154.35)</w:t>
                  </w:r>
                </w:p>
              </w:tc>
            </w:tr>
          </w:tbl>
          <w:p w14:paraId="177C13E9" w14:textId="77777777" w:rsidR="00837EED" w:rsidRPr="00E466B1" w:rsidRDefault="0083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43079629" w14:textId="58F4A6B8" w:rsidR="00837EED" w:rsidRPr="00E466B1" w:rsidRDefault="00E1011A" w:rsidP="00CB4DE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-1.2 (-1.37 to -1.02)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665696E6" w14:textId="6252388D" w:rsidR="00837EED" w:rsidRPr="00E466B1" w:rsidRDefault="00E1011A" w:rsidP="00CB4DE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-1.36 (-1.46 to -1.26)</w:t>
            </w:r>
          </w:p>
        </w:tc>
      </w:tr>
      <w:tr w:rsidR="00FF5FB8" w:rsidRPr="00E466B1" w14:paraId="30767CD3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363F36FF" w14:textId="77777777" w:rsidR="00FF5FB8" w:rsidRPr="00E466B1" w:rsidRDefault="00FF5FB8" w:rsidP="00FF5FB8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Male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tbl>
            <w:tblPr>
              <w:tblW w:w="1961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</w:tblGrid>
            <w:tr w:rsidR="00FF5FB8" w:rsidRPr="00E466B1" w14:paraId="1C775C69" w14:textId="77777777" w:rsidTr="00643F53">
              <w:trPr>
                <w:trHeight w:val="285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DA749" w14:textId="2D90339D" w:rsidR="00FF5FB8" w:rsidRPr="00E466B1" w:rsidRDefault="00FF5FB8" w:rsidP="00FF5FB8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</w:pPr>
                  <w:r w:rsidRPr="00E466B1"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  <w:t>172.74(68.95 to 274.29)</w:t>
                  </w:r>
                </w:p>
              </w:tc>
            </w:tr>
          </w:tbl>
          <w:p w14:paraId="2A20E729" w14:textId="77777777" w:rsidR="00FF5FB8" w:rsidRPr="00E466B1" w:rsidRDefault="00FF5FB8" w:rsidP="00FF5F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tbl>
            <w:tblPr>
              <w:tblW w:w="1891" w:type="dxa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FF5FB8" w:rsidRPr="00E466B1" w14:paraId="78C212DF" w14:textId="77777777" w:rsidTr="00643F53">
              <w:trPr>
                <w:trHeight w:val="300"/>
              </w:trPr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0E084" w14:textId="0BC772BE" w:rsidR="00FF5FB8" w:rsidRPr="00E466B1" w:rsidRDefault="00FF5FB8" w:rsidP="00FF5FB8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</w:pPr>
                  <w:r w:rsidRPr="00E466B1"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  <w:t>162.33(70.74 to 252.72)</w:t>
                  </w:r>
                </w:p>
              </w:tc>
            </w:tr>
          </w:tbl>
          <w:p w14:paraId="485AFCEE" w14:textId="77777777" w:rsidR="00FF5FB8" w:rsidRPr="00E466B1" w:rsidRDefault="00FF5FB8" w:rsidP="00FF5FB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tbl>
            <w:tblPr>
              <w:tblW w:w="2077" w:type="dxa"/>
              <w:tblLayout w:type="fixed"/>
              <w:tblLook w:val="04A0" w:firstRow="1" w:lastRow="0" w:firstColumn="1" w:lastColumn="0" w:noHBand="0" w:noVBand="1"/>
            </w:tblPr>
            <w:tblGrid>
              <w:gridCol w:w="2077"/>
            </w:tblGrid>
            <w:tr w:rsidR="00FF5FB8" w:rsidRPr="00E466B1" w14:paraId="31AC0A8A" w14:textId="77777777" w:rsidTr="00643F53">
              <w:trPr>
                <w:trHeight w:val="300"/>
              </w:trPr>
              <w:tc>
                <w:tcPr>
                  <w:tcW w:w="2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6237B" w14:textId="1CE72A9C" w:rsidR="00FF5FB8" w:rsidRPr="00E466B1" w:rsidRDefault="00FF5FB8" w:rsidP="00FF5FB8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</w:pPr>
                  <w:r w:rsidRPr="00E466B1"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  <w:t>139.8(75.99 to 211.6)</w:t>
                  </w:r>
                </w:p>
              </w:tc>
            </w:tr>
          </w:tbl>
          <w:p w14:paraId="301D1658" w14:textId="77777777" w:rsidR="00FF5FB8" w:rsidRPr="00E466B1" w:rsidRDefault="00FF5FB8" w:rsidP="00FF5FB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tbl>
            <w:tblPr>
              <w:tblW w:w="2077" w:type="dxa"/>
              <w:tblLayout w:type="fixed"/>
              <w:tblLook w:val="04A0" w:firstRow="1" w:lastRow="0" w:firstColumn="1" w:lastColumn="0" w:noHBand="0" w:noVBand="1"/>
            </w:tblPr>
            <w:tblGrid>
              <w:gridCol w:w="2077"/>
            </w:tblGrid>
            <w:tr w:rsidR="00FF5FB8" w:rsidRPr="00E466B1" w14:paraId="766DF705" w14:textId="77777777" w:rsidTr="00643F53">
              <w:trPr>
                <w:trHeight w:val="300"/>
              </w:trPr>
              <w:tc>
                <w:tcPr>
                  <w:tcW w:w="2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EE903" w14:textId="71863224" w:rsidR="00FF5FB8" w:rsidRPr="00E466B1" w:rsidRDefault="00FF5FB8" w:rsidP="00FF5FB8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</w:pPr>
                  <w:r w:rsidRPr="00E466B1">
                    <w:rPr>
                      <w:rFonts w:ascii="Times New Roman" w:eastAsia="等线" w:hAnsi="Times New Roman" w:cs="Times New Roman"/>
                      <w:color w:val="000000"/>
                      <w:szCs w:val="21"/>
                    </w:rPr>
                    <w:t>123.73(73.6 to 186.91)</w:t>
                  </w:r>
                </w:p>
              </w:tc>
            </w:tr>
          </w:tbl>
          <w:p w14:paraId="73AA8056" w14:textId="77777777" w:rsidR="00FF5FB8" w:rsidRPr="00E466B1" w:rsidRDefault="00FF5FB8" w:rsidP="00FF5FB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F0A5774" w14:textId="30DE5C65" w:rsidR="00FF5FB8" w:rsidRPr="00E466B1" w:rsidRDefault="00FF5FB8" w:rsidP="00FF5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-1.15 (-1.35 to -0.94)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AC9F2DA" w14:textId="60261156" w:rsidR="00FF5FB8" w:rsidRPr="00E466B1" w:rsidRDefault="00FF5FB8" w:rsidP="00FF5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-1.37 (-1.48 to -1.25)</w:t>
            </w:r>
          </w:p>
        </w:tc>
      </w:tr>
      <w:tr w:rsidR="00FF5FB8" w:rsidRPr="00E466B1" w14:paraId="55B82622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4C9F6638" w14:textId="77777777" w:rsidR="00FF5FB8" w:rsidRPr="00E466B1" w:rsidRDefault="00FF5FB8" w:rsidP="00FF5FB8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Female</w:t>
            </w:r>
          </w:p>
          <w:p w14:paraId="1A215BB2" w14:textId="77777777" w:rsidR="00FF5FB8" w:rsidRPr="00E466B1" w:rsidRDefault="00FF5FB8" w:rsidP="00FF5FB8">
            <w:pPr>
              <w:rPr>
                <w:rFonts w:ascii="Times New Roman" w:hAnsi="Times New Roman" w:cs="Times New Roman"/>
                <w:b w:val="0"/>
                <w:szCs w:val="21"/>
              </w:rPr>
            </w:pPr>
          </w:p>
          <w:p w14:paraId="0CC77DFB" w14:textId="77777777" w:rsidR="00FF5FB8" w:rsidRPr="00E466B1" w:rsidRDefault="00FF5FB8" w:rsidP="00FF5FB8">
            <w:pPr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SDI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C38B024" w14:textId="6C21C643" w:rsidR="00FF5FB8" w:rsidRPr="00E466B1" w:rsidRDefault="00FF5FB8" w:rsidP="00FF5F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118.85(60.12 to 180.93)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5CA4A7F" w14:textId="5DE4ECF1" w:rsidR="00FF5FB8" w:rsidRPr="00E466B1" w:rsidRDefault="00FF5FB8" w:rsidP="00FF5FB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108.77(59.07 to 161.59)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C988F74" w14:textId="50EC9856" w:rsidR="00FF5FB8" w:rsidRPr="00E466B1" w:rsidRDefault="00FF5FB8" w:rsidP="00FF5FB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93.86(58.23 to 134.98)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3C41A26" w14:textId="7AE620CA" w:rsidR="00FF5FB8" w:rsidRPr="00E466B1" w:rsidRDefault="00FF5FB8" w:rsidP="00FF5FB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color w:val="000000"/>
                <w:szCs w:val="21"/>
              </w:rPr>
              <w:t>86.07(55.05 to 123.34)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52C08CF" w14:textId="46980DB3" w:rsidR="00FF5FB8" w:rsidRPr="00E466B1" w:rsidRDefault="00FF5FB8" w:rsidP="00FF5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-1.23 (-1.37 to -1.1)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55AC159" w14:textId="10910F25" w:rsidR="00FF5FB8" w:rsidRPr="00E466B1" w:rsidRDefault="00FF5FB8" w:rsidP="00FF5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-1.31 (-1.38 to -1.23)</w:t>
            </w:r>
          </w:p>
        </w:tc>
      </w:tr>
      <w:tr w:rsidR="00E1011A" w:rsidRPr="00E466B1" w14:paraId="74316154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149BC60A" w14:textId="77777777" w:rsidR="00E1011A" w:rsidRPr="00E466B1" w:rsidRDefault="00E1011A" w:rsidP="00E1011A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High SDI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101B460" w14:textId="0139B2DE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250.85(108.03 to 390.78)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9718CA2" w14:textId="64D3BBC0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216.2(109.6 to 315.42)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42D00CF" w14:textId="620AEB5B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183.86(107.84 to 259.13)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D84FCDB" w14:textId="01232AFD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172.94(106.31 to 241.41)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1E560E8" w14:textId="10EEC695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-1.48 (-1.53 to -1.43)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7C38E29" w14:textId="43E5A417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-1.41 (-1.47 to -1.35)</w:t>
            </w:r>
          </w:p>
        </w:tc>
      </w:tr>
      <w:tr w:rsidR="00E1011A" w:rsidRPr="00E466B1" w14:paraId="7A8D5F72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256FDAB0" w14:textId="77777777" w:rsidR="00E1011A" w:rsidRPr="00E466B1" w:rsidRDefault="00E1011A" w:rsidP="00E1011A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High-middle SDI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225410D" w14:textId="1D8F9670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199.28(69.97 to 324.45)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4E60395" w14:textId="29D690FD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202.59(71.46 to 326.89)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724255A" w14:textId="410006ED" w:rsidR="00E1011A" w:rsidRPr="00E466B1" w:rsidRDefault="00E1011A" w:rsidP="00E1011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155.88(68.49 to 249.14)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0B9A658" w14:textId="30FA642C" w:rsidR="00E1011A" w:rsidRPr="00E466B1" w:rsidRDefault="00E1011A" w:rsidP="00E1011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118.93(61.47 to 188.81)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D2F3DBC" w14:textId="76FF5372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-1.45 (-1.95 to -0.95)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8601EE0" w14:textId="0DB5B1DA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-2.29 (-2.62 to -1.96)</w:t>
            </w:r>
          </w:p>
        </w:tc>
      </w:tr>
      <w:tr w:rsidR="00E1011A" w:rsidRPr="00E466B1" w14:paraId="1B444992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1C93A415" w14:textId="77777777" w:rsidR="00E1011A" w:rsidRPr="00E466B1" w:rsidRDefault="00E1011A" w:rsidP="00E1011A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Middle SDI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F2095B5" w14:textId="288B0B79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42.11(24.73 to 69.1)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01C3127" w14:textId="350638EF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45.07(26.5 to 73.26)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49643F6" w14:textId="2DEFAB4C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55.32(31.65 to 90.14)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3BA2750" w14:textId="3FF366E3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59.52(34.7 to 95.39)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782DBFD" w14:textId="44407590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1.33 (1.18 to 1.49)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23E4E08" w14:textId="2E4C4740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1.43 (1.33 to 1.53)</w:t>
            </w:r>
          </w:p>
        </w:tc>
      </w:tr>
      <w:tr w:rsidR="00E1011A" w:rsidRPr="00E466B1" w14:paraId="2FBA9651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25C73684" w14:textId="77777777" w:rsidR="00E1011A" w:rsidRPr="00E466B1" w:rsidRDefault="00E1011A" w:rsidP="00E1011A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Low-middle SDI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32919A6" w14:textId="7943FC8E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59.32(36.46 to 93.71)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AC9D343" w14:textId="365864C9" w:rsidR="00E1011A" w:rsidRPr="00E466B1" w:rsidRDefault="00E1011A" w:rsidP="00E1011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64.5(39.67 to 99.98)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BBAA900" w14:textId="20139FBB" w:rsidR="00E1011A" w:rsidRPr="00E466B1" w:rsidRDefault="00E1011A" w:rsidP="00E1011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74.5(46.66 to 114.8)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2F241FD" w14:textId="703A7800" w:rsidR="00E1011A" w:rsidRPr="00E466B1" w:rsidRDefault="00E1011A" w:rsidP="00E1011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80.29(50.76 to 121.34)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2DA4A59" w14:textId="0D388213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1.16 (1.07 to 1.25)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B62FE17" w14:textId="69017EE6" w:rsidR="00E1011A" w:rsidRPr="00E466B1" w:rsidRDefault="00E1011A" w:rsidP="00E1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1.2 (1.15 to 1.25)</w:t>
            </w:r>
          </w:p>
        </w:tc>
      </w:tr>
      <w:tr w:rsidR="00E1011A" w:rsidRPr="00E466B1" w14:paraId="03A65559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242572BA" w14:textId="77777777" w:rsidR="00E1011A" w:rsidRPr="00E466B1" w:rsidRDefault="00E1011A" w:rsidP="00E1011A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E466B1">
              <w:rPr>
                <w:rFonts w:ascii="Times New Roman" w:hAnsi="Times New Roman" w:cs="Times New Roman"/>
                <w:b w:val="0"/>
                <w:szCs w:val="21"/>
              </w:rPr>
              <w:t>Low SDI</w:t>
            </w:r>
          </w:p>
          <w:p w14:paraId="4BAF001E" w14:textId="77777777" w:rsidR="00E1011A" w:rsidRPr="00E466B1" w:rsidRDefault="00E1011A" w:rsidP="00E1011A">
            <w:pPr>
              <w:rPr>
                <w:rFonts w:ascii="Times New Roman" w:hAnsi="Times New Roman" w:cs="Times New Roman"/>
                <w:b w:val="0"/>
                <w:szCs w:val="21"/>
              </w:rPr>
            </w:pPr>
          </w:p>
          <w:p w14:paraId="13A461BB" w14:textId="77777777" w:rsidR="00E1011A" w:rsidRPr="00E466B1" w:rsidRDefault="00E1011A" w:rsidP="00E1011A">
            <w:pPr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Region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2B9C048" w14:textId="403CC2BE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74.48(39.61 to 128.39)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6E4553E" w14:textId="781F37CD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80.64(43.96 to 136.11)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B89A2E6" w14:textId="2BE39A88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84.4(47.67 to 140.35)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9DD2BCD" w14:textId="0E1A882C" w:rsidR="00E1011A" w:rsidRPr="00E466B1" w:rsidRDefault="00E1011A" w:rsidP="00E1011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86.01(48.59 to 142.06)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4E60F41" w14:textId="54771934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0.67 (0.62 to 0.73)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8E42684" w14:textId="117B58BC" w:rsidR="00E1011A" w:rsidRPr="00E466B1" w:rsidRDefault="00E1011A" w:rsidP="00E1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0.5 (0.44 to 0.56)</w:t>
            </w:r>
          </w:p>
        </w:tc>
      </w:tr>
      <w:tr w:rsidR="00E466B1" w:rsidRPr="00E466B1" w14:paraId="02847C76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1F24DE13" w14:textId="77777777" w:rsidR="00E466B1" w:rsidRPr="00E466B1" w:rsidRDefault="00E466B1" w:rsidP="00E466B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bookmarkStart w:id="0" w:name="_Hlk150690116"/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Andean Latin America</w:t>
            </w:r>
            <w:bookmarkEnd w:id="0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4682EDB" w14:textId="6D846D52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24.83(15.2 to 38.75)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BDA6AFE" w14:textId="215EAF03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24.47(15.03 to 35.98)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547472C" w14:textId="494D56C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28.97(16.58 to 43.64)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A8245F7" w14:textId="0794FD9D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1" w:name="_Hlk150690131"/>
            <w:r w:rsidRPr="00E466B1">
              <w:rPr>
                <w:rFonts w:ascii="Times New Roman" w:hAnsi="Times New Roman" w:cs="Times New Roman"/>
              </w:rPr>
              <w:t>30.21(16.07 to 45.87)</w:t>
            </w:r>
            <w:bookmarkEnd w:id="1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2C2EC8B" w14:textId="6304F650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0.55 (0.29 to 0.8)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AF98C33" w14:textId="190C52A7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0.82 (0.67 to 0.97)</w:t>
            </w:r>
          </w:p>
        </w:tc>
      </w:tr>
      <w:tr w:rsidR="00E466B1" w:rsidRPr="00E466B1" w14:paraId="3212EDAE" w14:textId="77777777" w:rsidTr="00DE4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2FA77F21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Australasia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47C4DAAC" w14:textId="487A1E4B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211.01(84.24 to 359.07)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6605E67A" w14:textId="10EC20C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159.48(83 to 249.4)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0B67C90A" w14:textId="13EB4F4B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134.92(78.12 to 193.44)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27983BA2" w14:textId="0D41AEE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128.05(77.25 to 179.45)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163475C5" w14:textId="1A4A9C3E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-2.23 (-2.36 to -2.1)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7596B7B7" w14:textId="066AA525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-1.77 (-1.93 to -1.61)</w:t>
            </w:r>
          </w:p>
        </w:tc>
      </w:tr>
      <w:tr w:rsidR="00E466B1" w:rsidRPr="00E466B1" w14:paraId="04589E50" w14:textId="77777777" w:rsidTr="00DE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1B34EBFA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lastRenderedPageBreak/>
              <w:t>Caribbean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584D9F66" w14:textId="79479AE4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81.11(36.61 to 143.39)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34E8F422" w14:textId="2EE81688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74.13(34.67 to 124.61)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67EA7B4A" w14:textId="4EAE607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74.21(36.15 to 122.54)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2988B5E7" w14:textId="5549BD99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79.28(37.66 to 132.75)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7CB72798" w14:textId="538FD2E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-0.45 (-0.59 to -0.32)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1976F9C4" w14:textId="093D3D44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-0.08 (-0.21 to 0.06)</w:t>
            </w:r>
          </w:p>
        </w:tc>
      </w:tr>
      <w:tr w:rsidR="00E466B1" w:rsidRPr="00E466B1" w14:paraId="5A945000" w14:textId="77777777" w:rsidTr="00DE4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56BE08D3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bookmarkStart w:id="2" w:name="_Hlk150690209"/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Central Asia</w:t>
            </w:r>
            <w:bookmarkEnd w:id="2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3657578" w14:textId="78B5DF7A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228.77(70.86 to 457.44)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6586F3B" w14:textId="788218AA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282.81(91.11 to 593.5)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9B02731" w14:textId="1A5C6872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298.18(112.56 to 594.43)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5DC46E9" w14:textId="353C410E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3" w:name="_Hlk150690218"/>
            <w:r w:rsidRPr="00E466B1">
              <w:rPr>
                <w:rFonts w:ascii="Times New Roman" w:hAnsi="Times New Roman" w:cs="Times New Roman"/>
              </w:rPr>
              <w:t>287.72(123.08 to 540.71)</w:t>
            </w:r>
            <w:bookmarkEnd w:id="3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E9936C1" w14:textId="75826ED0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0.97 (0.58 to 1.35)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6D66959" w14:textId="54C7537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0.47 (0.24 to 0.7)</w:t>
            </w:r>
          </w:p>
        </w:tc>
      </w:tr>
      <w:tr w:rsidR="00E466B1" w:rsidRPr="00E466B1" w14:paraId="6C73850B" w14:textId="77777777" w:rsidTr="00DE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06CDF395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Central Europe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6065DF8" w14:textId="09383303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200.37(78.62 to 386.41)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D4FA778" w14:textId="3D0D5DFF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178.1(75.11 to 333.77)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3D87F28" w14:textId="679B433E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196.99(97.69 to 329.15)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3931632" w14:textId="703AB8BB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192.38(102.09 to 305.62)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CC74EE3" w14:textId="29AEE88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-0.1 (-0.36 to 0.16)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52A2251" w14:textId="10BB194D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-0.01 (-0.14 to 0.12)</w:t>
            </w:r>
          </w:p>
        </w:tc>
      </w:tr>
      <w:tr w:rsidR="00E466B1" w:rsidRPr="00E466B1" w14:paraId="3DC696AA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26C3EE82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Central Latin America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5A1C047" w14:textId="2A48E5DE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89.58(47.94 to 137.69)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95A2F78" w14:textId="4301BA2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86.08(46.15 to 129.7)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3DBF9F7" w14:textId="360120BD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90.5(49.38 to 135.29)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9115DBB" w14:textId="4DE70C72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99.95(56.42 to 147.14)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A45C971" w14:textId="455096D6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-0.08 (-0.21 to 0.05)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24DCD37" w14:textId="76366461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0.32 (0.19 to 0.46)</w:t>
            </w:r>
          </w:p>
        </w:tc>
      </w:tr>
      <w:tr w:rsidR="00E466B1" w:rsidRPr="00E466B1" w14:paraId="056D0CBB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068ECFE1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Central Sub-Saharan Africa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FC98F3B" w14:textId="2F48A69F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87.68(42.25 to 157.11)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2888F84" w14:textId="7AEC3BA0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81.24(39.28 to 145.17)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BF6A6ED" w14:textId="2D61E73D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78.34(37.53 to 139.66)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06EA21F" w14:textId="1B3011B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79.21(38.46 to 138.87)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F4E58CE" w14:textId="7920F8E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-0.61 (-0.67 to -0.54)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BB18CA3" w14:textId="1D761B63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-0.37 (-0.44 to -0.29)</w:t>
            </w:r>
          </w:p>
        </w:tc>
      </w:tr>
      <w:tr w:rsidR="00E466B1" w:rsidRPr="00E466B1" w14:paraId="72FC20A0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438E084C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bookmarkStart w:id="4" w:name="_Hlk150690405"/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East Asia</w:t>
            </w:r>
            <w:bookmarkEnd w:id="4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AE12573" w14:textId="05BD149F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21.89(12.35 to 36.04)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A667E72" w14:textId="63D5F6E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22.98(12.45 to 38.25)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90DDB2A" w14:textId="76C5E69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35.03(16.54 to 63.36)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39DCED9" w14:textId="6796B8AE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38.87(18.3 to 71.18)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8152695" w14:textId="798F8D68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2.61 (2.13 to 3.09)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E761478" w14:textId="0799A520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5" w:name="_Hlk150690418"/>
            <w:r w:rsidRPr="00E466B1">
              <w:rPr>
                <w:rFonts w:ascii="Times New Roman" w:hAnsi="Times New Roman" w:cs="Times New Roman"/>
                <w:szCs w:val="21"/>
              </w:rPr>
              <w:t>2.65 (2.39 to 2.91)</w:t>
            </w:r>
            <w:bookmarkEnd w:id="5"/>
          </w:p>
        </w:tc>
      </w:tr>
      <w:tr w:rsidR="00E466B1" w:rsidRPr="00E466B1" w14:paraId="58EF6856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4D7C7C95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bookmarkStart w:id="6" w:name="_Hlk150690102"/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Eastern Europe</w:t>
            </w:r>
            <w:bookmarkEnd w:id="6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BC42DAE" w14:textId="688C759B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483.73(113.59 to 841.16)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01945F9" w14:textId="53F16B08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608.63(136.33 to 1057.88)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49E5287" w14:textId="213F3FD0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451.41(124.06 to 764.55)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8D0BC45" w14:textId="248C1E81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307.4(97.14 to 541.15)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AD35186" w14:textId="506DAEAF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-0.6 (-1.47 to 0.27)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7EB4CD5" w14:textId="0B743EB7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-2.35 (-2.97 to -1.73)</w:t>
            </w:r>
          </w:p>
        </w:tc>
      </w:tr>
      <w:tr w:rsidR="00E466B1" w:rsidRPr="00E466B1" w14:paraId="7C3046CD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738286BA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Eastern Sub-Saharan Africa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1778574" w14:textId="6971FA9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68.42(33.48 to 113.5)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147A4F6" w14:textId="01918DCB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67.38(33.97 to 111.73)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490218D" w14:textId="4BEA584B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66.64(33.92 to 111.07)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863C9D5" w14:textId="42B0B0BE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66.62(34.43 to 110.87)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742BF48" w14:textId="35BFE42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-0.13 (-0.16 to -0.1)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6B0EAE5" w14:textId="7F721949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-0.11 (-0.13 to -0.09)</w:t>
            </w:r>
          </w:p>
        </w:tc>
      </w:tr>
      <w:tr w:rsidR="00E466B1" w:rsidRPr="00E466B1" w14:paraId="51170DFC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6319312A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High-income Asia Pacific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87FFA7D" w14:textId="1B4B16C8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107.72(61.23 to 165.77)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0B96C45" w14:textId="40FCF3F0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108.81(68.9 to 152.12)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47B6B42" w14:textId="4D53E39A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96.61(62.77 to 133.51)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DCE94CD" w14:textId="3C3D307B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82.14(54.1 to 114.24)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92F3D6F" w14:textId="4FAFD96F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-0.46 (-0.63 to -0.29)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454B7AB" w14:textId="7299D1FE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-1.01 (-1.19 to -0.84)</w:t>
            </w:r>
          </w:p>
        </w:tc>
      </w:tr>
      <w:tr w:rsidR="00E466B1" w:rsidRPr="00E466B1" w14:paraId="514A7684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7C8067D7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bookmarkStart w:id="7" w:name="_Hlk150690264"/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High-income North America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51CA780" w14:textId="1A2F3F47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321.9(137.84 to 492.31)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752D835" w14:textId="4AEED774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300.31(142.15 to 441.27)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03D22A6" w14:textId="4FA93B61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269.33(153.39 to 384.75)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4671964" w14:textId="61A8E9D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8" w:name="_Hlk150690274"/>
            <w:r w:rsidRPr="00E466B1">
              <w:rPr>
                <w:rFonts w:ascii="Times New Roman" w:hAnsi="Times New Roman" w:cs="Times New Roman"/>
              </w:rPr>
              <w:t>261.73(150.78 to 367.58)</w:t>
            </w:r>
            <w:bookmarkEnd w:id="8"/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245D810" w14:textId="22F88D18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-0.75 (-0.84 to -0.67)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C7EA345" w14:textId="066C4DB2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-0.81 (-0.87 to -0.75)</w:t>
            </w:r>
          </w:p>
        </w:tc>
      </w:tr>
      <w:bookmarkEnd w:id="7"/>
      <w:tr w:rsidR="00E466B1" w:rsidRPr="00E466B1" w14:paraId="3212017F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30B187E3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North Africa and Middle East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5B6D274" w14:textId="5FCE846B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68.43(28.57 to 143.23)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1B46E73" w14:textId="02DEA7A1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62.72(26.28 to 129.27)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1FE2877" w14:textId="0798CA21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66.41(27.98 to 131.37)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E632C47" w14:textId="03A0A42D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68.39(29.15 to 132.85)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DA691D6" w14:textId="03B87EA4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-0.27 (-0.42 to -0.11)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A3583E7" w14:textId="41BE400E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0.09 (-0.03 to 0.22)</w:t>
            </w:r>
          </w:p>
        </w:tc>
      </w:tr>
      <w:tr w:rsidR="00E466B1" w:rsidRPr="00E466B1" w14:paraId="6F10DA37" w14:textId="77777777" w:rsidTr="00DE4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77D03109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Oceania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8F6268D" w14:textId="6FCDDC1B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83.52(40.66 to 136.46)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631A17F" w14:textId="2B4B2C89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102.21(48.35 to 162.36)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90D80C5" w14:textId="0940B05B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110.51(53.05 to 174.99)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611D42B" w14:textId="2114EE6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112.65(52.03 to 180.76)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5053DDA" w14:textId="23F33907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1.45 (1.31 to 1.58)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522B1EF" w14:textId="7A52E977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0.99 (0.84 to 1.13)</w:t>
            </w:r>
          </w:p>
        </w:tc>
      </w:tr>
      <w:tr w:rsidR="00E466B1" w:rsidRPr="00E466B1" w14:paraId="25ABF299" w14:textId="77777777" w:rsidTr="00B06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74905940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South Asia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60BCF465" w14:textId="608757A9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63.64(41.06 to 96.12)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4BF8A22E" w14:textId="37C52E0A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72.33(46.47 to 107.46)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1C72903C" w14:textId="30761B5C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82.11(54.64 to 119.17)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7214193F" w14:textId="0E6A8C3F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85.73(58.06 to 124.36)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081982B9" w14:textId="4C036DB4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1.28 (1.19 to 1.38)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55B897FF" w14:textId="214EE32C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1.15 (1.08 to 1.22)</w:t>
            </w:r>
          </w:p>
        </w:tc>
      </w:tr>
      <w:tr w:rsidR="00E466B1" w:rsidRPr="00E466B1" w14:paraId="5BBC12F1" w14:textId="77777777" w:rsidTr="00B06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50868CB5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lastRenderedPageBreak/>
              <w:t>Southeast Asia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54D0CD46" w14:textId="46255DA9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24.75(17.43 to 34.35)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695FE83E" w14:textId="3FE7DFE7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27.61(18.54 to 40.28)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1F5D8F5B" w14:textId="48EE650D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33.12(20.85 to 50.94)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6351610F" w14:textId="29F4E7C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38.43(23.22 to 58.68)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440575D5" w14:textId="6B1D0433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1.53 (1.42 to 1.63)</w:t>
            </w:r>
          </w:p>
        </w:tc>
        <w:tc>
          <w:tcPr>
            <w:tcW w:w="1994" w:type="dxa"/>
            <w:tcBorders>
              <w:top w:val="single" w:sz="18" w:space="0" w:color="ED7D31" w:themeColor="accent2"/>
              <w:bottom w:val="nil"/>
            </w:tcBorders>
          </w:tcPr>
          <w:p w14:paraId="2086501C" w14:textId="14DA6037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1.73 (1.65 to 1.81)</w:t>
            </w:r>
          </w:p>
        </w:tc>
      </w:tr>
      <w:tr w:rsidR="00E466B1" w:rsidRPr="00E466B1" w14:paraId="6D1D4CC5" w14:textId="77777777" w:rsidTr="00B06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592FA069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Southern Latin America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329B576" w14:textId="2E760F69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140.34(70.73 to 245.9)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2233720" w14:textId="47135B82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130.85(76.31 to 205.04)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C06967F" w14:textId="3F359E3F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135.25(83.67 to 197.91)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3C8781B" w14:textId="00608B7C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148.69(94.42 to 210.74)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CB461DA" w14:textId="7F58A22B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-0.21 (-0.32 to -0.1)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F1AAAF4" w14:textId="48F1835A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0.22 (0.08 to 0.36)</w:t>
            </w:r>
          </w:p>
        </w:tc>
      </w:tr>
      <w:tr w:rsidR="00E466B1" w:rsidRPr="00E466B1" w14:paraId="1C4982CC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181724C5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Southern Sub-Saharan Africa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AEA4F24" w14:textId="052A37B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63.61(30.36 to 103.3)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9EAED0D" w14:textId="3EFEBB29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90.16(44.54 to 142.44)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494BE72" w14:textId="580E377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107.24(55.92 to 160.63)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95B1A7E" w14:textId="625AC8B0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96.68(51.52 to 142.01)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7143002" w14:textId="1E255020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2.86 (2.55 to 3.17)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C82AD91" w14:textId="2E23830E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1.88 (1.54 to 2.22)</w:t>
            </w:r>
          </w:p>
        </w:tc>
      </w:tr>
      <w:tr w:rsidR="00E466B1" w:rsidRPr="00E466B1" w14:paraId="1F1FC6CF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4B2B8DE5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Tropical Latin America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60EF7676" w14:textId="4BEC25F3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74.64(34.59 to 138.27)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DA078C3" w14:textId="4C3AE95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66.35(31.25 to 116.78)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7045C041" w14:textId="4D5E1C5B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76.05(39.22 to 126.66)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EED81A3" w14:textId="42C2FE06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79.16(42.82 to 126.23)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8932627" w14:textId="6FFDD17C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0.05 (-0.25 to 0.35)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02B7B24" w14:textId="51940F46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0.56 (0.36 to 0.76)</w:t>
            </w:r>
          </w:p>
        </w:tc>
      </w:tr>
      <w:tr w:rsidR="00E466B1" w:rsidRPr="00E466B1" w14:paraId="3FB43868" w14:textId="77777777" w:rsidTr="0064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nil"/>
            </w:tcBorders>
          </w:tcPr>
          <w:p w14:paraId="211AA58E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Western Europe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64DFCD9" w14:textId="59BADDBA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255.74(112.07 to 391.67)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8E9D684" w14:textId="7062437A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208.5(107.47 to 304.11)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DD75CF2" w14:textId="0233354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170.02(101.81 to 238.14)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5A158555" w14:textId="5BC44425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159.66(99.93 to 220.48)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6A8EA6B" w14:textId="66E77B8C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-1.99 (-2.03 to -1.96)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935CADD" w14:textId="7A43E2E7" w:rsidR="00E466B1" w:rsidRPr="00E466B1" w:rsidRDefault="00E466B1" w:rsidP="00E4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9" w:name="_Hlk150690550"/>
            <w:bookmarkStart w:id="10" w:name="_GoBack"/>
            <w:r w:rsidRPr="00E466B1">
              <w:rPr>
                <w:rFonts w:ascii="Times New Roman" w:hAnsi="Times New Roman" w:cs="Times New Roman"/>
                <w:szCs w:val="21"/>
              </w:rPr>
              <w:t>-1.81 (-1.91 to -1.72)</w:t>
            </w:r>
            <w:bookmarkEnd w:id="9"/>
            <w:bookmarkEnd w:id="10"/>
          </w:p>
        </w:tc>
      </w:tr>
      <w:tr w:rsidR="00E466B1" w:rsidRPr="00E466B1" w14:paraId="5B5564D6" w14:textId="77777777" w:rsidTr="0064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7FE4C97D" w14:textId="77777777" w:rsidR="00E466B1" w:rsidRPr="00E466B1" w:rsidRDefault="00E466B1" w:rsidP="00E466B1">
            <w:pPr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</w:pPr>
            <w:r w:rsidRPr="00E466B1">
              <w:rPr>
                <w:rFonts w:ascii="Times New Roman" w:eastAsia="等线" w:hAnsi="Times New Roman" w:cs="Times New Roman"/>
                <w:b w:val="0"/>
                <w:color w:val="454545"/>
                <w:szCs w:val="21"/>
              </w:rPr>
              <w:t>Western Sub-Saharan Africa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0712CD34" w14:textId="50BCC220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92.72(47.64 to 169.15)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7757030D" w14:textId="5DE2FF69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108.36(58.38 to 187.88)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601D0EA5" w14:textId="1853E3E5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116.79(64.87 to 192.95)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55C7B2C5" w14:textId="5A3CFA66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</w:rPr>
              <w:t>116.36(66.57 to 188.95)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69221FCF" w14:textId="77748247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1.27 (1.13 to 1.4)</w:t>
            </w:r>
          </w:p>
        </w:tc>
        <w:tc>
          <w:tcPr>
            <w:tcW w:w="1994" w:type="dxa"/>
            <w:tcBorders>
              <w:top w:val="nil"/>
              <w:bottom w:val="single" w:sz="18" w:space="0" w:color="ED7D31" w:themeColor="accent2"/>
            </w:tcBorders>
          </w:tcPr>
          <w:p w14:paraId="5D2B25C8" w14:textId="4768957A" w:rsidR="00E466B1" w:rsidRPr="00E466B1" w:rsidRDefault="00E466B1" w:rsidP="00E4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66B1">
              <w:rPr>
                <w:rFonts w:ascii="Times New Roman" w:hAnsi="Times New Roman" w:cs="Times New Roman"/>
                <w:szCs w:val="21"/>
              </w:rPr>
              <w:t>0.85 (0.71 to 0.98)</w:t>
            </w:r>
          </w:p>
        </w:tc>
      </w:tr>
    </w:tbl>
    <w:p w14:paraId="760A5741" w14:textId="77777777" w:rsidR="00B44761" w:rsidRPr="00E466B1" w:rsidRDefault="00643F53" w:rsidP="00FA191A">
      <w:pPr>
        <w:rPr>
          <w:rFonts w:ascii="Times New Roman" w:hAnsi="Times New Roman" w:cs="Times New Roman"/>
          <w:szCs w:val="21"/>
        </w:rPr>
      </w:pPr>
      <w:r w:rsidRPr="00E466B1">
        <w:rPr>
          <w:rStyle w:val="fontstyle01"/>
          <w:sz w:val="21"/>
          <w:szCs w:val="21"/>
        </w:rPr>
        <w:t>ASDR</w:t>
      </w:r>
      <w:r w:rsidR="00FA191A" w:rsidRPr="00E466B1">
        <w:rPr>
          <w:rStyle w:val="fontstyle01"/>
          <w:sz w:val="21"/>
          <w:szCs w:val="21"/>
        </w:rPr>
        <w:t xml:space="preserve">, </w:t>
      </w:r>
      <w:r w:rsidRPr="00E466B1">
        <w:rPr>
          <w:rStyle w:val="fontstyle01"/>
          <w:sz w:val="21"/>
          <w:szCs w:val="21"/>
        </w:rPr>
        <w:t>age-standard DALYs rate; DALYs</w:t>
      </w:r>
      <w:r w:rsidR="00DE459A" w:rsidRPr="00E466B1">
        <w:rPr>
          <w:rStyle w:val="fontstyle01"/>
          <w:sz w:val="21"/>
          <w:szCs w:val="21"/>
        </w:rPr>
        <w:t>: disability-adjusted life years</w:t>
      </w:r>
      <w:r w:rsidR="00FA191A" w:rsidRPr="00E466B1">
        <w:rPr>
          <w:rStyle w:val="fontstyle01"/>
          <w:sz w:val="21"/>
          <w:szCs w:val="21"/>
        </w:rPr>
        <w:t xml:space="preserve">; </w:t>
      </w:r>
      <w:r w:rsidR="00DE459A" w:rsidRPr="00E466B1">
        <w:rPr>
          <w:rStyle w:val="fontstyle01"/>
          <w:sz w:val="21"/>
          <w:szCs w:val="21"/>
        </w:rPr>
        <w:t>EAPC:</w:t>
      </w:r>
      <w:r w:rsidR="00097B58" w:rsidRPr="00E466B1">
        <w:rPr>
          <w:rStyle w:val="fontstyle01"/>
          <w:sz w:val="21"/>
          <w:szCs w:val="21"/>
        </w:rPr>
        <w:t xml:space="preserve"> </w:t>
      </w:r>
      <w:r w:rsidR="00FA191A" w:rsidRPr="00E466B1">
        <w:rPr>
          <w:rStyle w:val="fontstyle01"/>
          <w:sz w:val="21"/>
          <w:szCs w:val="21"/>
        </w:rPr>
        <w:t>estimated annual percentage change.</w:t>
      </w:r>
    </w:p>
    <w:sectPr w:rsidR="00B44761" w:rsidRPr="00E466B1" w:rsidSect="00837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E77B" w14:textId="77777777" w:rsidR="00EF08D3" w:rsidRDefault="00EF08D3" w:rsidP="00E466B1">
      <w:r>
        <w:separator/>
      </w:r>
    </w:p>
  </w:endnote>
  <w:endnote w:type="continuationSeparator" w:id="0">
    <w:p w14:paraId="3359F30B" w14:textId="77777777" w:rsidR="00EF08D3" w:rsidRDefault="00EF08D3" w:rsidP="00E4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5F5D" w14:textId="77777777" w:rsidR="00EF08D3" w:rsidRDefault="00EF08D3" w:rsidP="00E466B1">
      <w:r>
        <w:separator/>
      </w:r>
    </w:p>
  </w:footnote>
  <w:footnote w:type="continuationSeparator" w:id="0">
    <w:p w14:paraId="08E8F29B" w14:textId="77777777" w:rsidR="00EF08D3" w:rsidRDefault="00EF08D3" w:rsidP="00E46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ED"/>
    <w:rsid w:val="00065B66"/>
    <w:rsid w:val="00097B58"/>
    <w:rsid w:val="00186254"/>
    <w:rsid w:val="00315D5A"/>
    <w:rsid w:val="0040685F"/>
    <w:rsid w:val="005E32DE"/>
    <w:rsid w:val="00643F53"/>
    <w:rsid w:val="006D4E63"/>
    <w:rsid w:val="006F4165"/>
    <w:rsid w:val="00790840"/>
    <w:rsid w:val="007A1D82"/>
    <w:rsid w:val="00835CA4"/>
    <w:rsid w:val="00837EED"/>
    <w:rsid w:val="008D2116"/>
    <w:rsid w:val="009B6281"/>
    <w:rsid w:val="00B069A4"/>
    <w:rsid w:val="00B44761"/>
    <w:rsid w:val="00CB4DEA"/>
    <w:rsid w:val="00CD6591"/>
    <w:rsid w:val="00D73443"/>
    <w:rsid w:val="00DE459A"/>
    <w:rsid w:val="00E1011A"/>
    <w:rsid w:val="00E466B1"/>
    <w:rsid w:val="00E77BC0"/>
    <w:rsid w:val="00EA4B9F"/>
    <w:rsid w:val="00EF08D3"/>
    <w:rsid w:val="00FA191A"/>
    <w:rsid w:val="00FC448D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2F77"/>
  <w15:chartTrackingRefBased/>
  <w15:docId w15:val="{FE87C168-58A7-4FA4-90D9-0807274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862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8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862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a0"/>
    <w:rsid w:val="00FA19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46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66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6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6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TYQ</dc:creator>
  <cp:keywords/>
  <dc:description/>
  <cp:lastModifiedBy>TYQ</cp:lastModifiedBy>
  <cp:revision>14</cp:revision>
  <dcterms:created xsi:type="dcterms:W3CDTF">2023-03-13T09:13:00Z</dcterms:created>
  <dcterms:modified xsi:type="dcterms:W3CDTF">2023-11-12T06:22:00Z</dcterms:modified>
</cp:coreProperties>
</file>