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F6895" w14:textId="77777777" w:rsidR="0047217F" w:rsidRPr="004E5941" w:rsidRDefault="0047217F" w:rsidP="0047217F">
      <w:pPr>
        <w:spacing w:after="0" w:line="360" w:lineRule="auto"/>
        <w:jc w:val="both"/>
        <w:rPr>
          <w:rFonts w:cstheme="minorHAnsi"/>
          <w:b/>
          <w:sz w:val="24"/>
          <w:szCs w:val="24"/>
          <w:lang w:val="en-GB"/>
        </w:rPr>
      </w:pPr>
      <w:r w:rsidRPr="004E5941">
        <w:rPr>
          <w:rFonts w:cstheme="minorHAnsi"/>
          <w:b/>
          <w:sz w:val="24"/>
          <w:szCs w:val="24"/>
          <w:lang w:val="en-GB"/>
        </w:rPr>
        <w:t>Supplementary materials</w:t>
      </w:r>
    </w:p>
    <w:p w14:paraId="054BDEE5" w14:textId="77777777" w:rsidR="0047217F" w:rsidRDefault="0047217F" w:rsidP="0047217F">
      <w:pPr>
        <w:spacing w:after="0" w:line="360" w:lineRule="auto"/>
        <w:jc w:val="both"/>
        <w:rPr>
          <w:rFonts w:cstheme="minorHAnsi"/>
          <w:sz w:val="24"/>
          <w:szCs w:val="24"/>
          <w:lang w:val="en-GB"/>
        </w:rPr>
      </w:pPr>
    </w:p>
    <w:p w14:paraId="4AB2A499" w14:textId="77777777" w:rsidR="0047217F" w:rsidRDefault="0047217F" w:rsidP="0047217F">
      <w:pPr>
        <w:spacing w:after="0" w:line="360" w:lineRule="auto"/>
        <w:jc w:val="both"/>
        <w:rPr>
          <w:rFonts w:cstheme="minorHAnsi"/>
          <w:sz w:val="24"/>
          <w:szCs w:val="24"/>
          <w:lang w:val="en-GB"/>
        </w:rPr>
      </w:pPr>
    </w:p>
    <w:p w14:paraId="42615E45" w14:textId="77777777" w:rsidR="0047217F" w:rsidRDefault="0047217F" w:rsidP="0047217F">
      <w:pPr>
        <w:spacing w:after="0" w:line="360" w:lineRule="auto"/>
        <w:jc w:val="both"/>
        <w:rPr>
          <w:rFonts w:cstheme="minorHAnsi"/>
          <w:sz w:val="24"/>
          <w:szCs w:val="24"/>
          <w:lang w:val="en-GB"/>
        </w:rPr>
      </w:pPr>
    </w:p>
    <w:p w14:paraId="2C6A4AFE" w14:textId="77777777" w:rsidR="0047217F" w:rsidRDefault="0047217F" w:rsidP="0047217F">
      <w:pPr>
        <w:spacing w:after="0" w:line="360" w:lineRule="auto"/>
        <w:jc w:val="both"/>
        <w:rPr>
          <w:rFonts w:cstheme="minorHAnsi"/>
          <w:sz w:val="24"/>
          <w:szCs w:val="24"/>
          <w:lang w:val="en-GB"/>
        </w:rPr>
      </w:pPr>
      <w:r>
        <w:rPr>
          <w:noProof/>
        </w:rPr>
        <w:drawing>
          <wp:inline distT="0" distB="0" distL="0" distR="0" wp14:anchorId="23D5BB7B" wp14:editId="59861F65">
            <wp:extent cx="5760720" cy="3452495"/>
            <wp:effectExtent l="0" t="0" r="0"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8"/>
                    <a:stretch>
                      <a:fillRect/>
                    </a:stretch>
                  </pic:blipFill>
                  <pic:spPr>
                    <a:xfrm>
                      <a:off x="0" y="0"/>
                      <a:ext cx="5760720" cy="3452495"/>
                    </a:xfrm>
                    <a:prstGeom prst="rect">
                      <a:avLst/>
                    </a:prstGeom>
                  </pic:spPr>
                </pic:pic>
              </a:graphicData>
            </a:graphic>
          </wp:inline>
        </w:drawing>
      </w:r>
    </w:p>
    <w:p w14:paraId="04CBC885" w14:textId="77777777" w:rsidR="0047217F" w:rsidRDefault="0047217F" w:rsidP="0047217F">
      <w:pPr>
        <w:spacing w:after="0" w:line="360" w:lineRule="auto"/>
        <w:jc w:val="both"/>
        <w:rPr>
          <w:rFonts w:cstheme="minorHAnsi"/>
          <w:b/>
          <w:sz w:val="24"/>
          <w:szCs w:val="24"/>
          <w:lang w:val="en-GB"/>
        </w:rPr>
      </w:pPr>
    </w:p>
    <w:p w14:paraId="18D84C6B" w14:textId="6B7E43CE" w:rsidR="0047217F" w:rsidRDefault="0047217F" w:rsidP="0047217F">
      <w:pPr>
        <w:spacing w:after="0" w:line="360" w:lineRule="auto"/>
        <w:jc w:val="both"/>
        <w:rPr>
          <w:rFonts w:cstheme="minorHAnsi"/>
          <w:sz w:val="24"/>
          <w:szCs w:val="24"/>
          <w:lang w:val="en-GB"/>
        </w:rPr>
      </w:pPr>
      <w:r w:rsidRPr="00961C0A">
        <w:rPr>
          <w:rFonts w:cstheme="minorHAnsi"/>
          <w:b/>
          <w:sz w:val="24"/>
          <w:szCs w:val="24"/>
          <w:lang w:val="en-GB"/>
        </w:rPr>
        <w:t>Fig. Sup. A</w:t>
      </w:r>
      <w:r>
        <w:rPr>
          <w:rFonts w:cstheme="minorHAnsi"/>
          <w:b/>
          <w:sz w:val="24"/>
          <w:szCs w:val="24"/>
          <w:lang w:val="en-GB"/>
        </w:rPr>
        <w:t xml:space="preserve">: </w:t>
      </w:r>
      <w:r w:rsidRPr="008C008A">
        <w:rPr>
          <w:rFonts w:cstheme="minorHAnsi"/>
          <w:sz w:val="24"/>
          <w:szCs w:val="24"/>
          <w:lang w:val="en-GB"/>
        </w:rPr>
        <w:t>Diagrammatic representation of the</w:t>
      </w:r>
      <w:r w:rsidR="00692079">
        <w:rPr>
          <w:rFonts w:cstheme="minorHAnsi"/>
          <w:sz w:val="24"/>
          <w:szCs w:val="24"/>
          <w:lang w:val="en-GB"/>
        </w:rPr>
        <w:t xml:space="preserve"> Virtual Grassland (VGL) model, associating </w:t>
      </w:r>
      <w:r w:rsidR="005F3B70">
        <w:rPr>
          <w:rFonts w:cstheme="minorHAnsi"/>
          <w:sz w:val="24"/>
          <w:szCs w:val="24"/>
          <w:lang w:val="en-GB"/>
        </w:rPr>
        <w:t>a</w:t>
      </w:r>
      <w:r>
        <w:rPr>
          <w:rFonts w:cstheme="minorHAnsi"/>
          <w:sz w:val="24"/>
          <w:szCs w:val="24"/>
          <w:lang w:val="en-GB"/>
        </w:rPr>
        <w:t xml:space="preserve"> </w:t>
      </w:r>
      <w:r w:rsidRPr="008C008A">
        <w:rPr>
          <w:rFonts w:cstheme="minorHAnsi"/>
          <w:sz w:val="24"/>
          <w:szCs w:val="24"/>
          <w:lang w:val="en-GB"/>
        </w:rPr>
        <w:t>plant model (</w:t>
      </w:r>
      <w:r w:rsidR="00491996">
        <w:rPr>
          <w:rFonts w:cstheme="minorHAnsi"/>
          <w:sz w:val="24"/>
          <w:szCs w:val="24"/>
          <w:lang w:val="en-GB"/>
        </w:rPr>
        <w:t xml:space="preserve">L-egume, </w:t>
      </w:r>
      <w:r w:rsidRPr="008C008A">
        <w:rPr>
          <w:rFonts w:cstheme="minorHAnsi"/>
          <w:sz w:val="24"/>
          <w:szCs w:val="24"/>
          <w:lang w:val="en-GB"/>
        </w:rPr>
        <w:t xml:space="preserve">blue boxes) </w:t>
      </w:r>
      <w:r w:rsidR="00692079">
        <w:rPr>
          <w:rFonts w:cstheme="minorHAnsi"/>
          <w:sz w:val="24"/>
          <w:szCs w:val="24"/>
          <w:lang w:val="en-GB"/>
        </w:rPr>
        <w:t>with</w:t>
      </w:r>
      <w:r w:rsidR="00692079" w:rsidRPr="008C008A">
        <w:rPr>
          <w:rFonts w:cstheme="minorHAnsi"/>
          <w:sz w:val="24"/>
          <w:szCs w:val="24"/>
          <w:lang w:val="en-GB"/>
        </w:rPr>
        <w:t xml:space="preserve"> </w:t>
      </w:r>
      <w:r w:rsidRPr="008C008A">
        <w:rPr>
          <w:rFonts w:cstheme="minorHAnsi"/>
          <w:sz w:val="24"/>
          <w:szCs w:val="24"/>
          <w:lang w:val="en-GB"/>
        </w:rPr>
        <w:t xml:space="preserve">environmental models of radiative transfer (yellow box) and soil functioning (brown box). Variables in green and brown represent the main exchange variables between sub-models. The major outputs of the </w:t>
      </w:r>
      <w:r w:rsidR="00491996">
        <w:rPr>
          <w:rFonts w:cstheme="minorHAnsi"/>
          <w:sz w:val="24"/>
          <w:szCs w:val="24"/>
          <w:lang w:val="en-GB"/>
        </w:rPr>
        <w:t xml:space="preserve">VGL </w:t>
      </w:r>
      <w:r w:rsidRPr="008C008A">
        <w:rPr>
          <w:rFonts w:cstheme="minorHAnsi"/>
          <w:sz w:val="24"/>
          <w:szCs w:val="24"/>
          <w:lang w:val="en-GB"/>
        </w:rPr>
        <w:t>model are indicated in the grey box</w:t>
      </w:r>
      <w:r>
        <w:rPr>
          <w:rFonts w:cstheme="minorHAnsi"/>
          <w:sz w:val="24"/>
          <w:szCs w:val="24"/>
          <w:lang w:val="en-GB"/>
        </w:rPr>
        <w:t>es on the right</w:t>
      </w:r>
      <w:r w:rsidRPr="008C008A">
        <w:rPr>
          <w:rFonts w:cstheme="minorHAnsi"/>
          <w:sz w:val="24"/>
          <w:szCs w:val="24"/>
          <w:lang w:val="en-GB"/>
        </w:rPr>
        <w:t>.</w:t>
      </w:r>
      <w:r>
        <w:rPr>
          <w:rFonts w:cstheme="minorHAnsi"/>
          <w:sz w:val="24"/>
          <w:szCs w:val="24"/>
          <w:lang w:val="en-GB"/>
        </w:rPr>
        <w:t xml:space="preserve"> New features were introduced for describing within-species plant parameter variation (CV and Mc as new inputs).</w:t>
      </w:r>
    </w:p>
    <w:p w14:paraId="3CF85DE4" w14:textId="77777777" w:rsidR="0047217F" w:rsidRDefault="0047217F" w:rsidP="0047217F">
      <w:pPr>
        <w:spacing w:after="0" w:line="360" w:lineRule="auto"/>
        <w:jc w:val="both"/>
        <w:rPr>
          <w:rFonts w:cstheme="minorHAnsi"/>
          <w:sz w:val="24"/>
          <w:szCs w:val="24"/>
          <w:lang w:val="en-GB"/>
        </w:rPr>
      </w:pPr>
    </w:p>
    <w:p w14:paraId="1F36D670" w14:textId="77777777" w:rsidR="0047217F" w:rsidRDefault="0047217F" w:rsidP="0047217F">
      <w:pPr>
        <w:spacing w:after="0" w:line="360" w:lineRule="auto"/>
        <w:jc w:val="both"/>
        <w:rPr>
          <w:rFonts w:cstheme="minorHAnsi"/>
          <w:sz w:val="24"/>
          <w:szCs w:val="24"/>
          <w:lang w:val="en-GB"/>
        </w:rPr>
      </w:pPr>
    </w:p>
    <w:p w14:paraId="15CD3BAA" w14:textId="77777777" w:rsidR="0047217F" w:rsidRDefault="0047217F" w:rsidP="0047217F">
      <w:pPr>
        <w:rPr>
          <w:rFonts w:cstheme="minorHAnsi"/>
          <w:sz w:val="24"/>
          <w:szCs w:val="24"/>
          <w:lang w:val="en-GB"/>
        </w:rPr>
      </w:pPr>
      <w:r>
        <w:rPr>
          <w:rFonts w:cstheme="minorHAnsi"/>
          <w:sz w:val="24"/>
          <w:szCs w:val="24"/>
          <w:lang w:val="en-GB"/>
        </w:rPr>
        <w:br w:type="page"/>
      </w:r>
    </w:p>
    <w:p w14:paraId="7D76AC57" w14:textId="77777777" w:rsidR="0047217F" w:rsidRDefault="0047217F" w:rsidP="0047217F">
      <w:pPr>
        <w:spacing w:after="0" w:line="360" w:lineRule="auto"/>
        <w:jc w:val="both"/>
        <w:rPr>
          <w:rFonts w:cstheme="minorHAnsi"/>
          <w:sz w:val="24"/>
          <w:szCs w:val="24"/>
          <w:lang w:val="en-GB"/>
        </w:rPr>
      </w:pPr>
    </w:p>
    <w:p w14:paraId="4CBE7FAA" w14:textId="77777777" w:rsidR="0047217F" w:rsidRDefault="0047217F" w:rsidP="0047217F">
      <w:pPr>
        <w:spacing w:after="0" w:line="360" w:lineRule="auto"/>
        <w:jc w:val="both"/>
        <w:rPr>
          <w:rFonts w:cstheme="minorHAnsi"/>
          <w:sz w:val="24"/>
          <w:szCs w:val="24"/>
          <w:lang w:val="en-GB"/>
        </w:rPr>
      </w:pPr>
      <w:r>
        <w:rPr>
          <w:rFonts w:cstheme="minorHAnsi"/>
          <w:noProof/>
          <w:sz w:val="24"/>
          <w:szCs w:val="24"/>
          <w:lang w:val="en-GB"/>
        </w:rPr>
        <w:drawing>
          <wp:inline distT="0" distB="0" distL="0" distR="0" wp14:anchorId="096F4B00" wp14:editId="0D9CE24B">
            <wp:extent cx="5762625" cy="3114675"/>
            <wp:effectExtent l="0" t="0" r="9525"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114675"/>
                    </a:xfrm>
                    <a:prstGeom prst="rect">
                      <a:avLst/>
                    </a:prstGeom>
                    <a:noFill/>
                    <a:ln>
                      <a:noFill/>
                    </a:ln>
                  </pic:spPr>
                </pic:pic>
              </a:graphicData>
            </a:graphic>
          </wp:inline>
        </w:drawing>
      </w:r>
    </w:p>
    <w:p w14:paraId="4334728D" w14:textId="77777777" w:rsidR="0047217F" w:rsidRDefault="0047217F" w:rsidP="0047217F">
      <w:pPr>
        <w:spacing w:after="0" w:line="360" w:lineRule="auto"/>
        <w:jc w:val="both"/>
        <w:rPr>
          <w:rFonts w:cstheme="minorHAnsi"/>
          <w:sz w:val="24"/>
          <w:szCs w:val="24"/>
        </w:rPr>
      </w:pPr>
    </w:p>
    <w:p w14:paraId="4E1B643D" w14:textId="77777777" w:rsidR="0047217F" w:rsidRDefault="0047217F" w:rsidP="0047217F">
      <w:pPr>
        <w:spacing w:after="0" w:line="360" w:lineRule="auto"/>
        <w:jc w:val="both"/>
        <w:rPr>
          <w:rFonts w:cstheme="minorHAnsi"/>
          <w:sz w:val="24"/>
          <w:szCs w:val="24"/>
          <w:lang w:val="en-GB"/>
        </w:rPr>
      </w:pPr>
      <w:r w:rsidRPr="008A5C70">
        <w:rPr>
          <w:rFonts w:cstheme="minorHAnsi"/>
          <w:b/>
          <w:sz w:val="24"/>
          <w:szCs w:val="24"/>
          <w:lang w:val="en-GB"/>
        </w:rPr>
        <w:t xml:space="preserve">Fig. Sup. B: </w:t>
      </w:r>
      <w:r w:rsidRPr="00597A7B">
        <w:rPr>
          <w:rFonts w:cstheme="minorHAnsi"/>
          <w:sz w:val="24"/>
          <w:szCs w:val="24"/>
          <w:lang w:val="en-GB"/>
        </w:rPr>
        <w:t xml:space="preserve">Graphical user interface </w:t>
      </w:r>
      <w:r>
        <w:rPr>
          <w:rFonts w:cstheme="minorHAnsi"/>
          <w:sz w:val="24"/>
          <w:szCs w:val="24"/>
          <w:lang w:val="en-GB"/>
        </w:rPr>
        <w:t>of</w:t>
      </w:r>
      <w:r w:rsidRPr="00597A7B">
        <w:rPr>
          <w:rFonts w:cstheme="minorHAnsi"/>
          <w:sz w:val="24"/>
          <w:szCs w:val="24"/>
          <w:lang w:val="en-GB"/>
        </w:rPr>
        <w:t xml:space="preserve"> </w:t>
      </w:r>
      <w:r>
        <w:rPr>
          <w:rFonts w:cstheme="minorHAnsi"/>
          <w:sz w:val="24"/>
          <w:szCs w:val="24"/>
          <w:lang w:val="en-GB"/>
        </w:rPr>
        <w:t>the online interactive app built to explore model outputs in the different simulated scenarios. Panel A) for exploring plant p</w:t>
      </w:r>
      <w:r w:rsidRPr="008A5C70">
        <w:rPr>
          <w:rFonts w:cstheme="minorHAnsi"/>
          <w:sz w:val="24"/>
          <w:szCs w:val="24"/>
          <w:lang w:val="en-GB"/>
        </w:rPr>
        <w:t xml:space="preserve">arameter distributions; panel B) </w:t>
      </w:r>
      <w:r>
        <w:rPr>
          <w:rFonts w:cstheme="minorHAnsi"/>
          <w:sz w:val="24"/>
          <w:szCs w:val="24"/>
          <w:lang w:val="en-GB"/>
        </w:rPr>
        <w:t xml:space="preserve">for total annual yield and overyielding; panel C) for species proportion; panel D) for Gini coefficients in both species; panel E) for the </w:t>
      </w:r>
      <w:r w:rsidRPr="008A5C70">
        <w:rPr>
          <w:rFonts w:cstheme="minorHAnsi"/>
          <w:sz w:val="24"/>
          <w:szCs w:val="24"/>
          <w:lang w:val="en-GB"/>
        </w:rPr>
        <w:t>shifts in D5</w:t>
      </w:r>
      <w:r w:rsidRPr="008A5C70">
        <w:rPr>
          <w:rFonts w:cstheme="minorHAnsi"/>
          <w:sz w:val="24"/>
          <w:szCs w:val="24"/>
          <w:vertAlign w:val="subscript"/>
          <w:lang w:val="en-GB"/>
        </w:rPr>
        <w:t>param</w:t>
      </w:r>
      <w:r w:rsidRPr="008A5C70">
        <w:rPr>
          <w:rFonts w:cstheme="minorHAnsi"/>
          <w:sz w:val="24"/>
          <w:szCs w:val="24"/>
          <w:lang w:val="en-GB"/>
        </w:rPr>
        <w:t xml:space="preserve"> </w:t>
      </w:r>
      <w:r>
        <w:rPr>
          <w:rFonts w:cstheme="minorHAnsi"/>
          <w:sz w:val="24"/>
          <w:szCs w:val="24"/>
          <w:lang w:val="en-GB"/>
        </w:rPr>
        <w:t xml:space="preserve">in all parameters; panel F) for correlation coefficients </w:t>
      </w:r>
      <w:r w:rsidRPr="008A5C70">
        <w:rPr>
          <w:rFonts w:cstheme="minorHAnsi"/>
          <w:sz w:val="24"/>
          <w:szCs w:val="24"/>
          <w:lang w:val="en-GB"/>
        </w:rPr>
        <w:t xml:space="preserve">between </w:t>
      </w:r>
      <w:r>
        <w:rPr>
          <w:rFonts w:cstheme="minorHAnsi"/>
          <w:sz w:val="24"/>
          <w:szCs w:val="24"/>
          <w:lang w:val="en-GB"/>
        </w:rPr>
        <w:t xml:space="preserve">individual </w:t>
      </w:r>
      <w:r w:rsidRPr="008A5C70">
        <w:rPr>
          <w:rFonts w:cstheme="minorHAnsi"/>
          <w:sz w:val="24"/>
          <w:szCs w:val="24"/>
          <w:lang w:val="en-GB"/>
        </w:rPr>
        <w:t xml:space="preserve">plant biomass and the </w:t>
      </w:r>
      <w:r>
        <w:rPr>
          <w:rFonts w:cstheme="minorHAnsi"/>
          <w:sz w:val="24"/>
          <w:szCs w:val="24"/>
          <w:lang w:val="en-GB"/>
        </w:rPr>
        <w:t xml:space="preserve">various indices of plant performance and access to resources; panel G) for </w:t>
      </w:r>
      <w:r w:rsidRPr="00B17DE1">
        <w:rPr>
          <w:lang w:val="en-GB"/>
        </w:rPr>
        <w:t>Loreau &amp; Hector</w:t>
      </w:r>
      <w:r>
        <w:rPr>
          <w:lang w:val="en-GB"/>
        </w:rPr>
        <w:t xml:space="preserve">’s </w:t>
      </w:r>
      <w:r>
        <w:rPr>
          <w:rFonts w:cstheme="minorHAnsi"/>
          <w:sz w:val="24"/>
          <w:szCs w:val="24"/>
          <w:lang w:val="en-GB"/>
        </w:rPr>
        <w:t>complementarity and selection effects</w:t>
      </w:r>
      <w:r>
        <w:rPr>
          <w:lang w:val="en-GB"/>
        </w:rPr>
        <w:t>.</w:t>
      </w:r>
    </w:p>
    <w:p w14:paraId="0BE149E9" w14:textId="77777777" w:rsidR="0047217F" w:rsidRDefault="0047217F" w:rsidP="0047217F">
      <w:pPr>
        <w:spacing w:after="0" w:line="360" w:lineRule="auto"/>
        <w:jc w:val="both"/>
        <w:rPr>
          <w:rFonts w:cstheme="minorHAnsi"/>
          <w:sz w:val="24"/>
          <w:szCs w:val="24"/>
          <w:lang w:val="en-GB"/>
        </w:rPr>
      </w:pPr>
      <w:r>
        <w:rPr>
          <w:rFonts w:cstheme="minorHAnsi"/>
          <w:sz w:val="24"/>
          <w:szCs w:val="24"/>
          <w:lang w:val="en-GB"/>
        </w:rPr>
        <w:t xml:space="preserve">Web link: </w:t>
      </w:r>
      <w:hyperlink r:id="rId10" w:history="1">
        <w:r w:rsidRPr="008A5C70">
          <w:rPr>
            <w:rStyle w:val="Hyperlink"/>
            <w:lang w:val="en-GB"/>
          </w:rPr>
          <w:t>https://p3f-inrae.shinyapps.io/shiny_BLW_1/</w:t>
        </w:r>
      </w:hyperlink>
    </w:p>
    <w:p w14:paraId="5CDD29A3" w14:textId="77777777" w:rsidR="0047217F" w:rsidRDefault="0047217F" w:rsidP="0047217F">
      <w:pPr>
        <w:spacing w:after="0" w:line="360" w:lineRule="auto"/>
        <w:jc w:val="both"/>
        <w:rPr>
          <w:rFonts w:cstheme="minorHAnsi"/>
          <w:sz w:val="24"/>
          <w:szCs w:val="24"/>
          <w:lang w:val="en-GB"/>
        </w:rPr>
      </w:pPr>
      <w:r>
        <w:rPr>
          <w:rFonts w:cstheme="minorHAnsi"/>
          <w:sz w:val="24"/>
          <w:szCs w:val="24"/>
          <w:lang w:val="en-GB"/>
        </w:rPr>
        <w:t xml:space="preserve">Github repository: </w:t>
      </w:r>
      <w:hyperlink r:id="rId11" w:history="1">
        <w:r w:rsidRPr="001402AC">
          <w:rPr>
            <w:rStyle w:val="Hyperlink"/>
            <w:rFonts w:cstheme="minorHAnsi"/>
            <w:sz w:val="24"/>
            <w:szCs w:val="24"/>
            <w:lang w:val="en-GB"/>
          </w:rPr>
          <w:t>https://github.com/glouarn/ShinyApp-binder/tree/master/shiny-blw-article1</w:t>
        </w:r>
      </w:hyperlink>
    </w:p>
    <w:p w14:paraId="2B9342AF" w14:textId="77777777" w:rsidR="0047217F" w:rsidRDefault="0047217F" w:rsidP="0047217F">
      <w:pPr>
        <w:spacing w:after="0" w:line="360" w:lineRule="auto"/>
        <w:jc w:val="both"/>
        <w:rPr>
          <w:rFonts w:cstheme="minorHAnsi"/>
          <w:sz w:val="24"/>
          <w:szCs w:val="24"/>
          <w:lang w:val="en-GB"/>
        </w:rPr>
      </w:pPr>
    </w:p>
    <w:p w14:paraId="4B71FFB3" w14:textId="77777777" w:rsidR="0047217F" w:rsidRDefault="0047217F" w:rsidP="0047217F">
      <w:pPr>
        <w:rPr>
          <w:rFonts w:cstheme="minorHAnsi"/>
          <w:sz w:val="24"/>
          <w:szCs w:val="24"/>
          <w:lang w:val="en-GB"/>
        </w:rPr>
      </w:pPr>
      <w:r>
        <w:rPr>
          <w:rFonts w:cstheme="minorHAnsi"/>
          <w:sz w:val="24"/>
          <w:szCs w:val="24"/>
          <w:lang w:val="en-GB"/>
        </w:rPr>
        <w:br w:type="page"/>
      </w:r>
    </w:p>
    <w:p w14:paraId="6F6B64D8" w14:textId="77777777" w:rsidR="0047217F" w:rsidRDefault="0047217F" w:rsidP="0047217F">
      <w:pPr>
        <w:spacing w:after="0" w:line="360" w:lineRule="auto"/>
        <w:jc w:val="center"/>
        <w:rPr>
          <w:rFonts w:cstheme="minorHAnsi"/>
          <w:sz w:val="24"/>
          <w:szCs w:val="24"/>
          <w:lang w:val="en-GB"/>
        </w:rPr>
      </w:pPr>
      <w:r w:rsidRPr="00A506A2">
        <w:rPr>
          <w:noProof/>
        </w:rPr>
        <w:lastRenderedPageBreak/>
        <w:drawing>
          <wp:inline distT="0" distB="0" distL="0" distR="0" wp14:anchorId="56A21FED" wp14:editId="24AFA848">
            <wp:extent cx="4591050" cy="7572375"/>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1050" cy="7572375"/>
                    </a:xfrm>
                    <a:prstGeom prst="rect">
                      <a:avLst/>
                    </a:prstGeom>
                    <a:noFill/>
                    <a:ln>
                      <a:noFill/>
                    </a:ln>
                  </pic:spPr>
                </pic:pic>
              </a:graphicData>
            </a:graphic>
          </wp:inline>
        </w:drawing>
      </w:r>
    </w:p>
    <w:p w14:paraId="3EFE59F1" w14:textId="77777777" w:rsidR="004D0626" w:rsidRDefault="0047217F" w:rsidP="0047217F">
      <w:pPr>
        <w:spacing w:after="0" w:line="360" w:lineRule="auto"/>
        <w:jc w:val="both"/>
        <w:rPr>
          <w:rFonts w:cstheme="minorHAnsi"/>
          <w:sz w:val="24"/>
          <w:szCs w:val="24"/>
          <w:lang w:val="en-GB"/>
        </w:rPr>
      </w:pPr>
      <w:r w:rsidRPr="00961C0A">
        <w:rPr>
          <w:rFonts w:cstheme="minorHAnsi"/>
          <w:b/>
          <w:sz w:val="24"/>
          <w:szCs w:val="24"/>
          <w:lang w:val="en-GB"/>
        </w:rPr>
        <w:t xml:space="preserve">Fig. Sup. </w:t>
      </w:r>
      <w:r>
        <w:rPr>
          <w:rFonts w:cstheme="minorHAnsi"/>
          <w:b/>
          <w:sz w:val="24"/>
          <w:szCs w:val="24"/>
          <w:lang w:val="en-GB"/>
        </w:rPr>
        <w:t xml:space="preserve">C. </w:t>
      </w:r>
      <w:r>
        <w:rPr>
          <w:rFonts w:cstheme="minorHAnsi"/>
          <w:sz w:val="24"/>
          <w:szCs w:val="24"/>
          <w:lang w:val="en-GB"/>
        </w:rPr>
        <w:t xml:space="preserve">Response of </w:t>
      </w:r>
      <w:r w:rsidR="005803B5">
        <w:rPr>
          <w:rFonts w:cstheme="minorHAnsi"/>
          <w:sz w:val="24"/>
          <w:szCs w:val="24"/>
          <w:lang w:val="en-GB"/>
        </w:rPr>
        <w:t>community stability</w:t>
      </w:r>
      <w:r w:rsidR="005803B5" w:rsidRPr="00CB071E">
        <w:rPr>
          <w:rFonts w:cstheme="minorHAnsi"/>
          <w:sz w:val="24"/>
          <w:szCs w:val="24"/>
          <w:lang w:val="en-GB"/>
        </w:rPr>
        <w:t xml:space="preserve"> </w:t>
      </w:r>
      <w:r>
        <w:rPr>
          <w:rFonts w:cstheme="minorHAnsi"/>
          <w:sz w:val="24"/>
          <w:szCs w:val="24"/>
          <w:lang w:val="en-GB"/>
        </w:rPr>
        <w:t xml:space="preserve">(p50s, A-F) and total annual productivity (Ytot, G-L) to the gradient of mean trait divergence in T1 communities with low within-species variation (CV=0.001). Blue and brown boxes stand for simulations under 0N and N+ environments, respectively. </w:t>
      </w:r>
    </w:p>
    <w:p w14:paraId="7988CF2C" w14:textId="77777777" w:rsidR="004D0626" w:rsidRDefault="004D0626" w:rsidP="004D0626">
      <w:pPr>
        <w:spacing w:after="0" w:line="360" w:lineRule="auto"/>
        <w:jc w:val="center"/>
        <w:rPr>
          <w:rFonts w:cstheme="minorHAnsi"/>
          <w:sz w:val="24"/>
          <w:szCs w:val="24"/>
          <w:lang w:val="en-GB"/>
        </w:rPr>
      </w:pPr>
      <w:r w:rsidRPr="004D0626">
        <w:rPr>
          <w:noProof/>
        </w:rPr>
        <w:lastRenderedPageBreak/>
        <w:drawing>
          <wp:inline distT="0" distB="0" distL="0" distR="0" wp14:anchorId="57F5D2A9" wp14:editId="6478680C">
            <wp:extent cx="4104981" cy="7505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1022" cy="7516745"/>
                    </a:xfrm>
                    <a:prstGeom prst="rect">
                      <a:avLst/>
                    </a:prstGeom>
                    <a:noFill/>
                    <a:ln>
                      <a:noFill/>
                    </a:ln>
                  </pic:spPr>
                </pic:pic>
              </a:graphicData>
            </a:graphic>
          </wp:inline>
        </w:drawing>
      </w:r>
    </w:p>
    <w:p w14:paraId="0608A51D" w14:textId="0C829491" w:rsidR="0047217F" w:rsidRDefault="004D0626" w:rsidP="004D0626">
      <w:pPr>
        <w:spacing w:after="0" w:line="360" w:lineRule="auto"/>
        <w:jc w:val="both"/>
        <w:rPr>
          <w:rFonts w:cstheme="minorHAnsi"/>
          <w:sz w:val="24"/>
          <w:szCs w:val="24"/>
          <w:lang w:val="en-GB"/>
        </w:rPr>
      </w:pPr>
      <w:r w:rsidRPr="00961C0A">
        <w:rPr>
          <w:rFonts w:cstheme="minorHAnsi"/>
          <w:b/>
          <w:sz w:val="24"/>
          <w:szCs w:val="24"/>
          <w:lang w:val="en-GB"/>
        </w:rPr>
        <w:t xml:space="preserve">Fig. Sup. </w:t>
      </w:r>
      <w:r>
        <w:rPr>
          <w:rFonts w:cstheme="minorHAnsi"/>
          <w:b/>
          <w:sz w:val="24"/>
          <w:szCs w:val="24"/>
          <w:lang w:val="en-GB"/>
        </w:rPr>
        <w:t xml:space="preserve">D. </w:t>
      </w:r>
      <w:r>
        <w:rPr>
          <w:rFonts w:cstheme="minorHAnsi"/>
          <w:sz w:val="24"/>
          <w:szCs w:val="24"/>
          <w:lang w:val="en-GB"/>
        </w:rPr>
        <w:t>Response of community overyieding</w:t>
      </w:r>
      <w:r w:rsidRPr="00CB071E">
        <w:rPr>
          <w:rFonts w:cstheme="minorHAnsi"/>
          <w:sz w:val="24"/>
          <w:szCs w:val="24"/>
          <w:lang w:val="en-GB"/>
        </w:rPr>
        <w:t xml:space="preserve"> </w:t>
      </w:r>
      <w:r>
        <w:rPr>
          <w:rFonts w:cstheme="minorHAnsi"/>
          <w:sz w:val="24"/>
          <w:szCs w:val="24"/>
          <w:lang w:val="en-GB"/>
        </w:rPr>
        <w:t xml:space="preserve">(OY) to the gradient of mean trait divergence in T1 communities with low within-species variation </w:t>
      </w:r>
      <w:bookmarkStart w:id="0" w:name="_Hlk165221318"/>
      <w:r>
        <w:rPr>
          <w:rFonts w:cstheme="minorHAnsi"/>
          <w:sz w:val="24"/>
          <w:szCs w:val="24"/>
          <w:lang w:val="en-GB"/>
        </w:rPr>
        <w:t xml:space="preserve">(CV=0.001). </w:t>
      </w:r>
      <w:bookmarkEnd w:id="0"/>
      <w:r>
        <w:rPr>
          <w:rFonts w:cstheme="minorHAnsi"/>
          <w:sz w:val="24"/>
          <w:szCs w:val="24"/>
          <w:lang w:val="en-GB"/>
        </w:rPr>
        <w:t xml:space="preserve">Blue and brown boxes stand for simulations under 0N and N+ environments, respectively. </w:t>
      </w:r>
      <w:r w:rsidR="0047217F">
        <w:rPr>
          <w:rFonts w:cstheme="minorHAnsi"/>
          <w:sz w:val="24"/>
          <w:szCs w:val="24"/>
          <w:lang w:val="en-GB"/>
        </w:rPr>
        <w:br w:type="page"/>
      </w:r>
    </w:p>
    <w:p w14:paraId="14B2F9B8" w14:textId="77777777" w:rsidR="0047217F" w:rsidRDefault="0047217F" w:rsidP="0047217F">
      <w:pPr>
        <w:jc w:val="center"/>
        <w:rPr>
          <w:rFonts w:cstheme="minorHAnsi"/>
          <w:sz w:val="24"/>
          <w:szCs w:val="24"/>
          <w:lang w:val="en-GB"/>
        </w:rPr>
      </w:pPr>
      <w:r w:rsidRPr="00320E4E">
        <w:rPr>
          <w:noProof/>
        </w:rPr>
        <w:lastRenderedPageBreak/>
        <w:drawing>
          <wp:inline distT="0" distB="0" distL="0" distR="0" wp14:anchorId="01D79C31" wp14:editId="478FA299">
            <wp:extent cx="3795856" cy="72390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0322" cy="7247516"/>
                    </a:xfrm>
                    <a:prstGeom prst="rect">
                      <a:avLst/>
                    </a:prstGeom>
                    <a:noFill/>
                    <a:ln>
                      <a:noFill/>
                    </a:ln>
                  </pic:spPr>
                </pic:pic>
              </a:graphicData>
            </a:graphic>
          </wp:inline>
        </w:drawing>
      </w:r>
    </w:p>
    <w:p w14:paraId="3122B374" w14:textId="03FBB6D3" w:rsidR="0047217F" w:rsidRDefault="0047217F" w:rsidP="0047217F">
      <w:pPr>
        <w:jc w:val="both"/>
        <w:rPr>
          <w:rFonts w:cstheme="minorHAnsi"/>
          <w:sz w:val="24"/>
          <w:szCs w:val="24"/>
          <w:lang w:val="en-GB"/>
        </w:rPr>
      </w:pPr>
      <w:r w:rsidRPr="00961C0A">
        <w:rPr>
          <w:rFonts w:cstheme="minorHAnsi"/>
          <w:b/>
          <w:sz w:val="24"/>
          <w:szCs w:val="24"/>
          <w:lang w:val="en-GB"/>
        </w:rPr>
        <w:t xml:space="preserve">Fig. Sup. </w:t>
      </w:r>
      <w:r w:rsidR="004D0626">
        <w:rPr>
          <w:rFonts w:cstheme="minorHAnsi"/>
          <w:b/>
          <w:sz w:val="24"/>
          <w:szCs w:val="24"/>
          <w:lang w:val="en-GB"/>
        </w:rPr>
        <w:t>E</w:t>
      </w:r>
      <w:r>
        <w:rPr>
          <w:rFonts w:cstheme="minorHAnsi"/>
          <w:b/>
          <w:sz w:val="24"/>
          <w:szCs w:val="24"/>
          <w:lang w:val="en-GB"/>
        </w:rPr>
        <w:t xml:space="preserve">. </w:t>
      </w:r>
      <w:r w:rsidRPr="00320E4E">
        <w:rPr>
          <w:rFonts w:cstheme="minorHAnsi"/>
          <w:sz w:val="24"/>
          <w:szCs w:val="24"/>
          <w:lang w:val="en-GB"/>
        </w:rPr>
        <w:t xml:space="preserve">Responses of </w:t>
      </w:r>
      <w:r w:rsidR="005803B5">
        <w:rPr>
          <w:rFonts w:cstheme="minorHAnsi"/>
          <w:sz w:val="24"/>
          <w:szCs w:val="24"/>
          <w:lang w:val="en-GB"/>
        </w:rPr>
        <w:t>community stability</w:t>
      </w:r>
      <w:r w:rsidR="005803B5" w:rsidRPr="00CB071E">
        <w:rPr>
          <w:rFonts w:cstheme="minorHAnsi"/>
          <w:sz w:val="24"/>
          <w:szCs w:val="24"/>
          <w:lang w:val="en-GB"/>
        </w:rPr>
        <w:t xml:space="preserve"> </w:t>
      </w:r>
      <w:r w:rsidRPr="00320E4E">
        <w:rPr>
          <w:rFonts w:cstheme="minorHAnsi"/>
          <w:sz w:val="24"/>
          <w:szCs w:val="24"/>
          <w:lang w:val="en-GB"/>
        </w:rPr>
        <w:t>(p50s, A-</w:t>
      </w:r>
      <w:r>
        <w:rPr>
          <w:rFonts w:cstheme="minorHAnsi"/>
          <w:sz w:val="24"/>
          <w:szCs w:val="24"/>
          <w:lang w:val="en-GB"/>
        </w:rPr>
        <w:t>F</w:t>
      </w:r>
      <w:r w:rsidRPr="00320E4E">
        <w:rPr>
          <w:rFonts w:cstheme="minorHAnsi"/>
          <w:sz w:val="24"/>
          <w:szCs w:val="24"/>
          <w:lang w:val="en-GB"/>
        </w:rPr>
        <w:t xml:space="preserve">) and total annual productivity (Ytot, </w:t>
      </w:r>
      <w:r>
        <w:rPr>
          <w:rFonts w:cstheme="minorHAnsi"/>
          <w:sz w:val="24"/>
          <w:szCs w:val="24"/>
          <w:lang w:val="en-GB"/>
        </w:rPr>
        <w:t>G-L</w:t>
      </w:r>
      <w:r w:rsidRPr="00320E4E">
        <w:rPr>
          <w:rFonts w:cstheme="minorHAnsi"/>
          <w:sz w:val="24"/>
          <w:szCs w:val="24"/>
          <w:lang w:val="en-GB"/>
        </w:rPr>
        <w:t xml:space="preserve">) to the level of IV in situations </w:t>
      </w:r>
      <w:r w:rsidRPr="008B26AA">
        <w:rPr>
          <w:rFonts w:cstheme="minorHAnsi"/>
          <w:sz w:val="24"/>
          <w:szCs w:val="24"/>
          <w:lang w:val="en-GB"/>
        </w:rPr>
        <w:t xml:space="preserve">corresponding to a null model of interspecific </w:t>
      </w:r>
      <w:r w:rsidRPr="00320E4E">
        <w:rPr>
          <w:rFonts w:cstheme="minorHAnsi"/>
          <w:sz w:val="24"/>
          <w:szCs w:val="24"/>
          <w:lang w:val="en-GB"/>
        </w:rPr>
        <w:t>competition (</w:t>
      </w:r>
      <w:r>
        <w:rPr>
          <w:rFonts w:cstheme="minorHAnsi"/>
          <w:sz w:val="24"/>
          <w:szCs w:val="24"/>
          <w:lang w:val="en-GB"/>
        </w:rPr>
        <w:sym w:font="Symbol" w:char="F044"/>
      </w:r>
      <w:r w:rsidRPr="00320E4E">
        <w:rPr>
          <w:rFonts w:cstheme="minorHAnsi"/>
          <w:sz w:val="24"/>
          <w:szCs w:val="24"/>
          <w:lang w:val="en-GB"/>
        </w:rPr>
        <w:t xml:space="preserve">=0) in </w:t>
      </w:r>
      <w:r>
        <w:rPr>
          <w:rFonts w:cstheme="minorHAnsi"/>
          <w:sz w:val="24"/>
          <w:szCs w:val="24"/>
          <w:lang w:val="en-GB"/>
        </w:rPr>
        <w:t>T1</w:t>
      </w:r>
      <w:r w:rsidRPr="00320E4E">
        <w:rPr>
          <w:rFonts w:cstheme="minorHAnsi"/>
          <w:sz w:val="24"/>
          <w:szCs w:val="24"/>
          <w:lang w:val="en-GB"/>
        </w:rPr>
        <w:t xml:space="preserve"> communities under N+ and change in D5</w:t>
      </w:r>
      <w:r w:rsidRPr="00320E4E">
        <w:rPr>
          <w:rFonts w:cstheme="minorHAnsi"/>
          <w:sz w:val="24"/>
          <w:szCs w:val="24"/>
          <w:vertAlign w:val="subscript"/>
          <w:lang w:val="en-GB"/>
        </w:rPr>
        <w:t>param</w:t>
      </w:r>
      <w:r w:rsidRPr="00320E4E">
        <w:rPr>
          <w:rFonts w:cstheme="minorHAnsi"/>
          <w:sz w:val="24"/>
          <w:szCs w:val="24"/>
          <w:lang w:val="en-GB"/>
        </w:rPr>
        <w:t xml:space="preserve"> for the different parameters at high IV (CV=0.30).</w:t>
      </w:r>
    </w:p>
    <w:p w14:paraId="6AA1731F" w14:textId="01CD2D31" w:rsidR="00904D15" w:rsidRDefault="00904D15" w:rsidP="0047217F">
      <w:pPr>
        <w:jc w:val="both"/>
        <w:rPr>
          <w:rFonts w:cstheme="minorHAnsi"/>
          <w:sz w:val="24"/>
          <w:szCs w:val="24"/>
          <w:lang w:val="en-GB"/>
        </w:rPr>
      </w:pPr>
    </w:p>
    <w:p w14:paraId="374B50DF" w14:textId="6154B4A9" w:rsidR="00904D15" w:rsidRDefault="00904D15">
      <w:pPr>
        <w:rPr>
          <w:rFonts w:cstheme="minorHAnsi"/>
          <w:sz w:val="24"/>
          <w:szCs w:val="24"/>
          <w:lang w:val="en-GB"/>
        </w:rPr>
      </w:pPr>
      <w:r>
        <w:rPr>
          <w:rFonts w:cstheme="minorHAnsi"/>
          <w:sz w:val="24"/>
          <w:szCs w:val="24"/>
          <w:lang w:val="en-GB"/>
        </w:rPr>
        <w:br w:type="page"/>
      </w:r>
    </w:p>
    <w:p w14:paraId="09A3B102" w14:textId="7EE6DFAA" w:rsidR="00904D15" w:rsidRDefault="00904D15" w:rsidP="005F3B70">
      <w:pPr>
        <w:jc w:val="center"/>
        <w:rPr>
          <w:rFonts w:cstheme="minorHAnsi"/>
          <w:sz w:val="24"/>
          <w:szCs w:val="24"/>
          <w:lang w:val="en-GB"/>
        </w:rPr>
      </w:pPr>
      <w:r w:rsidRPr="00396657">
        <w:rPr>
          <w:noProof/>
        </w:rPr>
        <w:lastRenderedPageBreak/>
        <w:drawing>
          <wp:inline distT="0" distB="0" distL="0" distR="0" wp14:anchorId="7A1F6EDF" wp14:editId="22ED536E">
            <wp:extent cx="4759945" cy="6791325"/>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5615" cy="6799414"/>
                    </a:xfrm>
                    <a:prstGeom prst="rect">
                      <a:avLst/>
                    </a:prstGeom>
                    <a:noFill/>
                    <a:ln>
                      <a:noFill/>
                    </a:ln>
                  </pic:spPr>
                </pic:pic>
              </a:graphicData>
            </a:graphic>
          </wp:inline>
        </w:drawing>
      </w:r>
    </w:p>
    <w:p w14:paraId="51A5A786" w14:textId="2477D863" w:rsidR="00904D15" w:rsidRDefault="00904D15" w:rsidP="0047217F">
      <w:pPr>
        <w:jc w:val="both"/>
        <w:rPr>
          <w:rFonts w:cstheme="minorHAnsi"/>
          <w:sz w:val="24"/>
          <w:szCs w:val="24"/>
          <w:lang w:val="en-GB"/>
        </w:rPr>
      </w:pPr>
    </w:p>
    <w:p w14:paraId="79344A8F" w14:textId="242A32CF" w:rsidR="00904D15" w:rsidRDefault="00904D15" w:rsidP="00904D15">
      <w:pPr>
        <w:jc w:val="both"/>
        <w:rPr>
          <w:rFonts w:cstheme="minorHAnsi"/>
          <w:sz w:val="24"/>
          <w:szCs w:val="24"/>
          <w:lang w:val="en-GB"/>
        </w:rPr>
      </w:pPr>
      <w:r w:rsidRPr="00961C0A">
        <w:rPr>
          <w:rFonts w:cstheme="minorHAnsi"/>
          <w:b/>
          <w:sz w:val="24"/>
          <w:szCs w:val="24"/>
          <w:lang w:val="en-GB"/>
        </w:rPr>
        <w:t xml:space="preserve">Fig. Sup. </w:t>
      </w:r>
      <w:r>
        <w:rPr>
          <w:rFonts w:cstheme="minorHAnsi"/>
          <w:b/>
          <w:sz w:val="24"/>
          <w:szCs w:val="24"/>
          <w:lang w:val="en-GB"/>
        </w:rPr>
        <w:t>F.</w:t>
      </w:r>
      <w:r w:rsidRPr="00CB071E">
        <w:rPr>
          <w:rFonts w:cstheme="minorHAnsi"/>
          <w:sz w:val="24"/>
          <w:szCs w:val="24"/>
          <w:lang w:val="en-GB"/>
        </w:rPr>
        <w:t xml:space="preserve"> Responses of </w:t>
      </w:r>
      <w:r>
        <w:rPr>
          <w:rFonts w:cstheme="minorHAnsi"/>
          <w:sz w:val="24"/>
          <w:szCs w:val="24"/>
          <w:lang w:val="en-GB"/>
        </w:rPr>
        <w:t>community stability</w:t>
      </w:r>
      <w:r w:rsidRPr="00CB071E">
        <w:rPr>
          <w:rFonts w:cstheme="minorHAnsi"/>
          <w:sz w:val="24"/>
          <w:szCs w:val="24"/>
          <w:lang w:val="en-GB"/>
        </w:rPr>
        <w:t xml:space="preserve"> (p50s) to the gradient of mean trait divergence in T3L (AC), T3N (BD) and T6 (CE) communities with high within-species varia</w:t>
      </w:r>
      <w:r>
        <w:rPr>
          <w:rFonts w:cstheme="minorHAnsi"/>
          <w:sz w:val="24"/>
          <w:szCs w:val="24"/>
          <w:lang w:val="en-GB"/>
        </w:rPr>
        <w:t>tion</w:t>
      </w:r>
      <w:r w:rsidRPr="00CB071E">
        <w:rPr>
          <w:rFonts w:cstheme="minorHAnsi"/>
          <w:sz w:val="24"/>
          <w:szCs w:val="24"/>
          <w:lang w:val="en-GB"/>
        </w:rPr>
        <w:t xml:space="preserve"> (CV=0.30). Blue and brown boxes indicate simulations under 0N and N+ environments, respectively. Grey dashed line: average species proportion at low within-species varia</w:t>
      </w:r>
      <w:r>
        <w:rPr>
          <w:rFonts w:cstheme="minorHAnsi"/>
          <w:sz w:val="24"/>
          <w:szCs w:val="24"/>
          <w:lang w:val="en-GB"/>
        </w:rPr>
        <w:t>tion</w:t>
      </w:r>
      <w:r w:rsidRPr="00CB071E">
        <w:rPr>
          <w:rFonts w:cstheme="minorHAnsi"/>
          <w:sz w:val="24"/>
          <w:szCs w:val="24"/>
          <w:lang w:val="en-GB"/>
        </w:rPr>
        <w:t xml:space="preserve">. </w:t>
      </w:r>
      <w:r>
        <w:rPr>
          <w:rFonts w:cstheme="minorHAnsi"/>
          <w:sz w:val="24"/>
          <w:szCs w:val="24"/>
          <w:lang w:val="en-GB"/>
        </w:rPr>
        <w:t>Length of b</w:t>
      </w:r>
      <w:r w:rsidRPr="00CB071E">
        <w:rPr>
          <w:rFonts w:cstheme="minorHAnsi"/>
          <w:sz w:val="24"/>
          <w:szCs w:val="24"/>
          <w:lang w:val="en-GB"/>
        </w:rPr>
        <w:t>lack vertical bars</w:t>
      </w:r>
      <w:r>
        <w:rPr>
          <w:rFonts w:cstheme="minorHAnsi"/>
          <w:sz w:val="24"/>
          <w:szCs w:val="24"/>
          <w:lang w:val="en-GB"/>
        </w:rPr>
        <w:t xml:space="preserve"> equal the</w:t>
      </w:r>
      <w:r w:rsidRPr="00CB071E">
        <w:rPr>
          <w:rFonts w:cstheme="minorHAnsi"/>
          <w:sz w:val="24"/>
          <w:szCs w:val="24"/>
          <w:lang w:val="en-GB"/>
        </w:rPr>
        <w:t xml:space="preserve"> stabilising effects of IV</w:t>
      </w:r>
      <w:r>
        <w:rPr>
          <w:rFonts w:cstheme="minorHAnsi"/>
          <w:sz w:val="24"/>
          <w:szCs w:val="24"/>
          <w:lang w:val="en-GB"/>
        </w:rPr>
        <w:t xml:space="preserve"> (S</w:t>
      </w:r>
      <w:r w:rsidRPr="005F6E56">
        <w:rPr>
          <w:rFonts w:cstheme="minorHAnsi"/>
          <w:sz w:val="24"/>
          <w:szCs w:val="24"/>
          <w:vertAlign w:val="subscript"/>
          <w:lang w:val="en-GB"/>
        </w:rPr>
        <w:t>IV</w:t>
      </w:r>
      <w:r>
        <w:rPr>
          <w:rFonts w:cstheme="minorHAnsi"/>
          <w:sz w:val="24"/>
          <w:szCs w:val="24"/>
          <w:lang w:val="en-GB"/>
        </w:rPr>
        <w:t>)</w:t>
      </w:r>
      <w:r w:rsidRPr="00CB071E">
        <w:rPr>
          <w:rFonts w:cstheme="minorHAnsi"/>
          <w:sz w:val="24"/>
          <w:szCs w:val="24"/>
          <w:lang w:val="en-GB"/>
        </w:rPr>
        <w:t xml:space="preserve"> </w:t>
      </w:r>
      <w:r w:rsidRPr="004E73EC">
        <w:rPr>
          <w:rFonts w:cstheme="minorHAnsi"/>
          <w:sz w:val="24"/>
          <w:szCs w:val="24"/>
          <w:lang w:val="en-GB"/>
        </w:rPr>
        <w:t xml:space="preserve">compared to the reference </w:t>
      </w:r>
      <w:r>
        <w:rPr>
          <w:rFonts w:cstheme="minorHAnsi"/>
          <w:sz w:val="24"/>
          <w:szCs w:val="24"/>
          <w:lang w:val="en-GB"/>
        </w:rPr>
        <w:t xml:space="preserve">simulation </w:t>
      </w:r>
      <w:r w:rsidRPr="004E73EC">
        <w:rPr>
          <w:rFonts w:cstheme="minorHAnsi"/>
          <w:sz w:val="24"/>
          <w:szCs w:val="24"/>
          <w:lang w:val="en-GB"/>
        </w:rPr>
        <w:t>at low within-species varia</w:t>
      </w:r>
      <w:r>
        <w:rPr>
          <w:rFonts w:cstheme="minorHAnsi"/>
          <w:sz w:val="24"/>
          <w:szCs w:val="24"/>
          <w:lang w:val="en-GB"/>
        </w:rPr>
        <w:t>tion</w:t>
      </w:r>
      <w:r w:rsidRPr="00CB071E">
        <w:rPr>
          <w:rFonts w:cstheme="minorHAnsi"/>
          <w:sz w:val="24"/>
          <w:szCs w:val="24"/>
          <w:lang w:val="en-GB"/>
        </w:rPr>
        <w:t>.</w:t>
      </w:r>
      <w:r>
        <w:rPr>
          <w:rFonts w:cstheme="minorHAnsi"/>
          <w:sz w:val="24"/>
          <w:szCs w:val="24"/>
          <w:lang w:val="en-GB"/>
        </w:rPr>
        <w:t xml:space="preserve"> n=9 replicate simulations by </w:t>
      </w:r>
      <w:r w:rsidRPr="00CB071E">
        <w:rPr>
          <w:rFonts w:cstheme="minorHAnsi"/>
          <w:sz w:val="24"/>
          <w:szCs w:val="24"/>
          <w:lang w:val="en-GB"/>
        </w:rPr>
        <w:t>communit</w:t>
      </w:r>
      <w:r>
        <w:rPr>
          <w:rFonts w:cstheme="minorHAnsi"/>
          <w:sz w:val="24"/>
          <w:szCs w:val="24"/>
          <w:lang w:val="en-GB"/>
        </w:rPr>
        <w:t>y.</w:t>
      </w:r>
    </w:p>
    <w:p w14:paraId="2FB1BBBD" w14:textId="77777777" w:rsidR="0047217F" w:rsidRDefault="0047217F" w:rsidP="0047217F">
      <w:pPr>
        <w:rPr>
          <w:rFonts w:cstheme="minorHAnsi"/>
          <w:sz w:val="24"/>
          <w:szCs w:val="24"/>
          <w:lang w:val="en-GB"/>
        </w:rPr>
      </w:pPr>
      <w:r>
        <w:rPr>
          <w:rFonts w:cstheme="minorHAnsi"/>
          <w:sz w:val="24"/>
          <w:szCs w:val="24"/>
          <w:lang w:val="en-GB"/>
        </w:rPr>
        <w:br w:type="page"/>
      </w:r>
    </w:p>
    <w:p w14:paraId="507C0EE9" w14:textId="77777777" w:rsidR="0047217F" w:rsidRDefault="0047217F" w:rsidP="0047217F">
      <w:pPr>
        <w:spacing w:after="0" w:line="360" w:lineRule="auto"/>
        <w:jc w:val="both"/>
        <w:rPr>
          <w:rFonts w:cstheme="minorHAnsi"/>
          <w:sz w:val="24"/>
          <w:szCs w:val="24"/>
          <w:lang w:val="en-GB"/>
        </w:rPr>
      </w:pPr>
    </w:p>
    <w:p w14:paraId="4254E4E6" w14:textId="77777777" w:rsidR="0047217F" w:rsidRDefault="0047217F" w:rsidP="0047217F">
      <w:pPr>
        <w:spacing w:after="0" w:line="360" w:lineRule="auto"/>
        <w:jc w:val="both"/>
        <w:rPr>
          <w:rFonts w:cstheme="minorHAnsi"/>
          <w:sz w:val="24"/>
          <w:szCs w:val="24"/>
          <w:lang w:val="en-GB"/>
        </w:rPr>
      </w:pPr>
    </w:p>
    <w:p w14:paraId="4DDE26BE" w14:textId="77777777" w:rsidR="0047217F" w:rsidRDefault="0047217F" w:rsidP="0047217F">
      <w:pPr>
        <w:spacing w:after="0" w:line="360" w:lineRule="auto"/>
        <w:jc w:val="both"/>
        <w:rPr>
          <w:rFonts w:cstheme="minorHAnsi"/>
          <w:sz w:val="24"/>
          <w:szCs w:val="24"/>
          <w:lang w:val="en-GB"/>
        </w:rPr>
      </w:pPr>
    </w:p>
    <w:p w14:paraId="5E812309" w14:textId="77777777" w:rsidR="0047217F" w:rsidRDefault="0047217F" w:rsidP="0047217F">
      <w:pPr>
        <w:spacing w:after="0" w:line="360" w:lineRule="auto"/>
        <w:jc w:val="both"/>
        <w:rPr>
          <w:rFonts w:cstheme="minorHAnsi"/>
          <w:sz w:val="24"/>
          <w:szCs w:val="24"/>
          <w:lang w:val="en-GB"/>
        </w:rPr>
      </w:pPr>
      <w:r w:rsidRPr="00BA2203">
        <w:rPr>
          <w:noProof/>
          <w:lang w:val="en-GB" w:eastAsia="en-GB"/>
        </w:rPr>
        <w:drawing>
          <wp:inline distT="0" distB="0" distL="0" distR="0" wp14:anchorId="6C5D9429" wp14:editId="5D09CBCC">
            <wp:extent cx="6051176" cy="11906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5575"/>
                    <a:stretch/>
                  </pic:blipFill>
                  <pic:spPr bwMode="auto">
                    <a:xfrm>
                      <a:off x="0" y="0"/>
                      <a:ext cx="6055453" cy="1191467"/>
                    </a:xfrm>
                    <a:prstGeom prst="rect">
                      <a:avLst/>
                    </a:prstGeom>
                    <a:noFill/>
                    <a:ln>
                      <a:noFill/>
                    </a:ln>
                    <a:extLst>
                      <a:ext uri="{53640926-AAD7-44D8-BBD7-CCE9431645EC}">
                        <a14:shadowObscured xmlns:a14="http://schemas.microsoft.com/office/drawing/2010/main"/>
                      </a:ext>
                    </a:extLst>
                  </pic:spPr>
                </pic:pic>
              </a:graphicData>
            </a:graphic>
          </wp:inline>
        </w:drawing>
      </w:r>
    </w:p>
    <w:p w14:paraId="1B29EC36" w14:textId="77777777" w:rsidR="0047217F" w:rsidRDefault="0047217F" w:rsidP="0047217F">
      <w:pPr>
        <w:rPr>
          <w:rFonts w:cstheme="minorHAnsi"/>
          <w:sz w:val="24"/>
          <w:szCs w:val="24"/>
          <w:lang w:val="en-GB"/>
        </w:rPr>
      </w:pPr>
    </w:p>
    <w:p w14:paraId="32578239" w14:textId="3094FD19" w:rsidR="0047217F" w:rsidRDefault="0047217F" w:rsidP="0047217F">
      <w:pPr>
        <w:spacing w:after="0" w:line="360" w:lineRule="auto"/>
        <w:jc w:val="both"/>
        <w:rPr>
          <w:rFonts w:cstheme="minorHAnsi"/>
          <w:sz w:val="24"/>
          <w:szCs w:val="24"/>
          <w:lang w:val="en-GB"/>
        </w:rPr>
      </w:pPr>
      <w:r w:rsidRPr="00961C0A">
        <w:rPr>
          <w:rFonts w:cstheme="minorHAnsi"/>
          <w:b/>
          <w:sz w:val="24"/>
          <w:szCs w:val="24"/>
          <w:lang w:val="en-GB"/>
        </w:rPr>
        <w:t>Fig. Sup.</w:t>
      </w:r>
      <w:r>
        <w:rPr>
          <w:rFonts w:cstheme="minorHAnsi"/>
          <w:b/>
          <w:sz w:val="24"/>
          <w:szCs w:val="24"/>
          <w:lang w:val="en-GB"/>
        </w:rPr>
        <w:t xml:space="preserve"> </w:t>
      </w:r>
      <w:r w:rsidR="006A333A">
        <w:rPr>
          <w:rFonts w:cstheme="minorHAnsi"/>
          <w:b/>
          <w:sz w:val="24"/>
          <w:szCs w:val="24"/>
          <w:lang w:val="en-GB"/>
        </w:rPr>
        <w:t>G</w:t>
      </w:r>
      <w:r>
        <w:rPr>
          <w:rFonts w:cstheme="minorHAnsi"/>
          <w:b/>
          <w:sz w:val="24"/>
          <w:szCs w:val="24"/>
          <w:lang w:val="en-GB"/>
        </w:rPr>
        <w:t xml:space="preserve">. </w:t>
      </w:r>
      <w:r w:rsidRPr="00CB071E">
        <w:rPr>
          <w:rFonts w:cstheme="minorHAnsi"/>
          <w:sz w:val="24"/>
          <w:szCs w:val="24"/>
          <w:lang w:val="en-GB"/>
        </w:rPr>
        <w:t>Correlations between plant biomass and the multi-</w:t>
      </w:r>
      <w:r>
        <w:rPr>
          <w:rFonts w:cstheme="minorHAnsi"/>
          <w:sz w:val="24"/>
          <w:szCs w:val="24"/>
          <w:lang w:val="en-GB"/>
        </w:rPr>
        <w:t xml:space="preserve">parameter </w:t>
      </w:r>
      <w:r w:rsidRPr="00CB071E">
        <w:rPr>
          <w:rFonts w:cstheme="minorHAnsi"/>
          <w:sz w:val="24"/>
          <w:szCs w:val="24"/>
          <w:lang w:val="en-GB"/>
        </w:rPr>
        <w:t>score (P</w:t>
      </w:r>
      <w:r w:rsidRPr="00BA2203">
        <w:rPr>
          <w:rFonts w:cstheme="minorHAnsi"/>
          <w:sz w:val="24"/>
          <w:szCs w:val="24"/>
          <w:vertAlign w:val="subscript"/>
          <w:lang w:val="en-GB"/>
        </w:rPr>
        <w:t>score</w:t>
      </w:r>
      <w:r w:rsidRPr="00CB071E">
        <w:rPr>
          <w:rFonts w:cstheme="minorHAnsi"/>
          <w:sz w:val="24"/>
          <w:szCs w:val="24"/>
          <w:lang w:val="en-GB"/>
        </w:rPr>
        <w:t xml:space="preserve">) </w:t>
      </w:r>
      <w:r>
        <w:rPr>
          <w:rFonts w:cstheme="minorHAnsi"/>
          <w:sz w:val="24"/>
          <w:szCs w:val="24"/>
          <w:lang w:val="en-GB"/>
        </w:rPr>
        <w:t xml:space="preserve">of each plant </w:t>
      </w:r>
      <w:r w:rsidRPr="00CB071E">
        <w:rPr>
          <w:rFonts w:cstheme="minorHAnsi"/>
          <w:sz w:val="24"/>
          <w:szCs w:val="24"/>
          <w:lang w:val="en-GB"/>
        </w:rPr>
        <w:t xml:space="preserve">for T3L (A), T3N (B) and T6 (C) communities at different levels of IV. </w:t>
      </w:r>
      <w:r>
        <w:rPr>
          <w:rFonts w:cstheme="minorHAnsi"/>
          <w:sz w:val="24"/>
          <w:szCs w:val="24"/>
          <w:lang w:val="en-GB"/>
        </w:rPr>
        <w:t xml:space="preserve"> Data in each community are for</w:t>
      </w:r>
      <w:r w:rsidRPr="00CF009E">
        <w:rPr>
          <w:rFonts w:cstheme="minorHAnsi"/>
          <w:sz w:val="24"/>
          <w:szCs w:val="24"/>
          <w:lang w:val="en-GB"/>
        </w:rPr>
        <w:t xml:space="preserve"> </w:t>
      </w:r>
      <w:r>
        <w:rPr>
          <w:rFonts w:cstheme="minorHAnsi"/>
          <w:sz w:val="24"/>
          <w:szCs w:val="24"/>
          <w:lang w:val="en-GB"/>
        </w:rPr>
        <w:t xml:space="preserve">all the </w:t>
      </w:r>
      <w:r w:rsidRPr="00CF009E">
        <w:rPr>
          <w:rFonts w:cstheme="minorHAnsi"/>
          <w:sz w:val="24"/>
          <w:szCs w:val="24"/>
          <w:lang w:val="en-GB"/>
        </w:rPr>
        <w:t>individual</w:t>
      </w:r>
      <w:r>
        <w:rPr>
          <w:rFonts w:cstheme="minorHAnsi"/>
          <w:sz w:val="24"/>
          <w:szCs w:val="24"/>
          <w:lang w:val="en-GB"/>
        </w:rPr>
        <w:t xml:space="preserve">s of </w:t>
      </w:r>
      <w:r w:rsidRPr="00CF009E">
        <w:rPr>
          <w:rFonts w:cstheme="minorHAnsi"/>
          <w:sz w:val="24"/>
          <w:szCs w:val="24"/>
          <w:lang w:val="en-GB"/>
        </w:rPr>
        <w:t>Sp. 2</w:t>
      </w:r>
      <w:r>
        <w:rPr>
          <w:rFonts w:cstheme="minorHAnsi"/>
          <w:sz w:val="24"/>
          <w:szCs w:val="24"/>
          <w:lang w:val="en-GB"/>
        </w:rPr>
        <w:t xml:space="preserve"> under N+ environment.</w:t>
      </w:r>
    </w:p>
    <w:p w14:paraId="622B9DCC" w14:textId="4D15EB90" w:rsidR="0047217F" w:rsidRDefault="0047217F" w:rsidP="0047217F">
      <w:pPr>
        <w:rPr>
          <w:rFonts w:cstheme="minorHAnsi"/>
          <w:sz w:val="24"/>
          <w:szCs w:val="24"/>
          <w:lang w:val="en-GB"/>
        </w:rPr>
      </w:pPr>
    </w:p>
    <w:p w14:paraId="5CFAC043" w14:textId="1AB210CD" w:rsidR="004966F9" w:rsidRDefault="004966F9">
      <w:pPr>
        <w:rPr>
          <w:rFonts w:cstheme="minorHAnsi"/>
          <w:sz w:val="24"/>
          <w:szCs w:val="24"/>
          <w:lang w:val="en-GB"/>
        </w:rPr>
      </w:pPr>
      <w:r>
        <w:rPr>
          <w:rFonts w:cstheme="minorHAnsi"/>
          <w:sz w:val="24"/>
          <w:szCs w:val="24"/>
          <w:lang w:val="en-GB"/>
        </w:rPr>
        <w:br w:type="page"/>
      </w:r>
    </w:p>
    <w:p w14:paraId="3C3B4ADC" w14:textId="355BDF0E" w:rsidR="004966F9" w:rsidRDefault="004966F9" w:rsidP="0047217F">
      <w:pPr>
        <w:rPr>
          <w:rFonts w:cstheme="minorHAnsi"/>
          <w:sz w:val="24"/>
          <w:szCs w:val="24"/>
          <w:lang w:val="en-GB"/>
        </w:rPr>
      </w:pPr>
    </w:p>
    <w:p w14:paraId="2088F314" w14:textId="22BA6BA4" w:rsidR="004966F9" w:rsidRDefault="004966F9" w:rsidP="0047217F">
      <w:pPr>
        <w:rPr>
          <w:rFonts w:cstheme="minorHAnsi"/>
          <w:sz w:val="24"/>
          <w:szCs w:val="24"/>
          <w:lang w:val="en-GB"/>
        </w:rPr>
      </w:pPr>
      <w:r w:rsidRPr="000226F4">
        <w:rPr>
          <w:noProof/>
        </w:rPr>
        <w:drawing>
          <wp:inline distT="0" distB="0" distL="0" distR="0" wp14:anchorId="64C03A0F" wp14:editId="5BB2F2BE">
            <wp:extent cx="5760720" cy="41427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142740"/>
                    </a:xfrm>
                    <a:prstGeom prst="rect">
                      <a:avLst/>
                    </a:prstGeom>
                    <a:noFill/>
                    <a:ln>
                      <a:noFill/>
                    </a:ln>
                  </pic:spPr>
                </pic:pic>
              </a:graphicData>
            </a:graphic>
          </wp:inline>
        </w:drawing>
      </w:r>
    </w:p>
    <w:p w14:paraId="21505D7B" w14:textId="0190FB4F" w:rsidR="004966F9" w:rsidRDefault="004966F9" w:rsidP="0047217F">
      <w:pPr>
        <w:rPr>
          <w:rFonts w:cstheme="minorHAnsi"/>
          <w:sz w:val="24"/>
          <w:szCs w:val="24"/>
          <w:lang w:val="en-GB"/>
        </w:rPr>
      </w:pPr>
    </w:p>
    <w:p w14:paraId="1B11B330" w14:textId="5A8C3DAF" w:rsidR="004966F9" w:rsidRDefault="004966F9" w:rsidP="004966F9">
      <w:pPr>
        <w:jc w:val="both"/>
        <w:rPr>
          <w:rFonts w:cstheme="minorHAnsi"/>
          <w:sz w:val="24"/>
          <w:szCs w:val="24"/>
          <w:lang w:val="en-GB"/>
        </w:rPr>
      </w:pPr>
      <w:r w:rsidRPr="00961C0A">
        <w:rPr>
          <w:rFonts w:cstheme="minorHAnsi"/>
          <w:b/>
          <w:sz w:val="24"/>
          <w:szCs w:val="24"/>
          <w:lang w:val="en-GB"/>
        </w:rPr>
        <w:t xml:space="preserve">Fig. Sup. </w:t>
      </w:r>
      <w:r>
        <w:rPr>
          <w:rFonts w:cstheme="minorHAnsi"/>
          <w:b/>
          <w:sz w:val="24"/>
          <w:szCs w:val="24"/>
          <w:lang w:val="en-GB"/>
        </w:rPr>
        <w:t>H.</w:t>
      </w:r>
      <w:r w:rsidRPr="00CF009E">
        <w:rPr>
          <w:rFonts w:cstheme="minorHAnsi"/>
          <w:sz w:val="24"/>
          <w:szCs w:val="24"/>
          <w:lang w:val="en-GB"/>
        </w:rPr>
        <w:t xml:space="preserve"> Examples of shifts in D5</w:t>
      </w:r>
      <w:r w:rsidRPr="00BA2203">
        <w:rPr>
          <w:rFonts w:cstheme="minorHAnsi"/>
          <w:sz w:val="24"/>
          <w:szCs w:val="24"/>
          <w:vertAlign w:val="subscript"/>
          <w:lang w:val="en-GB"/>
        </w:rPr>
        <w:t>param</w:t>
      </w:r>
      <w:r w:rsidRPr="00CF009E">
        <w:rPr>
          <w:rFonts w:cstheme="minorHAnsi"/>
          <w:sz w:val="24"/>
          <w:szCs w:val="24"/>
          <w:lang w:val="en-GB"/>
        </w:rPr>
        <w:t xml:space="preserve"> for maximal internode length (ACEG) and maximal root elongation rate (BDFH) parameters at high IV (CV=0.30) for </w:t>
      </w:r>
      <w:r>
        <w:rPr>
          <w:rFonts w:cstheme="minorHAnsi"/>
          <w:sz w:val="24"/>
          <w:szCs w:val="24"/>
          <w:lang w:val="en-GB"/>
        </w:rPr>
        <w:t xml:space="preserve">Sp2 in </w:t>
      </w:r>
      <w:r w:rsidRPr="00CF009E">
        <w:rPr>
          <w:rFonts w:cstheme="minorHAnsi"/>
          <w:sz w:val="24"/>
          <w:szCs w:val="24"/>
          <w:lang w:val="en-GB"/>
        </w:rPr>
        <w:t>T3N (AB), T3L (CD) and T6 (EFJH) communities. Blue and brown boxes indicate simulations under 0N and N+ environments, respectively. Grey dashed line: theoretical value of D5</w:t>
      </w:r>
      <w:r w:rsidRPr="00BA2203">
        <w:rPr>
          <w:rFonts w:cstheme="minorHAnsi"/>
          <w:sz w:val="24"/>
          <w:szCs w:val="24"/>
          <w:vertAlign w:val="subscript"/>
          <w:lang w:val="en-GB"/>
        </w:rPr>
        <w:t>param</w:t>
      </w:r>
      <w:r w:rsidRPr="00CF009E">
        <w:rPr>
          <w:rFonts w:cstheme="minorHAnsi"/>
          <w:sz w:val="24"/>
          <w:szCs w:val="24"/>
          <w:lang w:val="en-GB"/>
        </w:rPr>
        <w:t xml:space="preserve"> in the absence of selection.</w:t>
      </w:r>
      <w:r>
        <w:rPr>
          <w:rFonts w:cstheme="minorHAnsi"/>
          <w:sz w:val="24"/>
          <w:szCs w:val="24"/>
          <w:lang w:val="en-GB"/>
        </w:rPr>
        <w:t xml:space="preserve"> </w:t>
      </w:r>
      <w:r w:rsidRPr="00003AC5">
        <w:rPr>
          <w:rFonts w:cstheme="minorHAnsi"/>
          <w:sz w:val="24"/>
          <w:szCs w:val="24"/>
          <w:lang w:val="en-GB"/>
        </w:rPr>
        <w:t>n=9 replicate simulations by community.</w:t>
      </w:r>
    </w:p>
    <w:p w14:paraId="3205AA0A" w14:textId="77777777" w:rsidR="004966F9" w:rsidRDefault="004966F9" w:rsidP="0047217F">
      <w:pPr>
        <w:rPr>
          <w:rFonts w:cstheme="minorHAnsi"/>
          <w:sz w:val="24"/>
          <w:szCs w:val="24"/>
          <w:lang w:val="en-GB"/>
        </w:rPr>
      </w:pPr>
    </w:p>
    <w:p w14:paraId="3E5173D3" w14:textId="77777777" w:rsidR="0047217F" w:rsidRDefault="0047217F" w:rsidP="00F11529">
      <w:pPr>
        <w:rPr>
          <w:rFonts w:cstheme="minorHAnsi"/>
          <w:sz w:val="24"/>
          <w:szCs w:val="24"/>
          <w:lang w:val="en-GB"/>
        </w:rPr>
      </w:pPr>
      <w:r>
        <w:rPr>
          <w:rFonts w:cstheme="minorHAnsi"/>
          <w:sz w:val="24"/>
          <w:szCs w:val="24"/>
          <w:lang w:val="en-GB"/>
        </w:rPr>
        <w:br w:type="page"/>
      </w:r>
    </w:p>
    <w:p w14:paraId="55D541E3" w14:textId="77777777" w:rsidR="0047217F" w:rsidRDefault="0047217F" w:rsidP="0047217F">
      <w:pPr>
        <w:rPr>
          <w:rFonts w:cstheme="minorHAnsi"/>
          <w:sz w:val="24"/>
          <w:szCs w:val="24"/>
          <w:lang w:val="en-GB"/>
        </w:rPr>
      </w:pPr>
    </w:p>
    <w:p w14:paraId="714D924E" w14:textId="77777777" w:rsidR="0047217F" w:rsidRDefault="0047217F" w:rsidP="0047217F">
      <w:pPr>
        <w:rPr>
          <w:rFonts w:cstheme="minorHAnsi"/>
          <w:sz w:val="24"/>
          <w:szCs w:val="24"/>
          <w:lang w:val="en-GB"/>
        </w:rPr>
      </w:pPr>
    </w:p>
    <w:p w14:paraId="47F2A94E" w14:textId="77777777" w:rsidR="0047217F" w:rsidRPr="00B17DE1" w:rsidRDefault="0047217F" w:rsidP="0047217F">
      <w:pPr>
        <w:spacing w:after="0" w:line="360" w:lineRule="auto"/>
        <w:jc w:val="both"/>
        <w:rPr>
          <w:rFonts w:cstheme="minorHAnsi"/>
          <w:sz w:val="24"/>
          <w:szCs w:val="24"/>
          <w:lang w:val="en-GB"/>
        </w:rPr>
      </w:pPr>
      <w:r w:rsidRPr="00BC1F89">
        <w:rPr>
          <w:noProof/>
        </w:rPr>
        <w:drawing>
          <wp:inline distT="0" distB="0" distL="0" distR="0" wp14:anchorId="5BDC4852" wp14:editId="2CCF4B41">
            <wp:extent cx="5760720" cy="233238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332389"/>
                    </a:xfrm>
                    <a:prstGeom prst="rect">
                      <a:avLst/>
                    </a:prstGeom>
                    <a:noFill/>
                    <a:ln>
                      <a:noFill/>
                    </a:ln>
                  </pic:spPr>
                </pic:pic>
              </a:graphicData>
            </a:graphic>
          </wp:inline>
        </w:drawing>
      </w:r>
    </w:p>
    <w:p w14:paraId="4355EFA0" w14:textId="7F405B32" w:rsidR="0047217F" w:rsidRPr="00B17DE1" w:rsidRDefault="0047217F" w:rsidP="0047217F">
      <w:pPr>
        <w:jc w:val="both"/>
        <w:rPr>
          <w:rFonts w:cstheme="minorHAnsi"/>
          <w:sz w:val="24"/>
          <w:szCs w:val="24"/>
          <w:lang w:val="en-GB"/>
        </w:rPr>
      </w:pPr>
      <w:r w:rsidRPr="00961C0A">
        <w:rPr>
          <w:rFonts w:cstheme="minorHAnsi"/>
          <w:b/>
          <w:sz w:val="24"/>
          <w:szCs w:val="24"/>
          <w:lang w:val="en-GB"/>
        </w:rPr>
        <w:t xml:space="preserve">Fig. Sup. </w:t>
      </w:r>
      <w:r w:rsidR="00594177">
        <w:rPr>
          <w:rFonts w:cstheme="minorHAnsi"/>
          <w:b/>
          <w:sz w:val="24"/>
          <w:szCs w:val="24"/>
          <w:lang w:val="en-GB"/>
        </w:rPr>
        <w:t>I</w:t>
      </w:r>
      <w:r>
        <w:rPr>
          <w:rFonts w:cstheme="minorHAnsi"/>
          <w:b/>
          <w:sz w:val="24"/>
          <w:szCs w:val="24"/>
          <w:lang w:val="en-GB"/>
        </w:rPr>
        <w:t xml:space="preserve">. </w:t>
      </w:r>
      <w:r w:rsidRPr="00CF009E">
        <w:rPr>
          <w:rFonts w:cstheme="minorHAnsi"/>
          <w:sz w:val="24"/>
          <w:szCs w:val="24"/>
          <w:lang w:val="en-GB"/>
        </w:rPr>
        <w:t>Example of simulated individual plant biomass distributions within a community (A) and relationships between individual plant biomass and cumulated PAR intercepted (PARi, B) and cumulated mineral N uptake (Nupt, C) by the plant. Data are for a simulation of the community T3L/+0.5</w:t>
      </w:r>
      <w:r>
        <w:rPr>
          <w:rFonts w:cstheme="minorHAnsi"/>
          <w:sz w:val="24"/>
          <w:szCs w:val="24"/>
          <w:lang w:val="en-GB"/>
        </w:rPr>
        <w:sym w:font="Symbol" w:char="F044"/>
      </w:r>
      <w:r w:rsidRPr="00CF009E">
        <w:rPr>
          <w:rFonts w:cstheme="minorHAnsi"/>
          <w:sz w:val="24"/>
          <w:szCs w:val="24"/>
          <w:lang w:val="en-GB"/>
        </w:rPr>
        <w:t>. Blue and brown points indicate simulations under 0N and N+ environments, respectively.</w:t>
      </w:r>
    </w:p>
    <w:p w14:paraId="52D6A23E" w14:textId="77777777" w:rsidR="0047217F" w:rsidRDefault="0047217F" w:rsidP="0047217F">
      <w:pPr>
        <w:rPr>
          <w:rFonts w:cstheme="minorHAnsi"/>
          <w:sz w:val="24"/>
          <w:szCs w:val="24"/>
          <w:lang w:val="en-GB"/>
        </w:rPr>
      </w:pPr>
    </w:p>
    <w:p w14:paraId="0F1B0B8E" w14:textId="77777777" w:rsidR="0047217F" w:rsidRDefault="0047217F" w:rsidP="0047217F">
      <w:pPr>
        <w:rPr>
          <w:rFonts w:cstheme="minorHAnsi"/>
          <w:sz w:val="24"/>
          <w:szCs w:val="24"/>
          <w:lang w:val="en-GB"/>
        </w:rPr>
      </w:pPr>
      <w:r>
        <w:rPr>
          <w:rFonts w:cstheme="minorHAnsi"/>
          <w:sz w:val="24"/>
          <w:szCs w:val="24"/>
          <w:lang w:val="en-GB"/>
        </w:rPr>
        <w:br w:type="page"/>
      </w:r>
    </w:p>
    <w:p w14:paraId="1B96F0B3" w14:textId="77777777" w:rsidR="0047217F" w:rsidRDefault="0047217F" w:rsidP="0047217F">
      <w:pPr>
        <w:spacing w:after="0" w:line="360" w:lineRule="auto"/>
        <w:jc w:val="both"/>
        <w:rPr>
          <w:rFonts w:cstheme="minorHAnsi"/>
          <w:sz w:val="24"/>
          <w:szCs w:val="24"/>
          <w:lang w:val="en-GB"/>
        </w:rPr>
        <w:sectPr w:rsidR="0047217F" w:rsidSect="00F11529">
          <w:footerReference w:type="default" r:id="rId19"/>
          <w:type w:val="continuous"/>
          <w:pgSz w:w="11906" w:h="16838"/>
          <w:pgMar w:top="1417" w:right="1417" w:bottom="1417" w:left="1417" w:header="708" w:footer="708" w:gutter="0"/>
          <w:cols w:space="708"/>
          <w:docGrid w:linePitch="360"/>
        </w:sectPr>
      </w:pPr>
    </w:p>
    <w:p w14:paraId="089CB9A7" w14:textId="77777777" w:rsidR="0047217F" w:rsidRPr="00431097" w:rsidRDefault="0047217F" w:rsidP="0047217F">
      <w:pPr>
        <w:spacing w:after="0" w:line="360" w:lineRule="auto"/>
        <w:jc w:val="both"/>
        <w:rPr>
          <w:rFonts w:cstheme="minorHAnsi"/>
          <w:b/>
          <w:sz w:val="24"/>
          <w:szCs w:val="24"/>
          <w:lang w:val="en-GB"/>
        </w:rPr>
      </w:pPr>
      <w:r w:rsidRPr="00A85D6E">
        <w:rPr>
          <w:rFonts w:cstheme="minorHAnsi"/>
          <w:b/>
          <w:sz w:val="24"/>
          <w:szCs w:val="24"/>
          <w:lang w:val="en-GB"/>
        </w:rPr>
        <w:lastRenderedPageBreak/>
        <w:t>Sup. Table A</w:t>
      </w:r>
      <w:r>
        <w:rPr>
          <w:rFonts w:cstheme="minorHAnsi"/>
          <w:b/>
          <w:sz w:val="24"/>
          <w:szCs w:val="24"/>
          <w:lang w:val="en-GB"/>
        </w:rPr>
        <w:t>.</w:t>
      </w:r>
      <w:r>
        <w:rPr>
          <w:rFonts w:cstheme="minorHAnsi"/>
          <w:sz w:val="24"/>
          <w:szCs w:val="24"/>
          <w:lang w:val="en-GB"/>
        </w:rPr>
        <w:t xml:space="preserve"> Literature review for the within-species variation of different shoot and root parameters of the L-egume model. n: number of genotypes or cultivars in the study; SD: standard deviation; CV: coefficient of variation</w:t>
      </w:r>
    </w:p>
    <w:p w14:paraId="7F8AFF1A" w14:textId="77777777" w:rsidR="0047217F" w:rsidRDefault="0047217F" w:rsidP="0047217F">
      <w:pPr>
        <w:spacing w:after="0" w:line="360" w:lineRule="auto"/>
        <w:jc w:val="both"/>
        <w:rPr>
          <w:rFonts w:cstheme="minorHAnsi"/>
          <w:sz w:val="24"/>
          <w:szCs w:val="24"/>
          <w:lang w:val="en-GB"/>
        </w:rPr>
      </w:pPr>
    </w:p>
    <w:p w14:paraId="12697492" w14:textId="77777777" w:rsidR="0047217F" w:rsidRDefault="0047217F" w:rsidP="0047217F">
      <w:pPr>
        <w:spacing w:after="0" w:line="360" w:lineRule="auto"/>
        <w:jc w:val="both"/>
        <w:rPr>
          <w:rFonts w:cstheme="minorHAnsi"/>
          <w:sz w:val="24"/>
          <w:szCs w:val="24"/>
          <w:lang w:val="en-GB"/>
        </w:rPr>
      </w:pPr>
    </w:p>
    <w:tbl>
      <w:tblPr>
        <w:tblW w:w="11340" w:type="dxa"/>
        <w:tblCellMar>
          <w:left w:w="70" w:type="dxa"/>
          <w:right w:w="70" w:type="dxa"/>
        </w:tblCellMar>
        <w:tblLook w:val="04A0" w:firstRow="1" w:lastRow="0" w:firstColumn="1" w:lastColumn="0" w:noHBand="0" w:noVBand="1"/>
      </w:tblPr>
      <w:tblGrid>
        <w:gridCol w:w="1134"/>
        <w:gridCol w:w="993"/>
        <w:gridCol w:w="2409"/>
        <w:gridCol w:w="1985"/>
        <w:gridCol w:w="425"/>
        <w:gridCol w:w="851"/>
        <w:gridCol w:w="708"/>
        <w:gridCol w:w="709"/>
        <w:gridCol w:w="2126"/>
      </w:tblGrid>
      <w:tr w:rsidR="0047217F" w:rsidRPr="008C11FE" w14:paraId="0E80A1C2" w14:textId="77777777" w:rsidTr="00D015A3">
        <w:trPr>
          <w:trHeight w:val="300"/>
        </w:trPr>
        <w:tc>
          <w:tcPr>
            <w:tcW w:w="1134" w:type="dxa"/>
            <w:tcBorders>
              <w:top w:val="single" w:sz="4" w:space="0" w:color="auto"/>
              <w:left w:val="nil"/>
              <w:bottom w:val="single" w:sz="4" w:space="0" w:color="auto"/>
              <w:right w:val="nil"/>
            </w:tcBorders>
            <w:shd w:val="clear" w:color="auto" w:fill="auto"/>
            <w:noWrap/>
            <w:vAlign w:val="bottom"/>
            <w:hideMark/>
          </w:tcPr>
          <w:p w14:paraId="72A9BCB5" w14:textId="77777777" w:rsidR="0047217F" w:rsidRPr="008C11FE" w:rsidRDefault="0047217F" w:rsidP="00D015A3">
            <w:pPr>
              <w:spacing w:after="0" w:line="240" w:lineRule="auto"/>
              <w:rPr>
                <w:rFonts w:ascii="Calibri" w:eastAsia="Times New Roman" w:hAnsi="Calibri" w:cs="Calibri"/>
                <w:b/>
                <w:bCs/>
                <w:color w:val="000000"/>
                <w:lang w:eastAsia="fr-FR"/>
              </w:rPr>
            </w:pPr>
            <w:r w:rsidRPr="008C11FE">
              <w:rPr>
                <w:rFonts w:ascii="Calibri" w:eastAsia="Times New Roman" w:hAnsi="Calibri" w:cs="Calibri"/>
                <w:b/>
                <w:bCs/>
                <w:color w:val="000000"/>
                <w:lang w:eastAsia="fr-FR"/>
              </w:rPr>
              <w:t>Parameter</w:t>
            </w:r>
          </w:p>
        </w:tc>
        <w:tc>
          <w:tcPr>
            <w:tcW w:w="993" w:type="dxa"/>
            <w:tcBorders>
              <w:top w:val="single" w:sz="4" w:space="0" w:color="auto"/>
              <w:left w:val="nil"/>
              <w:bottom w:val="single" w:sz="4" w:space="0" w:color="auto"/>
              <w:right w:val="nil"/>
            </w:tcBorders>
            <w:shd w:val="clear" w:color="auto" w:fill="auto"/>
            <w:noWrap/>
            <w:vAlign w:val="bottom"/>
            <w:hideMark/>
          </w:tcPr>
          <w:p w14:paraId="74B96A61" w14:textId="77777777" w:rsidR="0047217F" w:rsidRPr="008C11FE" w:rsidRDefault="0047217F" w:rsidP="00D015A3">
            <w:pPr>
              <w:spacing w:after="0" w:line="240" w:lineRule="auto"/>
              <w:rPr>
                <w:rFonts w:ascii="Calibri" w:eastAsia="Times New Roman" w:hAnsi="Calibri" w:cs="Calibri"/>
                <w:b/>
                <w:bCs/>
                <w:color w:val="000000"/>
                <w:lang w:eastAsia="fr-FR"/>
              </w:rPr>
            </w:pPr>
            <w:r w:rsidRPr="008C11FE">
              <w:rPr>
                <w:rFonts w:ascii="Calibri" w:eastAsia="Times New Roman" w:hAnsi="Calibri" w:cs="Calibri"/>
                <w:b/>
                <w:bCs/>
                <w:color w:val="000000"/>
                <w:lang w:eastAsia="fr-FR"/>
              </w:rPr>
              <w:t>Unit</w:t>
            </w:r>
          </w:p>
        </w:tc>
        <w:tc>
          <w:tcPr>
            <w:tcW w:w="2409" w:type="dxa"/>
            <w:tcBorders>
              <w:top w:val="single" w:sz="4" w:space="0" w:color="auto"/>
              <w:left w:val="nil"/>
              <w:bottom w:val="single" w:sz="4" w:space="0" w:color="auto"/>
              <w:right w:val="nil"/>
            </w:tcBorders>
            <w:shd w:val="clear" w:color="auto" w:fill="auto"/>
            <w:noWrap/>
            <w:vAlign w:val="bottom"/>
            <w:hideMark/>
          </w:tcPr>
          <w:p w14:paraId="08330A8C" w14:textId="77777777" w:rsidR="0047217F" w:rsidRPr="008C11FE" w:rsidRDefault="0047217F" w:rsidP="00D015A3">
            <w:pPr>
              <w:spacing w:after="0" w:line="240" w:lineRule="auto"/>
              <w:rPr>
                <w:rFonts w:ascii="Calibri" w:eastAsia="Times New Roman" w:hAnsi="Calibri" w:cs="Calibri"/>
                <w:b/>
                <w:bCs/>
                <w:color w:val="000000"/>
                <w:lang w:eastAsia="fr-FR"/>
              </w:rPr>
            </w:pPr>
            <w:r w:rsidRPr="008C11FE">
              <w:rPr>
                <w:rFonts w:ascii="Calibri" w:eastAsia="Times New Roman" w:hAnsi="Calibri" w:cs="Calibri"/>
                <w:b/>
                <w:bCs/>
                <w:color w:val="000000"/>
                <w:lang w:eastAsia="fr-FR"/>
              </w:rPr>
              <w:t>Description</w:t>
            </w:r>
          </w:p>
        </w:tc>
        <w:tc>
          <w:tcPr>
            <w:tcW w:w="1985" w:type="dxa"/>
            <w:tcBorders>
              <w:top w:val="single" w:sz="4" w:space="0" w:color="auto"/>
              <w:left w:val="nil"/>
              <w:bottom w:val="single" w:sz="4" w:space="0" w:color="auto"/>
              <w:right w:val="nil"/>
            </w:tcBorders>
            <w:shd w:val="clear" w:color="auto" w:fill="auto"/>
            <w:noWrap/>
            <w:vAlign w:val="bottom"/>
            <w:hideMark/>
          </w:tcPr>
          <w:p w14:paraId="2928415A" w14:textId="77777777" w:rsidR="0047217F" w:rsidRPr="008C11FE" w:rsidRDefault="0047217F" w:rsidP="00D015A3">
            <w:pPr>
              <w:spacing w:after="0" w:line="240" w:lineRule="auto"/>
              <w:rPr>
                <w:rFonts w:ascii="Calibri" w:eastAsia="Times New Roman" w:hAnsi="Calibri" w:cs="Calibri"/>
                <w:b/>
                <w:bCs/>
                <w:color w:val="000000"/>
                <w:lang w:eastAsia="fr-FR"/>
              </w:rPr>
            </w:pPr>
            <w:r w:rsidRPr="008C11FE">
              <w:rPr>
                <w:rFonts w:ascii="Calibri" w:eastAsia="Times New Roman" w:hAnsi="Calibri" w:cs="Calibri"/>
                <w:b/>
                <w:bCs/>
                <w:color w:val="000000"/>
                <w:lang w:eastAsia="fr-FR"/>
              </w:rPr>
              <w:t>Species</w:t>
            </w:r>
          </w:p>
        </w:tc>
        <w:tc>
          <w:tcPr>
            <w:tcW w:w="425" w:type="dxa"/>
            <w:tcBorders>
              <w:top w:val="single" w:sz="4" w:space="0" w:color="auto"/>
              <w:left w:val="nil"/>
              <w:bottom w:val="single" w:sz="4" w:space="0" w:color="auto"/>
              <w:right w:val="nil"/>
            </w:tcBorders>
            <w:shd w:val="clear" w:color="auto" w:fill="auto"/>
            <w:noWrap/>
            <w:vAlign w:val="bottom"/>
            <w:hideMark/>
          </w:tcPr>
          <w:p w14:paraId="085FDEC8" w14:textId="77777777" w:rsidR="0047217F" w:rsidRPr="008C11FE" w:rsidRDefault="0047217F" w:rsidP="00D015A3">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n</w:t>
            </w:r>
          </w:p>
        </w:tc>
        <w:tc>
          <w:tcPr>
            <w:tcW w:w="851" w:type="dxa"/>
            <w:tcBorders>
              <w:top w:val="single" w:sz="4" w:space="0" w:color="auto"/>
              <w:left w:val="nil"/>
              <w:bottom w:val="single" w:sz="4" w:space="0" w:color="auto"/>
              <w:right w:val="nil"/>
            </w:tcBorders>
            <w:shd w:val="clear" w:color="auto" w:fill="auto"/>
            <w:noWrap/>
            <w:vAlign w:val="bottom"/>
            <w:hideMark/>
          </w:tcPr>
          <w:p w14:paraId="60F26443" w14:textId="77777777" w:rsidR="0047217F" w:rsidRPr="008C11FE" w:rsidRDefault="0047217F" w:rsidP="00D015A3">
            <w:pPr>
              <w:spacing w:after="0" w:line="240" w:lineRule="auto"/>
              <w:jc w:val="center"/>
              <w:rPr>
                <w:rFonts w:ascii="Calibri" w:eastAsia="Times New Roman" w:hAnsi="Calibri" w:cs="Calibri"/>
                <w:b/>
                <w:bCs/>
                <w:color w:val="000000"/>
                <w:lang w:eastAsia="fr-FR"/>
              </w:rPr>
            </w:pPr>
            <w:r w:rsidRPr="008C11FE">
              <w:rPr>
                <w:rFonts w:ascii="Calibri" w:eastAsia="Times New Roman" w:hAnsi="Calibri" w:cs="Calibri"/>
                <w:b/>
                <w:bCs/>
                <w:color w:val="000000"/>
                <w:lang w:eastAsia="fr-FR"/>
              </w:rPr>
              <w:t>Mean</w:t>
            </w:r>
          </w:p>
        </w:tc>
        <w:tc>
          <w:tcPr>
            <w:tcW w:w="708" w:type="dxa"/>
            <w:tcBorders>
              <w:top w:val="single" w:sz="4" w:space="0" w:color="auto"/>
              <w:left w:val="nil"/>
              <w:bottom w:val="single" w:sz="4" w:space="0" w:color="auto"/>
              <w:right w:val="nil"/>
            </w:tcBorders>
            <w:shd w:val="clear" w:color="auto" w:fill="auto"/>
            <w:noWrap/>
            <w:vAlign w:val="bottom"/>
            <w:hideMark/>
          </w:tcPr>
          <w:p w14:paraId="4DFD54BA" w14:textId="77777777" w:rsidR="0047217F" w:rsidRPr="008C11FE" w:rsidRDefault="0047217F" w:rsidP="00D015A3">
            <w:pPr>
              <w:spacing w:after="0" w:line="240" w:lineRule="auto"/>
              <w:jc w:val="center"/>
              <w:rPr>
                <w:rFonts w:ascii="Calibri" w:eastAsia="Times New Roman" w:hAnsi="Calibri" w:cs="Calibri"/>
                <w:b/>
                <w:bCs/>
                <w:color w:val="000000"/>
                <w:lang w:eastAsia="fr-FR"/>
              </w:rPr>
            </w:pPr>
            <w:r w:rsidRPr="008C11FE">
              <w:rPr>
                <w:rFonts w:ascii="Calibri" w:eastAsia="Times New Roman" w:hAnsi="Calibri" w:cs="Calibri"/>
                <w:b/>
                <w:bCs/>
                <w:color w:val="000000"/>
                <w:lang w:eastAsia="fr-FR"/>
              </w:rPr>
              <w:t>SD</w:t>
            </w:r>
          </w:p>
        </w:tc>
        <w:tc>
          <w:tcPr>
            <w:tcW w:w="709" w:type="dxa"/>
            <w:tcBorders>
              <w:top w:val="single" w:sz="4" w:space="0" w:color="auto"/>
              <w:left w:val="nil"/>
              <w:bottom w:val="single" w:sz="4" w:space="0" w:color="auto"/>
              <w:right w:val="nil"/>
            </w:tcBorders>
            <w:shd w:val="clear" w:color="auto" w:fill="auto"/>
            <w:noWrap/>
            <w:vAlign w:val="bottom"/>
            <w:hideMark/>
          </w:tcPr>
          <w:p w14:paraId="0AA83D1D" w14:textId="77777777" w:rsidR="0047217F" w:rsidRPr="008C11FE" w:rsidRDefault="0047217F" w:rsidP="00D015A3">
            <w:pPr>
              <w:spacing w:after="0" w:line="240" w:lineRule="auto"/>
              <w:jc w:val="center"/>
              <w:rPr>
                <w:rFonts w:ascii="Calibri" w:eastAsia="Times New Roman" w:hAnsi="Calibri" w:cs="Calibri"/>
                <w:b/>
                <w:bCs/>
                <w:color w:val="000000"/>
                <w:lang w:eastAsia="fr-FR"/>
              </w:rPr>
            </w:pPr>
            <w:r w:rsidRPr="008C11FE">
              <w:rPr>
                <w:rFonts w:ascii="Calibri" w:eastAsia="Times New Roman" w:hAnsi="Calibri" w:cs="Calibri"/>
                <w:b/>
                <w:bCs/>
                <w:color w:val="000000"/>
                <w:lang w:eastAsia="fr-FR"/>
              </w:rPr>
              <w:t>CV</w:t>
            </w:r>
          </w:p>
        </w:tc>
        <w:tc>
          <w:tcPr>
            <w:tcW w:w="2126" w:type="dxa"/>
            <w:tcBorders>
              <w:top w:val="single" w:sz="4" w:space="0" w:color="auto"/>
              <w:left w:val="nil"/>
              <w:bottom w:val="single" w:sz="4" w:space="0" w:color="auto"/>
              <w:right w:val="nil"/>
            </w:tcBorders>
            <w:shd w:val="clear" w:color="auto" w:fill="auto"/>
            <w:noWrap/>
            <w:vAlign w:val="bottom"/>
            <w:hideMark/>
          </w:tcPr>
          <w:p w14:paraId="733D3755" w14:textId="77777777" w:rsidR="0047217F" w:rsidRPr="008C11FE" w:rsidRDefault="0047217F" w:rsidP="00D015A3">
            <w:pPr>
              <w:spacing w:after="0" w:line="240" w:lineRule="auto"/>
              <w:rPr>
                <w:rFonts w:ascii="Calibri" w:eastAsia="Times New Roman" w:hAnsi="Calibri" w:cs="Calibri"/>
                <w:b/>
                <w:bCs/>
                <w:color w:val="000000"/>
                <w:lang w:eastAsia="fr-FR"/>
              </w:rPr>
            </w:pPr>
            <w:r w:rsidRPr="008C11FE">
              <w:rPr>
                <w:rFonts w:ascii="Calibri" w:eastAsia="Times New Roman" w:hAnsi="Calibri" w:cs="Calibri"/>
                <w:b/>
                <w:bCs/>
                <w:color w:val="000000"/>
                <w:lang w:eastAsia="fr-FR"/>
              </w:rPr>
              <w:t>Reference</w:t>
            </w:r>
          </w:p>
        </w:tc>
      </w:tr>
      <w:tr w:rsidR="0047217F" w:rsidRPr="008C11FE" w14:paraId="608570E8" w14:textId="77777777" w:rsidTr="00D015A3">
        <w:trPr>
          <w:trHeight w:val="300"/>
        </w:trPr>
        <w:tc>
          <w:tcPr>
            <w:tcW w:w="1134" w:type="dxa"/>
            <w:tcBorders>
              <w:top w:val="nil"/>
              <w:left w:val="nil"/>
              <w:bottom w:val="nil"/>
              <w:right w:val="nil"/>
            </w:tcBorders>
            <w:shd w:val="clear" w:color="auto" w:fill="auto"/>
            <w:noWrap/>
            <w:vAlign w:val="bottom"/>
            <w:hideMark/>
          </w:tcPr>
          <w:p w14:paraId="77CA35E9"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Phyllo1</w:t>
            </w:r>
          </w:p>
        </w:tc>
        <w:tc>
          <w:tcPr>
            <w:tcW w:w="993" w:type="dxa"/>
            <w:tcBorders>
              <w:top w:val="nil"/>
              <w:left w:val="nil"/>
              <w:bottom w:val="nil"/>
              <w:right w:val="nil"/>
            </w:tcBorders>
            <w:shd w:val="clear" w:color="auto" w:fill="auto"/>
            <w:noWrap/>
            <w:vAlign w:val="bottom"/>
            <w:hideMark/>
          </w:tcPr>
          <w:p w14:paraId="238332D1"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°Cd</w:t>
            </w:r>
          </w:p>
        </w:tc>
        <w:tc>
          <w:tcPr>
            <w:tcW w:w="2409" w:type="dxa"/>
            <w:tcBorders>
              <w:top w:val="nil"/>
              <w:left w:val="nil"/>
              <w:bottom w:val="nil"/>
              <w:right w:val="nil"/>
            </w:tcBorders>
            <w:shd w:val="clear" w:color="auto" w:fill="auto"/>
            <w:noWrap/>
            <w:vAlign w:val="bottom"/>
            <w:hideMark/>
          </w:tcPr>
          <w:p w14:paraId="7B414979" w14:textId="77777777" w:rsidR="0047217F" w:rsidRPr="003543AB" w:rsidRDefault="0047217F" w:rsidP="00D015A3">
            <w:pPr>
              <w:spacing w:after="0" w:line="240" w:lineRule="auto"/>
              <w:rPr>
                <w:rFonts w:ascii="Calibri" w:eastAsia="Times New Roman" w:hAnsi="Calibri" w:cs="Calibri"/>
                <w:color w:val="000000"/>
                <w:sz w:val="20"/>
                <w:szCs w:val="20"/>
                <w:lang w:val="en-GB" w:eastAsia="fr-FR"/>
              </w:rPr>
            </w:pPr>
            <w:r w:rsidRPr="003543AB">
              <w:rPr>
                <w:rFonts w:ascii="Calibri" w:eastAsia="Times New Roman" w:hAnsi="Calibri" w:cs="Calibri"/>
                <w:color w:val="000000"/>
                <w:sz w:val="20"/>
                <w:szCs w:val="20"/>
                <w:lang w:val="en-GB" w:eastAsia="fr-FR"/>
              </w:rPr>
              <w:t xml:space="preserve">Phyllochron on main shoot </w:t>
            </w:r>
          </w:p>
        </w:tc>
        <w:tc>
          <w:tcPr>
            <w:tcW w:w="1985" w:type="dxa"/>
            <w:tcBorders>
              <w:top w:val="nil"/>
              <w:left w:val="nil"/>
              <w:bottom w:val="nil"/>
              <w:right w:val="nil"/>
            </w:tcBorders>
            <w:shd w:val="clear" w:color="auto" w:fill="auto"/>
            <w:noWrap/>
            <w:vAlign w:val="bottom"/>
            <w:hideMark/>
          </w:tcPr>
          <w:p w14:paraId="12ACA716"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Medicago sativa</w:t>
            </w:r>
          </w:p>
        </w:tc>
        <w:tc>
          <w:tcPr>
            <w:tcW w:w="425" w:type="dxa"/>
            <w:tcBorders>
              <w:top w:val="nil"/>
              <w:left w:val="nil"/>
              <w:bottom w:val="nil"/>
              <w:right w:val="nil"/>
            </w:tcBorders>
            <w:shd w:val="clear" w:color="auto" w:fill="auto"/>
            <w:noWrap/>
            <w:vAlign w:val="bottom"/>
            <w:hideMark/>
          </w:tcPr>
          <w:p w14:paraId="0492C1D9"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5</w:t>
            </w:r>
          </w:p>
        </w:tc>
        <w:tc>
          <w:tcPr>
            <w:tcW w:w="851" w:type="dxa"/>
            <w:tcBorders>
              <w:top w:val="nil"/>
              <w:left w:val="nil"/>
              <w:bottom w:val="nil"/>
              <w:right w:val="nil"/>
            </w:tcBorders>
            <w:shd w:val="clear" w:color="auto" w:fill="auto"/>
            <w:noWrap/>
            <w:vAlign w:val="bottom"/>
            <w:hideMark/>
          </w:tcPr>
          <w:p w14:paraId="0D2366EB"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38.5</w:t>
            </w:r>
          </w:p>
        </w:tc>
        <w:tc>
          <w:tcPr>
            <w:tcW w:w="708" w:type="dxa"/>
            <w:tcBorders>
              <w:top w:val="nil"/>
              <w:left w:val="nil"/>
              <w:bottom w:val="nil"/>
              <w:right w:val="nil"/>
            </w:tcBorders>
            <w:shd w:val="clear" w:color="auto" w:fill="auto"/>
            <w:noWrap/>
            <w:vAlign w:val="bottom"/>
            <w:hideMark/>
          </w:tcPr>
          <w:p w14:paraId="22300AFB"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3.5</w:t>
            </w:r>
          </w:p>
        </w:tc>
        <w:tc>
          <w:tcPr>
            <w:tcW w:w="709" w:type="dxa"/>
            <w:tcBorders>
              <w:top w:val="nil"/>
              <w:left w:val="nil"/>
              <w:bottom w:val="nil"/>
              <w:right w:val="nil"/>
            </w:tcBorders>
            <w:shd w:val="clear" w:color="auto" w:fill="auto"/>
            <w:noWrap/>
            <w:vAlign w:val="bottom"/>
            <w:hideMark/>
          </w:tcPr>
          <w:p w14:paraId="28220F35"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0.09</w:t>
            </w:r>
          </w:p>
        </w:tc>
        <w:tc>
          <w:tcPr>
            <w:tcW w:w="2126" w:type="dxa"/>
            <w:tcBorders>
              <w:top w:val="nil"/>
              <w:left w:val="nil"/>
              <w:bottom w:val="nil"/>
              <w:right w:val="nil"/>
            </w:tcBorders>
            <w:shd w:val="clear" w:color="auto" w:fill="auto"/>
            <w:noWrap/>
            <w:vAlign w:val="bottom"/>
            <w:hideMark/>
          </w:tcPr>
          <w:p w14:paraId="3DAE3DCB"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Zaka et al., 2017</w:t>
            </w:r>
          </w:p>
        </w:tc>
      </w:tr>
      <w:tr w:rsidR="0047217F" w:rsidRPr="008C11FE" w14:paraId="38B28FB5" w14:textId="77777777" w:rsidTr="00D015A3">
        <w:trPr>
          <w:trHeight w:val="300"/>
        </w:trPr>
        <w:tc>
          <w:tcPr>
            <w:tcW w:w="1134" w:type="dxa"/>
            <w:tcBorders>
              <w:top w:val="nil"/>
              <w:left w:val="nil"/>
              <w:bottom w:val="nil"/>
              <w:right w:val="nil"/>
            </w:tcBorders>
            <w:shd w:val="clear" w:color="auto" w:fill="auto"/>
            <w:noWrap/>
            <w:vAlign w:val="bottom"/>
            <w:hideMark/>
          </w:tcPr>
          <w:p w14:paraId="7A495E27"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6BADF141"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0B0D4AD2"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r w:rsidRPr="003543AB">
              <w:rPr>
                <w:rFonts w:ascii="Calibri" w:eastAsia="Times New Roman" w:hAnsi="Calibri" w:cs="Calibri"/>
                <w:color w:val="000000"/>
                <w:sz w:val="20"/>
                <w:szCs w:val="20"/>
                <w:lang w:val="en-GB" w:eastAsia="fr-FR"/>
              </w:rPr>
              <w:t>axis</w:t>
            </w:r>
          </w:p>
        </w:tc>
        <w:tc>
          <w:tcPr>
            <w:tcW w:w="1985" w:type="dxa"/>
            <w:tcBorders>
              <w:top w:val="nil"/>
              <w:left w:val="nil"/>
              <w:bottom w:val="nil"/>
              <w:right w:val="nil"/>
            </w:tcBorders>
            <w:shd w:val="clear" w:color="auto" w:fill="auto"/>
            <w:noWrap/>
            <w:vAlign w:val="bottom"/>
            <w:hideMark/>
          </w:tcPr>
          <w:p w14:paraId="17FC05AD"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Medicago sativa</w:t>
            </w:r>
          </w:p>
        </w:tc>
        <w:tc>
          <w:tcPr>
            <w:tcW w:w="425" w:type="dxa"/>
            <w:tcBorders>
              <w:top w:val="nil"/>
              <w:left w:val="nil"/>
              <w:bottom w:val="nil"/>
              <w:right w:val="nil"/>
            </w:tcBorders>
            <w:shd w:val="clear" w:color="auto" w:fill="auto"/>
            <w:noWrap/>
            <w:vAlign w:val="bottom"/>
            <w:hideMark/>
          </w:tcPr>
          <w:p w14:paraId="3A7277D8"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5</w:t>
            </w:r>
          </w:p>
        </w:tc>
        <w:tc>
          <w:tcPr>
            <w:tcW w:w="851" w:type="dxa"/>
            <w:tcBorders>
              <w:top w:val="nil"/>
              <w:left w:val="nil"/>
              <w:bottom w:val="nil"/>
              <w:right w:val="nil"/>
            </w:tcBorders>
            <w:shd w:val="clear" w:color="auto" w:fill="auto"/>
            <w:noWrap/>
            <w:vAlign w:val="bottom"/>
            <w:hideMark/>
          </w:tcPr>
          <w:p w14:paraId="546C6392"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35.8</w:t>
            </w:r>
          </w:p>
        </w:tc>
        <w:tc>
          <w:tcPr>
            <w:tcW w:w="708" w:type="dxa"/>
            <w:tcBorders>
              <w:top w:val="nil"/>
              <w:left w:val="nil"/>
              <w:bottom w:val="nil"/>
              <w:right w:val="nil"/>
            </w:tcBorders>
            <w:shd w:val="clear" w:color="auto" w:fill="auto"/>
            <w:noWrap/>
            <w:vAlign w:val="bottom"/>
            <w:hideMark/>
          </w:tcPr>
          <w:p w14:paraId="5D34CA87"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2.04</w:t>
            </w:r>
          </w:p>
        </w:tc>
        <w:tc>
          <w:tcPr>
            <w:tcW w:w="709" w:type="dxa"/>
            <w:tcBorders>
              <w:top w:val="nil"/>
              <w:left w:val="nil"/>
              <w:bottom w:val="nil"/>
              <w:right w:val="nil"/>
            </w:tcBorders>
            <w:shd w:val="clear" w:color="auto" w:fill="auto"/>
            <w:noWrap/>
            <w:vAlign w:val="bottom"/>
            <w:hideMark/>
          </w:tcPr>
          <w:p w14:paraId="4D4A8BDD"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0.06</w:t>
            </w:r>
          </w:p>
        </w:tc>
        <w:tc>
          <w:tcPr>
            <w:tcW w:w="2126" w:type="dxa"/>
            <w:tcBorders>
              <w:top w:val="nil"/>
              <w:left w:val="nil"/>
              <w:bottom w:val="nil"/>
              <w:right w:val="nil"/>
            </w:tcBorders>
            <w:shd w:val="clear" w:color="auto" w:fill="auto"/>
            <w:noWrap/>
            <w:vAlign w:val="bottom"/>
            <w:hideMark/>
          </w:tcPr>
          <w:p w14:paraId="3FE46990"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Gentelet, 2021</w:t>
            </w:r>
          </w:p>
        </w:tc>
      </w:tr>
      <w:tr w:rsidR="0047217F" w:rsidRPr="008C11FE" w14:paraId="130D6FC5" w14:textId="77777777" w:rsidTr="00D015A3">
        <w:trPr>
          <w:trHeight w:val="300"/>
        </w:trPr>
        <w:tc>
          <w:tcPr>
            <w:tcW w:w="1134" w:type="dxa"/>
            <w:tcBorders>
              <w:top w:val="nil"/>
              <w:left w:val="nil"/>
              <w:bottom w:val="nil"/>
              <w:right w:val="nil"/>
            </w:tcBorders>
            <w:shd w:val="clear" w:color="auto" w:fill="auto"/>
            <w:noWrap/>
            <w:vAlign w:val="bottom"/>
            <w:hideMark/>
          </w:tcPr>
          <w:p w14:paraId="353FD6CA"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6D1FDA86"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7A0F2A08"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32CC6FB7"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Festuca arundinacea</w:t>
            </w:r>
          </w:p>
        </w:tc>
        <w:tc>
          <w:tcPr>
            <w:tcW w:w="425" w:type="dxa"/>
            <w:tcBorders>
              <w:top w:val="nil"/>
              <w:left w:val="nil"/>
              <w:bottom w:val="nil"/>
              <w:right w:val="nil"/>
            </w:tcBorders>
            <w:shd w:val="clear" w:color="auto" w:fill="auto"/>
            <w:noWrap/>
            <w:vAlign w:val="bottom"/>
            <w:hideMark/>
          </w:tcPr>
          <w:p w14:paraId="67E68E3A"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5</w:t>
            </w:r>
          </w:p>
        </w:tc>
        <w:tc>
          <w:tcPr>
            <w:tcW w:w="851" w:type="dxa"/>
            <w:tcBorders>
              <w:top w:val="nil"/>
              <w:left w:val="nil"/>
              <w:bottom w:val="nil"/>
              <w:right w:val="nil"/>
            </w:tcBorders>
            <w:shd w:val="clear" w:color="auto" w:fill="auto"/>
            <w:noWrap/>
            <w:vAlign w:val="bottom"/>
            <w:hideMark/>
          </w:tcPr>
          <w:p w14:paraId="12EB439B"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52.6</w:t>
            </w:r>
          </w:p>
        </w:tc>
        <w:tc>
          <w:tcPr>
            <w:tcW w:w="708" w:type="dxa"/>
            <w:tcBorders>
              <w:top w:val="nil"/>
              <w:left w:val="nil"/>
              <w:bottom w:val="nil"/>
              <w:right w:val="nil"/>
            </w:tcBorders>
            <w:shd w:val="clear" w:color="auto" w:fill="auto"/>
            <w:noWrap/>
            <w:vAlign w:val="bottom"/>
            <w:hideMark/>
          </w:tcPr>
          <w:p w14:paraId="668D4070"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3.125</w:t>
            </w:r>
          </w:p>
        </w:tc>
        <w:tc>
          <w:tcPr>
            <w:tcW w:w="709" w:type="dxa"/>
            <w:tcBorders>
              <w:top w:val="nil"/>
              <w:left w:val="nil"/>
              <w:bottom w:val="nil"/>
              <w:right w:val="nil"/>
            </w:tcBorders>
            <w:shd w:val="clear" w:color="auto" w:fill="auto"/>
            <w:noWrap/>
            <w:vAlign w:val="bottom"/>
            <w:hideMark/>
          </w:tcPr>
          <w:p w14:paraId="53EDEC31"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0.06</w:t>
            </w:r>
          </w:p>
        </w:tc>
        <w:tc>
          <w:tcPr>
            <w:tcW w:w="2126" w:type="dxa"/>
            <w:tcBorders>
              <w:top w:val="nil"/>
              <w:left w:val="nil"/>
              <w:bottom w:val="nil"/>
              <w:right w:val="nil"/>
            </w:tcBorders>
            <w:shd w:val="clear" w:color="auto" w:fill="auto"/>
            <w:noWrap/>
            <w:vAlign w:val="bottom"/>
            <w:hideMark/>
          </w:tcPr>
          <w:p w14:paraId="698AF608"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Zaka et al., 2017</w:t>
            </w:r>
          </w:p>
        </w:tc>
      </w:tr>
      <w:tr w:rsidR="0047217F" w:rsidRPr="008C11FE" w14:paraId="606B8604" w14:textId="77777777" w:rsidTr="00D015A3">
        <w:trPr>
          <w:trHeight w:val="300"/>
        </w:trPr>
        <w:tc>
          <w:tcPr>
            <w:tcW w:w="1134" w:type="dxa"/>
            <w:tcBorders>
              <w:top w:val="nil"/>
              <w:left w:val="nil"/>
              <w:bottom w:val="nil"/>
              <w:right w:val="nil"/>
            </w:tcBorders>
            <w:shd w:val="clear" w:color="auto" w:fill="auto"/>
            <w:noWrap/>
            <w:vAlign w:val="bottom"/>
            <w:hideMark/>
          </w:tcPr>
          <w:p w14:paraId="05858A66"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6F1B1683"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7D3B86EA"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6FB3AB6D"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Sorghum bicolor</w:t>
            </w:r>
          </w:p>
        </w:tc>
        <w:tc>
          <w:tcPr>
            <w:tcW w:w="425" w:type="dxa"/>
            <w:tcBorders>
              <w:top w:val="nil"/>
              <w:left w:val="nil"/>
              <w:bottom w:val="nil"/>
              <w:right w:val="nil"/>
            </w:tcBorders>
            <w:shd w:val="clear" w:color="auto" w:fill="auto"/>
            <w:noWrap/>
            <w:vAlign w:val="bottom"/>
            <w:hideMark/>
          </w:tcPr>
          <w:p w14:paraId="5AC46E81"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9</w:t>
            </w:r>
          </w:p>
        </w:tc>
        <w:tc>
          <w:tcPr>
            <w:tcW w:w="851" w:type="dxa"/>
            <w:tcBorders>
              <w:top w:val="nil"/>
              <w:left w:val="nil"/>
              <w:bottom w:val="nil"/>
              <w:right w:val="nil"/>
            </w:tcBorders>
            <w:shd w:val="clear" w:color="auto" w:fill="auto"/>
            <w:noWrap/>
            <w:vAlign w:val="bottom"/>
            <w:hideMark/>
          </w:tcPr>
          <w:p w14:paraId="3CD03915"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60.5</w:t>
            </w:r>
          </w:p>
        </w:tc>
        <w:tc>
          <w:tcPr>
            <w:tcW w:w="708" w:type="dxa"/>
            <w:tcBorders>
              <w:top w:val="nil"/>
              <w:left w:val="nil"/>
              <w:bottom w:val="nil"/>
              <w:right w:val="nil"/>
            </w:tcBorders>
            <w:shd w:val="clear" w:color="auto" w:fill="auto"/>
            <w:noWrap/>
            <w:vAlign w:val="bottom"/>
            <w:hideMark/>
          </w:tcPr>
          <w:p w14:paraId="1B2ABBE3"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5.75</w:t>
            </w:r>
          </w:p>
        </w:tc>
        <w:tc>
          <w:tcPr>
            <w:tcW w:w="709" w:type="dxa"/>
            <w:tcBorders>
              <w:top w:val="nil"/>
              <w:left w:val="nil"/>
              <w:bottom w:val="nil"/>
              <w:right w:val="nil"/>
            </w:tcBorders>
            <w:shd w:val="clear" w:color="auto" w:fill="auto"/>
            <w:noWrap/>
            <w:vAlign w:val="bottom"/>
            <w:hideMark/>
          </w:tcPr>
          <w:p w14:paraId="5176C476"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0.10</w:t>
            </w:r>
          </w:p>
        </w:tc>
        <w:tc>
          <w:tcPr>
            <w:tcW w:w="2126" w:type="dxa"/>
            <w:tcBorders>
              <w:top w:val="nil"/>
              <w:left w:val="nil"/>
              <w:bottom w:val="nil"/>
              <w:right w:val="nil"/>
            </w:tcBorders>
            <w:shd w:val="clear" w:color="auto" w:fill="auto"/>
            <w:noWrap/>
            <w:vAlign w:val="bottom"/>
            <w:hideMark/>
          </w:tcPr>
          <w:p w14:paraId="545BCA44"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Craufurd et al., 1998</w:t>
            </w:r>
          </w:p>
        </w:tc>
      </w:tr>
      <w:tr w:rsidR="0047217F" w:rsidRPr="008C11FE" w14:paraId="3C4522AF" w14:textId="77777777" w:rsidTr="00D015A3">
        <w:trPr>
          <w:trHeight w:val="300"/>
        </w:trPr>
        <w:tc>
          <w:tcPr>
            <w:tcW w:w="1134" w:type="dxa"/>
            <w:tcBorders>
              <w:top w:val="nil"/>
              <w:left w:val="nil"/>
              <w:bottom w:val="single" w:sz="4" w:space="0" w:color="auto"/>
              <w:right w:val="nil"/>
            </w:tcBorders>
            <w:shd w:val="clear" w:color="auto" w:fill="auto"/>
            <w:noWrap/>
            <w:vAlign w:val="bottom"/>
            <w:hideMark/>
          </w:tcPr>
          <w:p w14:paraId="18013633"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 </w:t>
            </w:r>
          </w:p>
        </w:tc>
        <w:tc>
          <w:tcPr>
            <w:tcW w:w="993" w:type="dxa"/>
            <w:tcBorders>
              <w:top w:val="nil"/>
              <w:left w:val="nil"/>
              <w:bottom w:val="single" w:sz="4" w:space="0" w:color="auto"/>
              <w:right w:val="nil"/>
            </w:tcBorders>
            <w:shd w:val="clear" w:color="auto" w:fill="auto"/>
            <w:noWrap/>
            <w:vAlign w:val="bottom"/>
            <w:hideMark/>
          </w:tcPr>
          <w:p w14:paraId="018907D7"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409" w:type="dxa"/>
            <w:tcBorders>
              <w:top w:val="nil"/>
              <w:left w:val="nil"/>
              <w:bottom w:val="single" w:sz="4" w:space="0" w:color="auto"/>
              <w:right w:val="nil"/>
            </w:tcBorders>
            <w:shd w:val="clear" w:color="auto" w:fill="auto"/>
            <w:noWrap/>
            <w:vAlign w:val="bottom"/>
            <w:hideMark/>
          </w:tcPr>
          <w:p w14:paraId="00FE7742"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1985" w:type="dxa"/>
            <w:tcBorders>
              <w:top w:val="nil"/>
              <w:left w:val="nil"/>
              <w:bottom w:val="single" w:sz="4" w:space="0" w:color="auto"/>
              <w:right w:val="nil"/>
            </w:tcBorders>
            <w:shd w:val="clear" w:color="auto" w:fill="auto"/>
            <w:noWrap/>
            <w:vAlign w:val="bottom"/>
            <w:hideMark/>
          </w:tcPr>
          <w:p w14:paraId="3D31E2A3"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 </w:t>
            </w:r>
          </w:p>
        </w:tc>
        <w:tc>
          <w:tcPr>
            <w:tcW w:w="425" w:type="dxa"/>
            <w:tcBorders>
              <w:top w:val="nil"/>
              <w:left w:val="nil"/>
              <w:bottom w:val="single" w:sz="4" w:space="0" w:color="auto"/>
              <w:right w:val="nil"/>
            </w:tcBorders>
            <w:shd w:val="clear" w:color="auto" w:fill="auto"/>
            <w:noWrap/>
            <w:vAlign w:val="bottom"/>
            <w:hideMark/>
          </w:tcPr>
          <w:p w14:paraId="3DD06D61"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851" w:type="dxa"/>
            <w:tcBorders>
              <w:top w:val="nil"/>
              <w:left w:val="nil"/>
              <w:bottom w:val="single" w:sz="4" w:space="0" w:color="auto"/>
              <w:right w:val="nil"/>
            </w:tcBorders>
            <w:shd w:val="clear" w:color="auto" w:fill="auto"/>
            <w:noWrap/>
            <w:vAlign w:val="bottom"/>
            <w:hideMark/>
          </w:tcPr>
          <w:p w14:paraId="0000EB86"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8" w:type="dxa"/>
            <w:tcBorders>
              <w:top w:val="nil"/>
              <w:left w:val="nil"/>
              <w:bottom w:val="single" w:sz="4" w:space="0" w:color="auto"/>
              <w:right w:val="nil"/>
            </w:tcBorders>
            <w:shd w:val="clear" w:color="auto" w:fill="auto"/>
            <w:noWrap/>
            <w:vAlign w:val="bottom"/>
            <w:hideMark/>
          </w:tcPr>
          <w:p w14:paraId="3E581985"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9" w:type="dxa"/>
            <w:tcBorders>
              <w:top w:val="nil"/>
              <w:left w:val="nil"/>
              <w:bottom w:val="single" w:sz="4" w:space="0" w:color="auto"/>
              <w:right w:val="nil"/>
            </w:tcBorders>
            <w:shd w:val="clear" w:color="auto" w:fill="auto"/>
            <w:noWrap/>
            <w:vAlign w:val="bottom"/>
            <w:hideMark/>
          </w:tcPr>
          <w:p w14:paraId="54D7D2BE"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126" w:type="dxa"/>
            <w:tcBorders>
              <w:top w:val="nil"/>
              <w:left w:val="nil"/>
              <w:bottom w:val="single" w:sz="4" w:space="0" w:color="auto"/>
              <w:right w:val="nil"/>
            </w:tcBorders>
            <w:shd w:val="clear" w:color="auto" w:fill="auto"/>
            <w:noWrap/>
            <w:vAlign w:val="bottom"/>
            <w:hideMark/>
          </w:tcPr>
          <w:p w14:paraId="76BC98F7"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r>
      <w:tr w:rsidR="0047217F" w:rsidRPr="008C11FE" w14:paraId="6408EAE6" w14:textId="77777777" w:rsidTr="00D015A3">
        <w:trPr>
          <w:trHeight w:val="300"/>
        </w:trPr>
        <w:tc>
          <w:tcPr>
            <w:tcW w:w="1134" w:type="dxa"/>
            <w:tcBorders>
              <w:top w:val="nil"/>
              <w:left w:val="nil"/>
              <w:bottom w:val="nil"/>
              <w:right w:val="nil"/>
            </w:tcBorders>
            <w:shd w:val="clear" w:color="auto" w:fill="auto"/>
            <w:noWrap/>
            <w:vAlign w:val="bottom"/>
            <w:hideMark/>
          </w:tcPr>
          <w:p w14:paraId="43505D3B"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LmaxLf</w:t>
            </w:r>
          </w:p>
        </w:tc>
        <w:tc>
          <w:tcPr>
            <w:tcW w:w="993" w:type="dxa"/>
            <w:tcBorders>
              <w:top w:val="nil"/>
              <w:left w:val="nil"/>
              <w:bottom w:val="nil"/>
              <w:right w:val="nil"/>
            </w:tcBorders>
            <w:shd w:val="clear" w:color="auto" w:fill="auto"/>
            <w:noWrap/>
            <w:vAlign w:val="bottom"/>
            <w:hideMark/>
          </w:tcPr>
          <w:p w14:paraId="7D15691C"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cm</w:t>
            </w:r>
          </w:p>
        </w:tc>
        <w:tc>
          <w:tcPr>
            <w:tcW w:w="2409" w:type="dxa"/>
            <w:tcBorders>
              <w:top w:val="nil"/>
              <w:left w:val="nil"/>
              <w:bottom w:val="nil"/>
              <w:right w:val="nil"/>
            </w:tcBorders>
            <w:shd w:val="clear" w:color="auto" w:fill="auto"/>
            <w:noWrap/>
            <w:vAlign w:val="bottom"/>
            <w:hideMark/>
          </w:tcPr>
          <w:p w14:paraId="396E5EB8"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Maximal leaf length</w:t>
            </w:r>
          </w:p>
        </w:tc>
        <w:tc>
          <w:tcPr>
            <w:tcW w:w="1985" w:type="dxa"/>
            <w:tcBorders>
              <w:top w:val="nil"/>
              <w:left w:val="nil"/>
              <w:bottom w:val="nil"/>
              <w:right w:val="nil"/>
            </w:tcBorders>
            <w:shd w:val="clear" w:color="auto" w:fill="auto"/>
            <w:noWrap/>
            <w:vAlign w:val="bottom"/>
            <w:hideMark/>
          </w:tcPr>
          <w:p w14:paraId="5A3482F2"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Medicago sativa</w:t>
            </w:r>
          </w:p>
        </w:tc>
        <w:tc>
          <w:tcPr>
            <w:tcW w:w="425" w:type="dxa"/>
            <w:tcBorders>
              <w:top w:val="nil"/>
              <w:left w:val="nil"/>
              <w:bottom w:val="nil"/>
              <w:right w:val="nil"/>
            </w:tcBorders>
            <w:shd w:val="clear" w:color="auto" w:fill="auto"/>
            <w:noWrap/>
            <w:vAlign w:val="bottom"/>
            <w:hideMark/>
          </w:tcPr>
          <w:p w14:paraId="2B907068"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5</w:t>
            </w:r>
          </w:p>
        </w:tc>
        <w:tc>
          <w:tcPr>
            <w:tcW w:w="851" w:type="dxa"/>
            <w:tcBorders>
              <w:top w:val="nil"/>
              <w:left w:val="nil"/>
              <w:bottom w:val="nil"/>
              <w:right w:val="nil"/>
            </w:tcBorders>
            <w:shd w:val="clear" w:color="auto" w:fill="auto"/>
            <w:noWrap/>
            <w:vAlign w:val="bottom"/>
            <w:hideMark/>
          </w:tcPr>
          <w:p w14:paraId="5F350E3C"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3.75</w:t>
            </w:r>
          </w:p>
        </w:tc>
        <w:tc>
          <w:tcPr>
            <w:tcW w:w="708" w:type="dxa"/>
            <w:tcBorders>
              <w:top w:val="nil"/>
              <w:left w:val="nil"/>
              <w:bottom w:val="nil"/>
              <w:right w:val="nil"/>
            </w:tcBorders>
            <w:shd w:val="clear" w:color="auto" w:fill="auto"/>
            <w:noWrap/>
            <w:vAlign w:val="bottom"/>
            <w:hideMark/>
          </w:tcPr>
          <w:p w14:paraId="11700671"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0.45</w:t>
            </w:r>
          </w:p>
        </w:tc>
        <w:tc>
          <w:tcPr>
            <w:tcW w:w="709" w:type="dxa"/>
            <w:tcBorders>
              <w:top w:val="nil"/>
              <w:left w:val="nil"/>
              <w:bottom w:val="nil"/>
              <w:right w:val="nil"/>
            </w:tcBorders>
            <w:shd w:val="clear" w:color="auto" w:fill="auto"/>
            <w:noWrap/>
            <w:vAlign w:val="bottom"/>
            <w:hideMark/>
          </w:tcPr>
          <w:p w14:paraId="11B3CD15"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0.12</w:t>
            </w:r>
          </w:p>
        </w:tc>
        <w:tc>
          <w:tcPr>
            <w:tcW w:w="2126" w:type="dxa"/>
            <w:tcBorders>
              <w:top w:val="nil"/>
              <w:left w:val="nil"/>
              <w:bottom w:val="nil"/>
              <w:right w:val="nil"/>
            </w:tcBorders>
            <w:shd w:val="clear" w:color="auto" w:fill="auto"/>
            <w:noWrap/>
            <w:vAlign w:val="bottom"/>
            <w:hideMark/>
          </w:tcPr>
          <w:p w14:paraId="39CF62AA"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Zaka et al., 2017</w:t>
            </w:r>
          </w:p>
        </w:tc>
      </w:tr>
      <w:tr w:rsidR="0047217F" w:rsidRPr="008C11FE" w14:paraId="4C74755E" w14:textId="77777777" w:rsidTr="00D015A3">
        <w:trPr>
          <w:trHeight w:val="300"/>
        </w:trPr>
        <w:tc>
          <w:tcPr>
            <w:tcW w:w="1134" w:type="dxa"/>
            <w:tcBorders>
              <w:top w:val="nil"/>
              <w:left w:val="nil"/>
              <w:bottom w:val="nil"/>
              <w:right w:val="nil"/>
            </w:tcBorders>
            <w:shd w:val="clear" w:color="auto" w:fill="auto"/>
            <w:noWrap/>
            <w:vAlign w:val="bottom"/>
            <w:hideMark/>
          </w:tcPr>
          <w:p w14:paraId="45285CE9"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38812AF1"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4E59204A"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4C388E53"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Medicago sativa</w:t>
            </w:r>
          </w:p>
        </w:tc>
        <w:tc>
          <w:tcPr>
            <w:tcW w:w="425" w:type="dxa"/>
            <w:tcBorders>
              <w:top w:val="nil"/>
              <w:left w:val="nil"/>
              <w:bottom w:val="nil"/>
              <w:right w:val="nil"/>
            </w:tcBorders>
            <w:shd w:val="clear" w:color="auto" w:fill="auto"/>
            <w:noWrap/>
            <w:vAlign w:val="bottom"/>
            <w:hideMark/>
          </w:tcPr>
          <w:p w14:paraId="30B8DF05"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40</w:t>
            </w:r>
          </w:p>
        </w:tc>
        <w:tc>
          <w:tcPr>
            <w:tcW w:w="851" w:type="dxa"/>
            <w:tcBorders>
              <w:top w:val="nil"/>
              <w:left w:val="nil"/>
              <w:bottom w:val="nil"/>
              <w:right w:val="nil"/>
            </w:tcBorders>
            <w:shd w:val="clear" w:color="auto" w:fill="auto"/>
            <w:noWrap/>
            <w:vAlign w:val="bottom"/>
            <w:hideMark/>
          </w:tcPr>
          <w:p w14:paraId="3F5086A0"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3.53</w:t>
            </w:r>
          </w:p>
        </w:tc>
        <w:tc>
          <w:tcPr>
            <w:tcW w:w="708" w:type="dxa"/>
            <w:tcBorders>
              <w:top w:val="nil"/>
              <w:left w:val="nil"/>
              <w:bottom w:val="nil"/>
              <w:right w:val="nil"/>
            </w:tcBorders>
            <w:shd w:val="clear" w:color="auto" w:fill="auto"/>
            <w:noWrap/>
            <w:vAlign w:val="bottom"/>
            <w:hideMark/>
          </w:tcPr>
          <w:p w14:paraId="0F4990BA"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0.45</w:t>
            </w:r>
          </w:p>
        </w:tc>
        <w:tc>
          <w:tcPr>
            <w:tcW w:w="709" w:type="dxa"/>
            <w:tcBorders>
              <w:top w:val="nil"/>
              <w:left w:val="nil"/>
              <w:bottom w:val="nil"/>
              <w:right w:val="nil"/>
            </w:tcBorders>
            <w:shd w:val="clear" w:color="auto" w:fill="auto"/>
            <w:noWrap/>
            <w:vAlign w:val="bottom"/>
            <w:hideMark/>
          </w:tcPr>
          <w:p w14:paraId="1441F8EE"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0.13</w:t>
            </w:r>
          </w:p>
        </w:tc>
        <w:tc>
          <w:tcPr>
            <w:tcW w:w="2126" w:type="dxa"/>
            <w:tcBorders>
              <w:top w:val="nil"/>
              <w:left w:val="nil"/>
              <w:bottom w:val="nil"/>
              <w:right w:val="nil"/>
            </w:tcBorders>
            <w:shd w:val="clear" w:color="auto" w:fill="auto"/>
            <w:noWrap/>
            <w:vAlign w:val="bottom"/>
            <w:hideMark/>
          </w:tcPr>
          <w:p w14:paraId="41F76F45"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Maamouri et al., 2017</w:t>
            </w:r>
          </w:p>
        </w:tc>
      </w:tr>
      <w:tr w:rsidR="0047217F" w:rsidRPr="008C11FE" w14:paraId="7D25D698" w14:textId="77777777" w:rsidTr="00D015A3">
        <w:trPr>
          <w:trHeight w:val="300"/>
        </w:trPr>
        <w:tc>
          <w:tcPr>
            <w:tcW w:w="1134" w:type="dxa"/>
            <w:tcBorders>
              <w:top w:val="nil"/>
              <w:left w:val="nil"/>
              <w:bottom w:val="nil"/>
              <w:right w:val="nil"/>
            </w:tcBorders>
            <w:shd w:val="clear" w:color="auto" w:fill="auto"/>
            <w:noWrap/>
            <w:vAlign w:val="bottom"/>
            <w:hideMark/>
          </w:tcPr>
          <w:p w14:paraId="2AC7860B"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436E273E"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73E447CB"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17A32186"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Medicago sativa</w:t>
            </w:r>
          </w:p>
        </w:tc>
        <w:tc>
          <w:tcPr>
            <w:tcW w:w="425" w:type="dxa"/>
            <w:tcBorders>
              <w:top w:val="nil"/>
              <w:left w:val="nil"/>
              <w:bottom w:val="nil"/>
              <w:right w:val="nil"/>
            </w:tcBorders>
            <w:shd w:val="clear" w:color="auto" w:fill="auto"/>
            <w:noWrap/>
            <w:vAlign w:val="bottom"/>
            <w:hideMark/>
          </w:tcPr>
          <w:p w14:paraId="6849BF02"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5</w:t>
            </w:r>
          </w:p>
        </w:tc>
        <w:tc>
          <w:tcPr>
            <w:tcW w:w="851" w:type="dxa"/>
            <w:tcBorders>
              <w:top w:val="nil"/>
              <w:left w:val="nil"/>
              <w:bottom w:val="nil"/>
              <w:right w:val="nil"/>
            </w:tcBorders>
            <w:shd w:val="clear" w:color="auto" w:fill="auto"/>
            <w:noWrap/>
            <w:vAlign w:val="bottom"/>
            <w:hideMark/>
          </w:tcPr>
          <w:p w14:paraId="7031ABCE"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3.51</w:t>
            </w:r>
          </w:p>
        </w:tc>
        <w:tc>
          <w:tcPr>
            <w:tcW w:w="708" w:type="dxa"/>
            <w:tcBorders>
              <w:top w:val="nil"/>
              <w:left w:val="nil"/>
              <w:bottom w:val="nil"/>
              <w:right w:val="nil"/>
            </w:tcBorders>
            <w:shd w:val="clear" w:color="auto" w:fill="auto"/>
            <w:noWrap/>
            <w:vAlign w:val="bottom"/>
            <w:hideMark/>
          </w:tcPr>
          <w:p w14:paraId="3C98F63F"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0.29</w:t>
            </w:r>
          </w:p>
        </w:tc>
        <w:tc>
          <w:tcPr>
            <w:tcW w:w="709" w:type="dxa"/>
            <w:tcBorders>
              <w:top w:val="nil"/>
              <w:left w:val="nil"/>
              <w:bottom w:val="nil"/>
              <w:right w:val="nil"/>
            </w:tcBorders>
            <w:shd w:val="clear" w:color="auto" w:fill="auto"/>
            <w:noWrap/>
            <w:vAlign w:val="bottom"/>
            <w:hideMark/>
          </w:tcPr>
          <w:p w14:paraId="532BA4D4"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0.08</w:t>
            </w:r>
          </w:p>
        </w:tc>
        <w:tc>
          <w:tcPr>
            <w:tcW w:w="2126" w:type="dxa"/>
            <w:tcBorders>
              <w:top w:val="nil"/>
              <w:left w:val="nil"/>
              <w:bottom w:val="nil"/>
              <w:right w:val="nil"/>
            </w:tcBorders>
            <w:shd w:val="clear" w:color="auto" w:fill="auto"/>
            <w:noWrap/>
            <w:vAlign w:val="bottom"/>
            <w:hideMark/>
          </w:tcPr>
          <w:p w14:paraId="4C5F3FF7"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Gentelet, 2021</w:t>
            </w:r>
          </w:p>
        </w:tc>
      </w:tr>
      <w:tr w:rsidR="0047217F" w:rsidRPr="008C11FE" w14:paraId="40921486" w14:textId="77777777" w:rsidTr="00D015A3">
        <w:trPr>
          <w:trHeight w:val="300"/>
        </w:trPr>
        <w:tc>
          <w:tcPr>
            <w:tcW w:w="1134" w:type="dxa"/>
            <w:tcBorders>
              <w:top w:val="nil"/>
              <w:left w:val="nil"/>
              <w:bottom w:val="nil"/>
              <w:right w:val="nil"/>
            </w:tcBorders>
            <w:shd w:val="clear" w:color="auto" w:fill="auto"/>
            <w:noWrap/>
            <w:vAlign w:val="bottom"/>
            <w:hideMark/>
          </w:tcPr>
          <w:p w14:paraId="2FA68CB1"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2370255D"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20562A11"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24989A61"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Festuca arundinacea</w:t>
            </w:r>
          </w:p>
        </w:tc>
        <w:tc>
          <w:tcPr>
            <w:tcW w:w="425" w:type="dxa"/>
            <w:tcBorders>
              <w:top w:val="nil"/>
              <w:left w:val="nil"/>
              <w:bottom w:val="nil"/>
              <w:right w:val="nil"/>
            </w:tcBorders>
            <w:shd w:val="clear" w:color="auto" w:fill="auto"/>
            <w:noWrap/>
            <w:vAlign w:val="bottom"/>
            <w:hideMark/>
          </w:tcPr>
          <w:p w14:paraId="0D674AAA"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5</w:t>
            </w:r>
          </w:p>
        </w:tc>
        <w:tc>
          <w:tcPr>
            <w:tcW w:w="851" w:type="dxa"/>
            <w:tcBorders>
              <w:top w:val="nil"/>
              <w:left w:val="nil"/>
              <w:bottom w:val="nil"/>
              <w:right w:val="nil"/>
            </w:tcBorders>
            <w:shd w:val="clear" w:color="auto" w:fill="auto"/>
            <w:noWrap/>
            <w:vAlign w:val="bottom"/>
            <w:hideMark/>
          </w:tcPr>
          <w:p w14:paraId="4EA823EA"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15</w:t>
            </w:r>
          </w:p>
        </w:tc>
        <w:tc>
          <w:tcPr>
            <w:tcW w:w="708" w:type="dxa"/>
            <w:tcBorders>
              <w:top w:val="nil"/>
              <w:left w:val="nil"/>
              <w:bottom w:val="nil"/>
              <w:right w:val="nil"/>
            </w:tcBorders>
            <w:shd w:val="clear" w:color="auto" w:fill="auto"/>
            <w:noWrap/>
            <w:vAlign w:val="bottom"/>
            <w:hideMark/>
          </w:tcPr>
          <w:p w14:paraId="23769EC7"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2.625</w:t>
            </w:r>
          </w:p>
        </w:tc>
        <w:tc>
          <w:tcPr>
            <w:tcW w:w="709" w:type="dxa"/>
            <w:tcBorders>
              <w:top w:val="nil"/>
              <w:left w:val="nil"/>
              <w:bottom w:val="nil"/>
              <w:right w:val="nil"/>
            </w:tcBorders>
            <w:shd w:val="clear" w:color="auto" w:fill="auto"/>
            <w:noWrap/>
            <w:vAlign w:val="bottom"/>
            <w:hideMark/>
          </w:tcPr>
          <w:p w14:paraId="18B5F8CF"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0.18</w:t>
            </w:r>
          </w:p>
        </w:tc>
        <w:tc>
          <w:tcPr>
            <w:tcW w:w="2126" w:type="dxa"/>
            <w:tcBorders>
              <w:top w:val="nil"/>
              <w:left w:val="nil"/>
              <w:bottom w:val="nil"/>
              <w:right w:val="nil"/>
            </w:tcBorders>
            <w:shd w:val="clear" w:color="auto" w:fill="auto"/>
            <w:noWrap/>
            <w:vAlign w:val="bottom"/>
            <w:hideMark/>
          </w:tcPr>
          <w:p w14:paraId="1816DFBD"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Zaka et al., 2017</w:t>
            </w:r>
          </w:p>
        </w:tc>
      </w:tr>
      <w:tr w:rsidR="0047217F" w:rsidRPr="008C11FE" w14:paraId="32C66C54" w14:textId="77777777" w:rsidTr="00D015A3">
        <w:trPr>
          <w:trHeight w:val="300"/>
        </w:trPr>
        <w:tc>
          <w:tcPr>
            <w:tcW w:w="1134" w:type="dxa"/>
            <w:tcBorders>
              <w:top w:val="nil"/>
              <w:left w:val="nil"/>
              <w:bottom w:val="nil"/>
              <w:right w:val="nil"/>
            </w:tcBorders>
            <w:shd w:val="clear" w:color="auto" w:fill="auto"/>
            <w:noWrap/>
            <w:vAlign w:val="bottom"/>
            <w:hideMark/>
          </w:tcPr>
          <w:p w14:paraId="3F2A41BB"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53286FBC"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5153601A"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069AB95D"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Trifolium pratense</w:t>
            </w:r>
          </w:p>
        </w:tc>
        <w:tc>
          <w:tcPr>
            <w:tcW w:w="425" w:type="dxa"/>
            <w:tcBorders>
              <w:top w:val="nil"/>
              <w:left w:val="nil"/>
              <w:bottom w:val="nil"/>
              <w:right w:val="nil"/>
            </w:tcBorders>
            <w:shd w:val="clear" w:color="auto" w:fill="auto"/>
            <w:noWrap/>
            <w:vAlign w:val="bottom"/>
            <w:hideMark/>
          </w:tcPr>
          <w:p w14:paraId="78C5D82F"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5</w:t>
            </w:r>
          </w:p>
        </w:tc>
        <w:tc>
          <w:tcPr>
            <w:tcW w:w="851" w:type="dxa"/>
            <w:tcBorders>
              <w:top w:val="nil"/>
              <w:left w:val="nil"/>
              <w:bottom w:val="nil"/>
              <w:right w:val="nil"/>
            </w:tcBorders>
            <w:shd w:val="clear" w:color="auto" w:fill="auto"/>
            <w:noWrap/>
            <w:vAlign w:val="bottom"/>
            <w:hideMark/>
          </w:tcPr>
          <w:p w14:paraId="59037424"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5.31</w:t>
            </w:r>
          </w:p>
        </w:tc>
        <w:tc>
          <w:tcPr>
            <w:tcW w:w="708" w:type="dxa"/>
            <w:tcBorders>
              <w:top w:val="nil"/>
              <w:left w:val="nil"/>
              <w:bottom w:val="nil"/>
              <w:right w:val="nil"/>
            </w:tcBorders>
            <w:shd w:val="clear" w:color="auto" w:fill="auto"/>
            <w:noWrap/>
            <w:vAlign w:val="bottom"/>
            <w:hideMark/>
          </w:tcPr>
          <w:p w14:paraId="748B66A9"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0.86</w:t>
            </w:r>
          </w:p>
        </w:tc>
        <w:tc>
          <w:tcPr>
            <w:tcW w:w="709" w:type="dxa"/>
            <w:tcBorders>
              <w:top w:val="nil"/>
              <w:left w:val="nil"/>
              <w:bottom w:val="nil"/>
              <w:right w:val="nil"/>
            </w:tcBorders>
            <w:shd w:val="clear" w:color="auto" w:fill="auto"/>
            <w:noWrap/>
            <w:vAlign w:val="bottom"/>
            <w:hideMark/>
          </w:tcPr>
          <w:p w14:paraId="22EE5C94"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0.16</w:t>
            </w:r>
          </w:p>
        </w:tc>
        <w:tc>
          <w:tcPr>
            <w:tcW w:w="2126" w:type="dxa"/>
            <w:tcBorders>
              <w:top w:val="nil"/>
              <w:left w:val="nil"/>
              <w:bottom w:val="nil"/>
              <w:right w:val="nil"/>
            </w:tcBorders>
            <w:shd w:val="clear" w:color="auto" w:fill="auto"/>
            <w:noWrap/>
            <w:vAlign w:val="bottom"/>
            <w:hideMark/>
          </w:tcPr>
          <w:p w14:paraId="2D6264EC"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Gentelet, 2021</w:t>
            </w:r>
          </w:p>
        </w:tc>
      </w:tr>
      <w:tr w:rsidR="0047217F" w:rsidRPr="008C11FE" w14:paraId="315770BB" w14:textId="77777777" w:rsidTr="00D015A3">
        <w:trPr>
          <w:trHeight w:val="300"/>
        </w:trPr>
        <w:tc>
          <w:tcPr>
            <w:tcW w:w="1134" w:type="dxa"/>
            <w:tcBorders>
              <w:top w:val="nil"/>
              <w:left w:val="nil"/>
              <w:bottom w:val="single" w:sz="4" w:space="0" w:color="auto"/>
              <w:right w:val="nil"/>
            </w:tcBorders>
            <w:shd w:val="clear" w:color="auto" w:fill="auto"/>
            <w:noWrap/>
            <w:vAlign w:val="bottom"/>
            <w:hideMark/>
          </w:tcPr>
          <w:p w14:paraId="0136AE02"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 </w:t>
            </w:r>
          </w:p>
        </w:tc>
        <w:tc>
          <w:tcPr>
            <w:tcW w:w="993" w:type="dxa"/>
            <w:tcBorders>
              <w:top w:val="nil"/>
              <w:left w:val="nil"/>
              <w:bottom w:val="single" w:sz="4" w:space="0" w:color="auto"/>
              <w:right w:val="nil"/>
            </w:tcBorders>
            <w:shd w:val="clear" w:color="auto" w:fill="auto"/>
            <w:noWrap/>
            <w:vAlign w:val="bottom"/>
            <w:hideMark/>
          </w:tcPr>
          <w:p w14:paraId="29BE2DE3"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409" w:type="dxa"/>
            <w:tcBorders>
              <w:top w:val="nil"/>
              <w:left w:val="nil"/>
              <w:bottom w:val="single" w:sz="4" w:space="0" w:color="auto"/>
              <w:right w:val="nil"/>
            </w:tcBorders>
            <w:shd w:val="clear" w:color="auto" w:fill="auto"/>
            <w:noWrap/>
            <w:vAlign w:val="bottom"/>
            <w:hideMark/>
          </w:tcPr>
          <w:p w14:paraId="7FF328EA"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1985" w:type="dxa"/>
            <w:tcBorders>
              <w:top w:val="nil"/>
              <w:left w:val="nil"/>
              <w:bottom w:val="single" w:sz="4" w:space="0" w:color="auto"/>
              <w:right w:val="nil"/>
            </w:tcBorders>
            <w:shd w:val="clear" w:color="auto" w:fill="auto"/>
            <w:noWrap/>
            <w:vAlign w:val="bottom"/>
            <w:hideMark/>
          </w:tcPr>
          <w:p w14:paraId="2E75A157"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 </w:t>
            </w:r>
          </w:p>
        </w:tc>
        <w:tc>
          <w:tcPr>
            <w:tcW w:w="425" w:type="dxa"/>
            <w:tcBorders>
              <w:top w:val="nil"/>
              <w:left w:val="nil"/>
              <w:bottom w:val="single" w:sz="4" w:space="0" w:color="auto"/>
              <w:right w:val="nil"/>
            </w:tcBorders>
            <w:shd w:val="clear" w:color="auto" w:fill="auto"/>
            <w:noWrap/>
            <w:vAlign w:val="bottom"/>
            <w:hideMark/>
          </w:tcPr>
          <w:p w14:paraId="71BB604B"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851" w:type="dxa"/>
            <w:tcBorders>
              <w:top w:val="nil"/>
              <w:left w:val="nil"/>
              <w:bottom w:val="single" w:sz="4" w:space="0" w:color="auto"/>
              <w:right w:val="nil"/>
            </w:tcBorders>
            <w:shd w:val="clear" w:color="auto" w:fill="auto"/>
            <w:noWrap/>
            <w:vAlign w:val="bottom"/>
            <w:hideMark/>
          </w:tcPr>
          <w:p w14:paraId="3C6A0758"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8" w:type="dxa"/>
            <w:tcBorders>
              <w:top w:val="nil"/>
              <w:left w:val="nil"/>
              <w:bottom w:val="single" w:sz="4" w:space="0" w:color="auto"/>
              <w:right w:val="nil"/>
            </w:tcBorders>
            <w:shd w:val="clear" w:color="auto" w:fill="auto"/>
            <w:noWrap/>
            <w:vAlign w:val="bottom"/>
            <w:hideMark/>
          </w:tcPr>
          <w:p w14:paraId="4AA89C9A"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9" w:type="dxa"/>
            <w:tcBorders>
              <w:top w:val="nil"/>
              <w:left w:val="nil"/>
              <w:bottom w:val="single" w:sz="4" w:space="0" w:color="auto"/>
              <w:right w:val="nil"/>
            </w:tcBorders>
            <w:shd w:val="clear" w:color="auto" w:fill="auto"/>
            <w:noWrap/>
            <w:vAlign w:val="bottom"/>
            <w:hideMark/>
          </w:tcPr>
          <w:p w14:paraId="418C8D6C"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126" w:type="dxa"/>
            <w:tcBorders>
              <w:top w:val="nil"/>
              <w:left w:val="nil"/>
              <w:bottom w:val="single" w:sz="4" w:space="0" w:color="auto"/>
              <w:right w:val="nil"/>
            </w:tcBorders>
            <w:shd w:val="clear" w:color="auto" w:fill="auto"/>
            <w:noWrap/>
            <w:vAlign w:val="bottom"/>
            <w:hideMark/>
          </w:tcPr>
          <w:p w14:paraId="481A3B08"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r>
      <w:tr w:rsidR="0047217F" w:rsidRPr="008C11FE" w14:paraId="3DC9ACB1" w14:textId="77777777" w:rsidTr="00D015A3">
        <w:trPr>
          <w:trHeight w:val="300"/>
        </w:trPr>
        <w:tc>
          <w:tcPr>
            <w:tcW w:w="1134" w:type="dxa"/>
            <w:tcBorders>
              <w:top w:val="nil"/>
              <w:left w:val="nil"/>
              <w:bottom w:val="nil"/>
              <w:right w:val="nil"/>
            </w:tcBorders>
            <w:shd w:val="clear" w:color="auto" w:fill="auto"/>
            <w:noWrap/>
            <w:vAlign w:val="bottom"/>
            <w:hideMark/>
          </w:tcPr>
          <w:p w14:paraId="028C9313"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LmaxIn</w:t>
            </w:r>
          </w:p>
        </w:tc>
        <w:tc>
          <w:tcPr>
            <w:tcW w:w="993" w:type="dxa"/>
            <w:tcBorders>
              <w:top w:val="nil"/>
              <w:left w:val="nil"/>
              <w:bottom w:val="nil"/>
              <w:right w:val="nil"/>
            </w:tcBorders>
            <w:shd w:val="clear" w:color="auto" w:fill="auto"/>
            <w:noWrap/>
            <w:vAlign w:val="bottom"/>
            <w:hideMark/>
          </w:tcPr>
          <w:p w14:paraId="65F2EAE9"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cm</w:t>
            </w:r>
          </w:p>
        </w:tc>
        <w:tc>
          <w:tcPr>
            <w:tcW w:w="2409" w:type="dxa"/>
            <w:tcBorders>
              <w:top w:val="nil"/>
              <w:left w:val="nil"/>
              <w:bottom w:val="nil"/>
              <w:right w:val="nil"/>
            </w:tcBorders>
            <w:shd w:val="clear" w:color="auto" w:fill="auto"/>
            <w:noWrap/>
            <w:vAlign w:val="bottom"/>
            <w:hideMark/>
          </w:tcPr>
          <w:p w14:paraId="332AD087"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Maximal Internode length</w:t>
            </w:r>
          </w:p>
        </w:tc>
        <w:tc>
          <w:tcPr>
            <w:tcW w:w="1985" w:type="dxa"/>
            <w:tcBorders>
              <w:top w:val="nil"/>
              <w:left w:val="nil"/>
              <w:bottom w:val="nil"/>
              <w:right w:val="nil"/>
            </w:tcBorders>
            <w:shd w:val="clear" w:color="auto" w:fill="auto"/>
            <w:noWrap/>
            <w:vAlign w:val="bottom"/>
            <w:hideMark/>
          </w:tcPr>
          <w:p w14:paraId="0C8E9A65"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Medicago sativa</w:t>
            </w:r>
          </w:p>
        </w:tc>
        <w:tc>
          <w:tcPr>
            <w:tcW w:w="425" w:type="dxa"/>
            <w:tcBorders>
              <w:top w:val="nil"/>
              <w:left w:val="nil"/>
              <w:bottom w:val="nil"/>
              <w:right w:val="nil"/>
            </w:tcBorders>
            <w:shd w:val="clear" w:color="auto" w:fill="auto"/>
            <w:noWrap/>
            <w:vAlign w:val="bottom"/>
            <w:hideMark/>
          </w:tcPr>
          <w:p w14:paraId="55C5D5E1"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40</w:t>
            </w:r>
          </w:p>
        </w:tc>
        <w:tc>
          <w:tcPr>
            <w:tcW w:w="851" w:type="dxa"/>
            <w:tcBorders>
              <w:top w:val="nil"/>
              <w:left w:val="nil"/>
              <w:bottom w:val="nil"/>
              <w:right w:val="nil"/>
            </w:tcBorders>
            <w:shd w:val="clear" w:color="auto" w:fill="auto"/>
            <w:noWrap/>
            <w:vAlign w:val="bottom"/>
            <w:hideMark/>
          </w:tcPr>
          <w:p w14:paraId="21AAF3A1"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3.3</w:t>
            </w:r>
          </w:p>
        </w:tc>
        <w:tc>
          <w:tcPr>
            <w:tcW w:w="708" w:type="dxa"/>
            <w:tcBorders>
              <w:top w:val="nil"/>
              <w:left w:val="nil"/>
              <w:bottom w:val="nil"/>
              <w:right w:val="nil"/>
            </w:tcBorders>
            <w:shd w:val="clear" w:color="auto" w:fill="auto"/>
            <w:noWrap/>
            <w:vAlign w:val="bottom"/>
            <w:hideMark/>
          </w:tcPr>
          <w:p w14:paraId="365127A1"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0.775</w:t>
            </w:r>
          </w:p>
        </w:tc>
        <w:tc>
          <w:tcPr>
            <w:tcW w:w="709" w:type="dxa"/>
            <w:tcBorders>
              <w:top w:val="nil"/>
              <w:left w:val="nil"/>
              <w:bottom w:val="nil"/>
              <w:right w:val="nil"/>
            </w:tcBorders>
            <w:shd w:val="clear" w:color="auto" w:fill="auto"/>
            <w:noWrap/>
            <w:vAlign w:val="bottom"/>
            <w:hideMark/>
          </w:tcPr>
          <w:p w14:paraId="626A118B"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0.23</w:t>
            </w:r>
          </w:p>
        </w:tc>
        <w:tc>
          <w:tcPr>
            <w:tcW w:w="2126" w:type="dxa"/>
            <w:tcBorders>
              <w:top w:val="nil"/>
              <w:left w:val="nil"/>
              <w:bottom w:val="nil"/>
              <w:right w:val="nil"/>
            </w:tcBorders>
            <w:shd w:val="clear" w:color="auto" w:fill="auto"/>
            <w:noWrap/>
            <w:vAlign w:val="bottom"/>
            <w:hideMark/>
          </w:tcPr>
          <w:p w14:paraId="1A2FFB55"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Maamouri et al., 2017</w:t>
            </w:r>
          </w:p>
        </w:tc>
      </w:tr>
      <w:tr w:rsidR="0047217F" w:rsidRPr="008C11FE" w14:paraId="4261A903" w14:textId="77777777" w:rsidTr="00D015A3">
        <w:trPr>
          <w:trHeight w:val="300"/>
        </w:trPr>
        <w:tc>
          <w:tcPr>
            <w:tcW w:w="1134" w:type="dxa"/>
            <w:tcBorders>
              <w:top w:val="nil"/>
              <w:left w:val="nil"/>
              <w:bottom w:val="nil"/>
              <w:right w:val="nil"/>
            </w:tcBorders>
            <w:shd w:val="clear" w:color="auto" w:fill="auto"/>
            <w:noWrap/>
            <w:vAlign w:val="bottom"/>
            <w:hideMark/>
          </w:tcPr>
          <w:p w14:paraId="7CF2E0B5"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0CA37ADD"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76AD348B"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6DC5A48A"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Medicago sativa</w:t>
            </w:r>
          </w:p>
        </w:tc>
        <w:tc>
          <w:tcPr>
            <w:tcW w:w="425" w:type="dxa"/>
            <w:tcBorders>
              <w:top w:val="nil"/>
              <w:left w:val="nil"/>
              <w:bottom w:val="nil"/>
              <w:right w:val="nil"/>
            </w:tcBorders>
            <w:shd w:val="clear" w:color="auto" w:fill="auto"/>
            <w:noWrap/>
            <w:vAlign w:val="bottom"/>
            <w:hideMark/>
          </w:tcPr>
          <w:p w14:paraId="52463FA3"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5</w:t>
            </w:r>
          </w:p>
        </w:tc>
        <w:tc>
          <w:tcPr>
            <w:tcW w:w="851" w:type="dxa"/>
            <w:tcBorders>
              <w:top w:val="nil"/>
              <w:left w:val="nil"/>
              <w:bottom w:val="nil"/>
              <w:right w:val="nil"/>
            </w:tcBorders>
            <w:shd w:val="clear" w:color="auto" w:fill="auto"/>
            <w:noWrap/>
            <w:vAlign w:val="bottom"/>
            <w:hideMark/>
          </w:tcPr>
          <w:p w14:paraId="6C0433A4"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10.33</w:t>
            </w:r>
          </w:p>
        </w:tc>
        <w:tc>
          <w:tcPr>
            <w:tcW w:w="708" w:type="dxa"/>
            <w:tcBorders>
              <w:top w:val="nil"/>
              <w:left w:val="nil"/>
              <w:bottom w:val="nil"/>
              <w:right w:val="nil"/>
            </w:tcBorders>
            <w:shd w:val="clear" w:color="auto" w:fill="auto"/>
            <w:noWrap/>
            <w:vAlign w:val="bottom"/>
            <w:hideMark/>
          </w:tcPr>
          <w:p w14:paraId="783E1C33"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1.11</w:t>
            </w:r>
          </w:p>
        </w:tc>
        <w:tc>
          <w:tcPr>
            <w:tcW w:w="709" w:type="dxa"/>
            <w:tcBorders>
              <w:top w:val="nil"/>
              <w:left w:val="nil"/>
              <w:bottom w:val="nil"/>
              <w:right w:val="nil"/>
            </w:tcBorders>
            <w:shd w:val="clear" w:color="auto" w:fill="auto"/>
            <w:noWrap/>
            <w:vAlign w:val="bottom"/>
            <w:hideMark/>
          </w:tcPr>
          <w:p w14:paraId="01CCDA06"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0.11</w:t>
            </w:r>
          </w:p>
        </w:tc>
        <w:tc>
          <w:tcPr>
            <w:tcW w:w="2126" w:type="dxa"/>
            <w:tcBorders>
              <w:top w:val="nil"/>
              <w:left w:val="nil"/>
              <w:bottom w:val="nil"/>
              <w:right w:val="nil"/>
            </w:tcBorders>
            <w:shd w:val="clear" w:color="auto" w:fill="auto"/>
            <w:noWrap/>
            <w:vAlign w:val="bottom"/>
            <w:hideMark/>
          </w:tcPr>
          <w:p w14:paraId="2AD4D7A5"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Gentelet, 2021</w:t>
            </w:r>
          </w:p>
        </w:tc>
      </w:tr>
      <w:tr w:rsidR="0047217F" w:rsidRPr="008C11FE" w14:paraId="46380F8F" w14:textId="77777777" w:rsidTr="00D015A3">
        <w:trPr>
          <w:trHeight w:val="300"/>
        </w:trPr>
        <w:tc>
          <w:tcPr>
            <w:tcW w:w="1134" w:type="dxa"/>
            <w:tcBorders>
              <w:top w:val="nil"/>
              <w:left w:val="nil"/>
              <w:bottom w:val="single" w:sz="4" w:space="0" w:color="auto"/>
              <w:right w:val="nil"/>
            </w:tcBorders>
            <w:shd w:val="clear" w:color="auto" w:fill="auto"/>
            <w:noWrap/>
            <w:vAlign w:val="bottom"/>
            <w:hideMark/>
          </w:tcPr>
          <w:p w14:paraId="379DC14A"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 </w:t>
            </w:r>
          </w:p>
        </w:tc>
        <w:tc>
          <w:tcPr>
            <w:tcW w:w="993" w:type="dxa"/>
            <w:tcBorders>
              <w:top w:val="nil"/>
              <w:left w:val="nil"/>
              <w:bottom w:val="single" w:sz="4" w:space="0" w:color="auto"/>
              <w:right w:val="nil"/>
            </w:tcBorders>
            <w:shd w:val="clear" w:color="auto" w:fill="auto"/>
            <w:noWrap/>
            <w:vAlign w:val="bottom"/>
            <w:hideMark/>
          </w:tcPr>
          <w:p w14:paraId="3A0D0E9F"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409" w:type="dxa"/>
            <w:tcBorders>
              <w:top w:val="nil"/>
              <w:left w:val="nil"/>
              <w:bottom w:val="single" w:sz="4" w:space="0" w:color="auto"/>
              <w:right w:val="nil"/>
            </w:tcBorders>
            <w:shd w:val="clear" w:color="auto" w:fill="auto"/>
            <w:noWrap/>
            <w:vAlign w:val="bottom"/>
            <w:hideMark/>
          </w:tcPr>
          <w:p w14:paraId="21F6C254"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1985" w:type="dxa"/>
            <w:tcBorders>
              <w:top w:val="nil"/>
              <w:left w:val="nil"/>
              <w:bottom w:val="single" w:sz="4" w:space="0" w:color="auto"/>
              <w:right w:val="nil"/>
            </w:tcBorders>
            <w:shd w:val="clear" w:color="auto" w:fill="auto"/>
            <w:noWrap/>
            <w:vAlign w:val="bottom"/>
            <w:hideMark/>
          </w:tcPr>
          <w:p w14:paraId="1289DED2"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 </w:t>
            </w:r>
          </w:p>
        </w:tc>
        <w:tc>
          <w:tcPr>
            <w:tcW w:w="425" w:type="dxa"/>
            <w:tcBorders>
              <w:top w:val="nil"/>
              <w:left w:val="nil"/>
              <w:bottom w:val="single" w:sz="4" w:space="0" w:color="auto"/>
              <w:right w:val="nil"/>
            </w:tcBorders>
            <w:shd w:val="clear" w:color="auto" w:fill="auto"/>
            <w:noWrap/>
            <w:vAlign w:val="bottom"/>
            <w:hideMark/>
          </w:tcPr>
          <w:p w14:paraId="4E35CAA5"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851" w:type="dxa"/>
            <w:tcBorders>
              <w:top w:val="nil"/>
              <w:left w:val="nil"/>
              <w:bottom w:val="single" w:sz="4" w:space="0" w:color="auto"/>
              <w:right w:val="nil"/>
            </w:tcBorders>
            <w:shd w:val="clear" w:color="auto" w:fill="auto"/>
            <w:noWrap/>
            <w:vAlign w:val="bottom"/>
            <w:hideMark/>
          </w:tcPr>
          <w:p w14:paraId="00AC0A2A"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8" w:type="dxa"/>
            <w:tcBorders>
              <w:top w:val="nil"/>
              <w:left w:val="nil"/>
              <w:bottom w:val="single" w:sz="4" w:space="0" w:color="auto"/>
              <w:right w:val="nil"/>
            </w:tcBorders>
            <w:shd w:val="clear" w:color="auto" w:fill="auto"/>
            <w:noWrap/>
            <w:vAlign w:val="bottom"/>
            <w:hideMark/>
          </w:tcPr>
          <w:p w14:paraId="630EA826"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9" w:type="dxa"/>
            <w:tcBorders>
              <w:top w:val="nil"/>
              <w:left w:val="nil"/>
              <w:bottom w:val="single" w:sz="4" w:space="0" w:color="auto"/>
              <w:right w:val="nil"/>
            </w:tcBorders>
            <w:shd w:val="clear" w:color="auto" w:fill="auto"/>
            <w:noWrap/>
            <w:vAlign w:val="bottom"/>
            <w:hideMark/>
          </w:tcPr>
          <w:p w14:paraId="4455B12B"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126" w:type="dxa"/>
            <w:tcBorders>
              <w:top w:val="nil"/>
              <w:left w:val="nil"/>
              <w:bottom w:val="single" w:sz="4" w:space="0" w:color="auto"/>
              <w:right w:val="nil"/>
            </w:tcBorders>
            <w:shd w:val="clear" w:color="auto" w:fill="auto"/>
            <w:noWrap/>
            <w:vAlign w:val="bottom"/>
            <w:hideMark/>
          </w:tcPr>
          <w:p w14:paraId="267A8B20"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r>
      <w:tr w:rsidR="0047217F" w:rsidRPr="008C11FE" w14:paraId="091E4D86" w14:textId="77777777" w:rsidTr="00D015A3">
        <w:trPr>
          <w:trHeight w:val="300"/>
        </w:trPr>
        <w:tc>
          <w:tcPr>
            <w:tcW w:w="1134" w:type="dxa"/>
            <w:tcBorders>
              <w:top w:val="nil"/>
              <w:left w:val="nil"/>
              <w:bottom w:val="nil"/>
              <w:right w:val="nil"/>
            </w:tcBorders>
            <w:shd w:val="clear" w:color="auto" w:fill="auto"/>
            <w:noWrap/>
            <w:vAlign w:val="bottom"/>
            <w:hideMark/>
          </w:tcPr>
          <w:p w14:paraId="6FB9BEFB"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NBsh</w:t>
            </w:r>
          </w:p>
        </w:tc>
        <w:tc>
          <w:tcPr>
            <w:tcW w:w="993" w:type="dxa"/>
            <w:tcBorders>
              <w:top w:val="nil"/>
              <w:left w:val="nil"/>
              <w:bottom w:val="nil"/>
              <w:right w:val="nil"/>
            </w:tcBorders>
            <w:shd w:val="clear" w:color="auto" w:fill="auto"/>
            <w:noWrap/>
            <w:vAlign w:val="bottom"/>
            <w:hideMark/>
          </w:tcPr>
          <w:p w14:paraId="43E0A1D0"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w:t>
            </w:r>
          </w:p>
        </w:tc>
        <w:tc>
          <w:tcPr>
            <w:tcW w:w="2409" w:type="dxa"/>
            <w:tcBorders>
              <w:top w:val="nil"/>
              <w:left w:val="nil"/>
              <w:bottom w:val="nil"/>
              <w:right w:val="nil"/>
            </w:tcBorders>
            <w:shd w:val="clear" w:color="auto" w:fill="auto"/>
            <w:noWrap/>
            <w:vAlign w:val="bottom"/>
            <w:hideMark/>
          </w:tcPr>
          <w:p w14:paraId="1BAC8181" w14:textId="77777777" w:rsidR="0047217F" w:rsidRPr="003543AB" w:rsidRDefault="0047217F" w:rsidP="00D015A3">
            <w:pPr>
              <w:spacing w:after="0" w:line="240" w:lineRule="auto"/>
              <w:rPr>
                <w:rFonts w:ascii="Calibri" w:eastAsia="Times New Roman" w:hAnsi="Calibri" w:cs="Calibri"/>
                <w:color w:val="000000"/>
                <w:sz w:val="20"/>
                <w:szCs w:val="20"/>
                <w:lang w:val="en-GB" w:eastAsia="fr-FR"/>
              </w:rPr>
            </w:pPr>
            <w:r w:rsidRPr="003543AB">
              <w:rPr>
                <w:rFonts w:ascii="Calibri" w:eastAsia="Times New Roman" w:hAnsi="Calibri" w:cs="Calibri"/>
                <w:color w:val="000000"/>
                <w:sz w:val="20"/>
                <w:szCs w:val="20"/>
                <w:lang w:val="en-GB" w:eastAsia="fr-FR"/>
              </w:rPr>
              <w:t xml:space="preserve">Maximal number of </w:t>
            </w:r>
          </w:p>
        </w:tc>
        <w:tc>
          <w:tcPr>
            <w:tcW w:w="1985" w:type="dxa"/>
            <w:tcBorders>
              <w:top w:val="nil"/>
              <w:left w:val="nil"/>
              <w:bottom w:val="nil"/>
              <w:right w:val="nil"/>
            </w:tcBorders>
            <w:shd w:val="clear" w:color="auto" w:fill="auto"/>
            <w:noWrap/>
            <w:vAlign w:val="bottom"/>
            <w:hideMark/>
          </w:tcPr>
          <w:p w14:paraId="43F0FCA4"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Medicago sativa</w:t>
            </w:r>
          </w:p>
        </w:tc>
        <w:tc>
          <w:tcPr>
            <w:tcW w:w="425" w:type="dxa"/>
            <w:tcBorders>
              <w:top w:val="nil"/>
              <w:left w:val="nil"/>
              <w:bottom w:val="nil"/>
              <w:right w:val="nil"/>
            </w:tcBorders>
            <w:shd w:val="clear" w:color="auto" w:fill="auto"/>
            <w:noWrap/>
            <w:vAlign w:val="bottom"/>
            <w:hideMark/>
          </w:tcPr>
          <w:p w14:paraId="0F19040F"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40</w:t>
            </w:r>
          </w:p>
        </w:tc>
        <w:tc>
          <w:tcPr>
            <w:tcW w:w="851" w:type="dxa"/>
            <w:tcBorders>
              <w:top w:val="nil"/>
              <w:left w:val="nil"/>
              <w:bottom w:val="nil"/>
              <w:right w:val="nil"/>
            </w:tcBorders>
            <w:shd w:val="clear" w:color="auto" w:fill="auto"/>
            <w:noWrap/>
            <w:vAlign w:val="bottom"/>
            <w:hideMark/>
          </w:tcPr>
          <w:p w14:paraId="4DBD7D2E"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59</w:t>
            </w:r>
          </w:p>
        </w:tc>
        <w:tc>
          <w:tcPr>
            <w:tcW w:w="708" w:type="dxa"/>
            <w:tcBorders>
              <w:top w:val="nil"/>
              <w:left w:val="nil"/>
              <w:bottom w:val="nil"/>
              <w:right w:val="nil"/>
            </w:tcBorders>
            <w:shd w:val="clear" w:color="auto" w:fill="auto"/>
            <w:noWrap/>
            <w:vAlign w:val="bottom"/>
            <w:hideMark/>
          </w:tcPr>
          <w:p w14:paraId="79781D5B"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18</w:t>
            </w:r>
          </w:p>
        </w:tc>
        <w:tc>
          <w:tcPr>
            <w:tcW w:w="709" w:type="dxa"/>
            <w:tcBorders>
              <w:top w:val="nil"/>
              <w:left w:val="nil"/>
              <w:bottom w:val="nil"/>
              <w:right w:val="nil"/>
            </w:tcBorders>
            <w:shd w:val="clear" w:color="auto" w:fill="auto"/>
            <w:noWrap/>
            <w:vAlign w:val="bottom"/>
            <w:hideMark/>
          </w:tcPr>
          <w:p w14:paraId="100B2F7C"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0.31</w:t>
            </w:r>
          </w:p>
        </w:tc>
        <w:tc>
          <w:tcPr>
            <w:tcW w:w="2126" w:type="dxa"/>
            <w:tcBorders>
              <w:top w:val="nil"/>
              <w:left w:val="nil"/>
              <w:bottom w:val="nil"/>
              <w:right w:val="nil"/>
            </w:tcBorders>
            <w:shd w:val="clear" w:color="auto" w:fill="auto"/>
            <w:noWrap/>
            <w:vAlign w:val="bottom"/>
            <w:hideMark/>
          </w:tcPr>
          <w:p w14:paraId="1829729A"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Maamouri et al., 2017</w:t>
            </w:r>
          </w:p>
        </w:tc>
      </w:tr>
      <w:tr w:rsidR="0047217F" w:rsidRPr="008C11FE" w14:paraId="41E74CCE" w14:textId="77777777" w:rsidTr="00D015A3">
        <w:trPr>
          <w:trHeight w:val="300"/>
        </w:trPr>
        <w:tc>
          <w:tcPr>
            <w:tcW w:w="1134" w:type="dxa"/>
            <w:tcBorders>
              <w:top w:val="nil"/>
              <w:left w:val="nil"/>
              <w:bottom w:val="nil"/>
              <w:right w:val="nil"/>
            </w:tcBorders>
            <w:shd w:val="clear" w:color="auto" w:fill="auto"/>
            <w:noWrap/>
            <w:vAlign w:val="bottom"/>
            <w:hideMark/>
          </w:tcPr>
          <w:p w14:paraId="6A90BD68"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4DBF33AB"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3B2E0EBF"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r w:rsidRPr="00431097">
              <w:rPr>
                <w:rFonts w:ascii="Times New Roman" w:eastAsia="Times New Roman" w:hAnsi="Times New Roman" w:cs="Times New Roman"/>
                <w:sz w:val="20"/>
                <w:szCs w:val="20"/>
                <w:lang w:eastAsia="fr-FR"/>
              </w:rPr>
              <w:t>primary shoots</w:t>
            </w:r>
          </w:p>
        </w:tc>
        <w:tc>
          <w:tcPr>
            <w:tcW w:w="1985" w:type="dxa"/>
            <w:tcBorders>
              <w:top w:val="nil"/>
              <w:left w:val="nil"/>
              <w:bottom w:val="nil"/>
              <w:right w:val="nil"/>
            </w:tcBorders>
            <w:shd w:val="clear" w:color="auto" w:fill="auto"/>
            <w:noWrap/>
            <w:vAlign w:val="bottom"/>
            <w:hideMark/>
          </w:tcPr>
          <w:p w14:paraId="70F8973E"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Trifolium pratense</w:t>
            </w:r>
          </w:p>
        </w:tc>
        <w:tc>
          <w:tcPr>
            <w:tcW w:w="425" w:type="dxa"/>
            <w:tcBorders>
              <w:top w:val="nil"/>
              <w:left w:val="nil"/>
              <w:bottom w:val="nil"/>
              <w:right w:val="nil"/>
            </w:tcBorders>
            <w:shd w:val="clear" w:color="auto" w:fill="auto"/>
            <w:noWrap/>
            <w:vAlign w:val="bottom"/>
            <w:hideMark/>
          </w:tcPr>
          <w:p w14:paraId="0BCF07E8"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5</w:t>
            </w:r>
          </w:p>
        </w:tc>
        <w:tc>
          <w:tcPr>
            <w:tcW w:w="851" w:type="dxa"/>
            <w:tcBorders>
              <w:top w:val="nil"/>
              <w:left w:val="nil"/>
              <w:bottom w:val="nil"/>
              <w:right w:val="nil"/>
            </w:tcBorders>
            <w:shd w:val="clear" w:color="auto" w:fill="auto"/>
            <w:noWrap/>
            <w:vAlign w:val="bottom"/>
            <w:hideMark/>
          </w:tcPr>
          <w:p w14:paraId="206F15CB"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6.24</w:t>
            </w:r>
          </w:p>
        </w:tc>
        <w:tc>
          <w:tcPr>
            <w:tcW w:w="708" w:type="dxa"/>
            <w:tcBorders>
              <w:top w:val="nil"/>
              <w:left w:val="nil"/>
              <w:bottom w:val="nil"/>
              <w:right w:val="nil"/>
            </w:tcBorders>
            <w:shd w:val="clear" w:color="auto" w:fill="auto"/>
            <w:noWrap/>
            <w:vAlign w:val="bottom"/>
            <w:hideMark/>
          </w:tcPr>
          <w:p w14:paraId="60A3BD4C"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1.96</w:t>
            </w:r>
          </w:p>
        </w:tc>
        <w:tc>
          <w:tcPr>
            <w:tcW w:w="709" w:type="dxa"/>
            <w:tcBorders>
              <w:top w:val="nil"/>
              <w:left w:val="nil"/>
              <w:bottom w:val="nil"/>
              <w:right w:val="nil"/>
            </w:tcBorders>
            <w:shd w:val="clear" w:color="auto" w:fill="auto"/>
            <w:noWrap/>
            <w:vAlign w:val="bottom"/>
            <w:hideMark/>
          </w:tcPr>
          <w:p w14:paraId="04A2016D"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0.31</w:t>
            </w:r>
          </w:p>
        </w:tc>
        <w:tc>
          <w:tcPr>
            <w:tcW w:w="2126" w:type="dxa"/>
            <w:tcBorders>
              <w:top w:val="nil"/>
              <w:left w:val="nil"/>
              <w:bottom w:val="nil"/>
              <w:right w:val="nil"/>
            </w:tcBorders>
            <w:shd w:val="clear" w:color="auto" w:fill="auto"/>
            <w:noWrap/>
            <w:vAlign w:val="bottom"/>
            <w:hideMark/>
          </w:tcPr>
          <w:p w14:paraId="561D6CE4"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Gentelet, 2021</w:t>
            </w:r>
          </w:p>
        </w:tc>
      </w:tr>
      <w:tr w:rsidR="0047217F" w:rsidRPr="008C11FE" w14:paraId="57E574F8" w14:textId="77777777" w:rsidTr="00D015A3">
        <w:trPr>
          <w:trHeight w:val="300"/>
        </w:trPr>
        <w:tc>
          <w:tcPr>
            <w:tcW w:w="1134" w:type="dxa"/>
            <w:tcBorders>
              <w:top w:val="nil"/>
              <w:left w:val="nil"/>
              <w:bottom w:val="single" w:sz="4" w:space="0" w:color="auto"/>
              <w:right w:val="nil"/>
            </w:tcBorders>
            <w:shd w:val="clear" w:color="auto" w:fill="auto"/>
            <w:noWrap/>
            <w:vAlign w:val="bottom"/>
            <w:hideMark/>
          </w:tcPr>
          <w:p w14:paraId="617A5CD7"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 </w:t>
            </w:r>
          </w:p>
        </w:tc>
        <w:tc>
          <w:tcPr>
            <w:tcW w:w="993" w:type="dxa"/>
            <w:tcBorders>
              <w:top w:val="nil"/>
              <w:left w:val="nil"/>
              <w:bottom w:val="single" w:sz="4" w:space="0" w:color="auto"/>
              <w:right w:val="nil"/>
            </w:tcBorders>
            <w:shd w:val="clear" w:color="auto" w:fill="auto"/>
            <w:noWrap/>
            <w:vAlign w:val="bottom"/>
            <w:hideMark/>
          </w:tcPr>
          <w:p w14:paraId="2E48946D"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409" w:type="dxa"/>
            <w:tcBorders>
              <w:top w:val="nil"/>
              <w:left w:val="nil"/>
              <w:bottom w:val="single" w:sz="4" w:space="0" w:color="auto"/>
              <w:right w:val="nil"/>
            </w:tcBorders>
            <w:shd w:val="clear" w:color="auto" w:fill="auto"/>
            <w:noWrap/>
            <w:vAlign w:val="bottom"/>
            <w:hideMark/>
          </w:tcPr>
          <w:p w14:paraId="3172D7CA"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1985" w:type="dxa"/>
            <w:tcBorders>
              <w:top w:val="nil"/>
              <w:left w:val="nil"/>
              <w:bottom w:val="single" w:sz="4" w:space="0" w:color="auto"/>
              <w:right w:val="nil"/>
            </w:tcBorders>
            <w:shd w:val="clear" w:color="auto" w:fill="auto"/>
            <w:noWrap/>
            <w:vAlign w:val="bottom"/>
            <w:hideMark/>
          </w:tcPr>
          <w:p w14:paraId="1DCD3115"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 </w:t>
            </w:r>
          </w:p>
        </w:tc>
        <w:tc>
          <w:tcPr>
            <w:tcW w:w="425" w:type="dxa"/>
            <w:tcBorders>
              <w:top w:val="nil"/>
              <w:left w:val="nil"/>
              <w:bottom w:val="single" w:sz="4" w:space="0" w:color="auto"/>
              <w:right w:val="nil"/>
            </w:tcBorders>
            <w:shd w:val="clear" w:color="auto" w:fill="auto"/>
            <w:noWrap/>
            <w:vAlign w:val="bottom"/>
            <w:hideMark/>
          </w:tcPr>
          <w:p w14:paraId="63E0BE28"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851" w:type="dxa"/>
            <w:tcBorders>
              <w:top w:val="nil"/>
              <w:left w:val="nil"/>
              <w:bottom w:val="single" w:sz="4" w:space="0" w:color="auto"/>
              <w:right w:val="nil"/>
            </w:tcBorders>
            <w:shd w:val="clear" w:color="auto" w:fill="auto"/>
            <w:noWrap/>
            <w:vAlign w:val="bottom"/>
            <w:hideMark/>
          </w:tcPr>
          <w:p w14:paraId="3FEBE1F8"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8" w:type="dxa"/>
            <w:tcBorders>
              <w:top w:val="nil"/>
              <w:left w:val="nil"/>
              <w:bottom w:val="single" w:sz="4" w:space="0" w:color="auto"/>
              <w:right w:val="nil"/>
            </w:tcBorders>
            <w:shd w:val="clear" w:color="auto" w:fill="auto"/>
            <w:noWrap/>
            <w:vAlign w:val="bottom"/>
            <w:hideMark/>
          </w:tcPr>
          <w:p w14:paraId="5748ADFA"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9" w:type="dxa"/>
            <w:tcBorders>
              <w:top w:val="nil"/>
              <w:left w:val="nil"/>
              <w:bottom w:val="single" w:sz="4" w:space="0" w:color="auto"/>
              <w:right w:val="nil"/>
            </w:tcBorders>
            <w:shd w:val="clear" w:color="auto" w:fill="auto"/>
            <w:noWrap/>
            <w:vAlign w:val="bottom"/>
            <w:hideMark/>
          </w:tcPr>
          <w:p w14:paraId="1A472338"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126" w:type="dxa"/>
            <w:tcBorders>
              <w:top w:val="nil"/>
              <w:left w:val="nil"/>
              <w:bottom w:val="single" w:sz="4" w:space="0" w:color="auto"/>
              <w:right w:val="nil"/>
            </w:tcBorders>
            <w:shd w:val="clear" w:color="auto" w:fill="auto"/>
            <w:noWrap/>
            <w:vAlign w:val="bottom"/>
            <w:hideMark/>
          </w:tcPr>
          <w:p w14:paraId="361ED530"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r>
      <w:tr w:rsidR="0047217F" w:rsidRPr="008C11FE" w14:paraId="7DF06DAB" w14:textId="77777777" w:rsidTr="00D015A3">
        <w:trPr>
          <w:trHeight w:val="300"/>
        </w:trPr>
        <w:tc>
          <w:tcPr>
            <w:tcW w:w="1134" w:type="dxa"/>
            <w:tcBorders>
              <w:top w:val="nil"/>
              <w:left w:val="nil"/>
              <w:bottom w:val="nil"/>
              <w:right w:val="nil"/>
            </w:tcBorders>
            <w:shd w:val="clear" w:color="auto" w:fill="auto"/>
            <w:noWrap/>
            <w:vAlign w:val="bottom"/>
            <w:hideMark/>
          </w:tcPr>
          <w:p w14:paraId="18C52277"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RUEmax</w:t>
            </w:r>
          </w:p>
        </w:tc>
        <w:tc>
          <w:tcPr>
            <w:tcW w:w="993" w:type="dxa"/>
            <w:tcBorders>
              <w:top w:val="nil"/>
              <w:left w:val="nil"/>
              <w:bottom w:val="nil"/>
              <w:right w:val="nil"/>
            </w:tcBorders>
            <w:shd w:val="clear" w:color="auto" w:fill="auto"/>
            <w:noWrap/>
            <w:vAlign w:val="bottom"/>
            <w:hideMark/>
          </w:tcPr>
          <w:p w14:paraId="5DC7F6EF"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kg.MJ-1</w:t>
            </w:r>
          </w:p>
        </w:tc>
        <w:tc>
          <w:tcPr>
            <w:tcW w:w="2409" w:type="dxa"/>
            <w:tcBorders>
              <w:top w:val="nil"/>
              <w:left w:val="nil"/>
              <w:bottom w:val="nil"/>
              <w:right w:val="nil"/>
            </w:tcBorders>
            <w:shd w:val="clear" w:color="auto" w:fill="auto"/>
            <w:noWrap/>
            <w:vAlign w:val="bottom"/>
            <w:hideMark/>
          </w:tcPr>
          <w:p w14:paraId="5B592882"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xml:space="preserve">Maximal Radiation Use </w:t>
            </w:r>
          </w:p>
        </w:tc>
        <w:tc>
          <w:tcPr>
            <w:tcW w:w="1985" w:type="dxa"/>
            <w:tcBorders>
              <w:top w:val="nil"/>
              <w:left w:val="nil"/>
              <w:bottom w:val="nil"/>
              <w:right w:val="nil"/>
            </w:tcBorders>
            <w:shd w:val="clear" w:color="auto" w:fill="auto"/>
            <w:noWrap/>
            <w:vAlign w:val="bottom"/>
            <w:hideMark/>
          </w:tcPr>
          <w:p w14:paraId="0673DC78"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Triticum aestivum</w:t>
            </w:r>
          </w:p>
        </w:tc>
        <w:tc>
          <w:tcPr>
            <w:tcW w:w="425" w:type="dxa"/>
            <w:tcBorders>
              <w:top w:val="nil"/>
              <w:left w:val="nil"/>
              <w:bottom w:val="nil"/>
              <w:right w:val="nil"/>
            </w:tcBorders>
            <w:shd w:val="clear" w:color="auto" w:fill="auto"/>
            <w:noWrap/>
            <w:vAlign w:val="bottom"/>
            <w:hideMark/>
          </w:tcPr>
          <w:p w14:paraId="25DDA7E2"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NA</w:t>
            </w:r>
          </w:p>
        </w:tc>
        <w:tc>
          <w:tcPr>
            <w:tcW w:w="851" w:type="dxa"/>
            <w:tcBorders>
              <w:top w:val="nil"/>
              <w:left w:val="nil"/>
              <w:bottom w:val="nil"/>
              <w:right w:val="nil"/>
            </w:tcBorders>
            <w:shd w:val="clear" w:color="auto" w:fill="auto"/>
            <w:noWrap/>
            <w:vAlign w:val="bottom"/>
            <w:hideMark/>
          </w:tcPr>
          <w:p w14:paraId="437E5D19"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0.0378</w:t>
            </w:r>
          </w:p>
        </w:tc>
        <w:tc>
          <w:tcPr>
            <w:tcW w:w="708" w:type="dxa"/>
            <w:tcBorders>
              <w:top w:val="nil"/>
              <w:left w:val="nil"/>
              <w:bottom w:val="nil"/>
              <w:right w:val="nil"/>
            </w:tcBorders>
            <w:shd w:val="clear" w:color="auto" w:fill="auto"/>
            <w:noWrap/>
            <w:vAlign w:val="bottom"/>
            <w:hideMark/>
          </w:tcPr>
          <w:p w14:paraId="61C6534F"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0.001</w:t>
            </w:r>
          </w:p>
        </w:tc>
        <w:tc>
          <w:tcPr>
            <w:tcW w:w="709" w:type="dxa"/>
            <w:tcBorders>
              <w:top w:val="nil"/>
              <w:left w:val="nil"/>
              <w:bottom w:val="nil"/>
              <w:right w:val="nil"/>
            </w:tcBorders>
            <w:shd w:val="clear" w:color="auto" w:fill="auto"/>
            <w:noWrap/>
            <w:vAlign w:val="bottom"/>
            <w:hideMark/>
          </w:tcPr>
          <w:p w14:paraId="1076E5A1"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0.03</w:t>
            </w:r>
          </w:p>
        </w:tc>
        <w:tc>
          <w:tcPr>
            <w:tcW w:w="2126" w:type="dxa"/>
            <w:tcBorders>
              <w:top w:val="nil"/>
              <w:left w:val="nil"/>
              <w:bottom w:val="nil"/>
              <w:right w:val="nil"/>
            </w:tcBorders>
            <w:shd w:val="clear" w:color="auto" w:fill="auto"/>
            <w:noWrap/>
            <w:vAlign w:val="bottom"/>
            <w:hideMark/>
          </w:tcPr>
          <w:p w14:paraId="3C54027E"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Slattery &amp; Ort, 2015</w:t>
            </w:r>
          </w:p>
        </w:tc>
      </w:tr>
      <w:tr w:rsidR="0047217F" w:rsidRPr="008C11FE" w14:paraId="18DCB495" w14:textId="77777777" w:rsidTr="00D015A3">
        <w:trPr>
          <w:trHeight w:val="300"/>
        </w:trPr>
        <w:tc>
          <w:tcPr>
            <w:tcW w:w="1134" w:type="dxa"/>
            <w:tcBorders>
              <w:top w:val="nil"/>
              <w:left w:val="nil"/>
              <w:bottom w:val="nil"/>
              <w:right w:val="nil"/>
            </w:tcBorders>
            <w:shd w:val="clear" w:color="auto" w:fill="auto"/>
            <w:noWrap/>
            <w:vAlign w:val="bottom"/>
            <w:hideMark/>
          </w:tcPr>
          <w:p w14:paraId="0BAC276B"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6670F5BB"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168FFA2D"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r w:rsidRPr="003543AB">
              <w:rPr>
                <w:rFonts w:ascii="Calibri" w:eastAsia="Times New Roman" w:hAnsi="Calibri" w:cs="Calibri"/>
                <w:color w:val="000000"/>
                <w:sz w:val="20"/>
                <w:szCs w:val="20"/>
                <w:lang w:eastAsia="fr-FR"/>
              </w:rPr>
              <w:t>Efficiency</w:t>
            </w:r>
          </w:p>
        </w:tc>
        <w:tc>
          <w:tcPr>
            <w:tcW w:w="1985" w:type="dxa"/>
            <w:tcBorders>
              <w:top w:val="nil"/>
              <w:left w:val="nil"/>
              <w:bottom w:val="nil"/>
              <w:right w:val="nil"/>
            </w:tcBorders>
            <w:shd w:val="clear" w:color="auto" w:fill="auto"/>
            <w:noWrap/>
            <w:vAlign w:val="bottom"/>
            <w:hideMark/>
          </w:tcPr>
          <w:p w14:paraId="2C7D51C3"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Zea mays</w:t>
            </w:r>
          </w:p>
        </w:tc>
        <w:tc>
          <w:tcPr>
            <w:tcW w:w="425" w:type="dxa"/>
            <w:tcBorders>
              <w:top w:val="nil"/>
              <w:left w:val="nil"/>
              <w:bottom w:val="nil"/>
              <w:right w:val="nil"/>
            </w:tcBorders>
            <w:shd w:val="clear" w:color="auto" w:fill="auto"/>
            <w:noWrap/>
            <w:vAlign w:val="bottom"/>
            <w:hideMark/>
          </w:tcPr>
          <w:p w14:paraId="5EB66F45"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NA</w:t>
            </w:r>
          </w:p>
        </w:tc>
        <w:tc>
          <w:tcPr>
            <w:tcW w:w="851" w:type="dxa"/>
            <w:tcBorders>
              <w:top w:val="nil"/>
              <w:left w:val="nil"/>
              <w:bottom w:val="nil"/>
              <w:right w:val="nil"/>
            </w:tcBorders>
            <w:shd w:val="clear" w:color="auto" w:fill="auto"/>
            <w:noWrap/>
            <w:vAlign w:val="bottom"/>
            <w:hideMark/>
          </w:tcPr>
          <w:p w14:paraId="17D78435"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0.0488</w:t>
            </w:r>
          </w:p>
        </w:tc>
        <w:tc>
          <w:tcPr>
            <w:tcW w:w="708" w:type="dxa"/>
            <w:tcBorders>
              <w:top w:val="nil"/>
              <w:left w:val="nil"/>
              <w:bottom w:val="nil"/>
              <w:right w:val="nil"/>
            </w:tcBorders>
            <w:shd w:val="clear" w:color="auto" w:fill="auto"/>
            <w:noWrap/>
            <w:vAlign w:val="bottom"/>
            <w:hideMark/>
          </w:tcPr>
          <w:p w14:paraId="41F7AC70"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0.001</w:t>
            </w:r>
          </w:p>
        </w:tc>
        <w:tc>
          <w:tcPr>
            <w:tcW w:w="709" w:type="dxa"/>
            <w:tcBorders>
              <w:top w:val="nil"/>
              <w:left w:val="nil"/>
              <w:bottom w:val="nil"/>
              <w:right w:val="nil"/>
            </w:tcBorders>
            <w:shd w:val="clear" w:color="auto" w:fill="auto"/>
            <w:noWrap/>
            <w:vAlign w:val="bottom"/>
            <w:hideMark/>
          </w:tcPr>
          <w:p w14:paraId="559F0D97"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0.02</w:t>
            </w:r>
          </w:p>
        </w:tc>
        <w:tc>
          <w:tcPr>
            <w:tcW w:w="2126" w:type="dxa"/>
            <w:tcBorders>
              <w:top w:val="nil"/>
              <w:left w:val="nil"/>
              <w:bottom w:val="nil"/>
              <w:right w:val="nil"/>
            </w:tcBorders>
            <w:shd w:val="clear" w:color="auto" w:fill="auto"/>
            <w:noWrap/>
            <w:vAlign w:val="bottom"/>
            <w:hideMark/>
          </w:tcPr>
          <w:p w14:paraId="51D94FF1"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Slattery &amp; Ort, 2015</w:t>
            </w:r>
          </w:p>
        </w:tc>
      </w:tr>
      <w:tr w:rsidR="0047217F" w:rsidRPr="008C11FE" w14:paraId="7F8962AF" w14:textId="77777777" w:rsidTr="00D015A3">
        <w:trPr>
          <w:trHeight w:val="300"/>
        </w:trPr>
        <w:tc>
          <w:tcPr>
            <w:tcW w:w="1134" w:type="dxa"/>
            <w:tcBorders>
              <w:top w:val="nil"/>
              <w:left w:val="nil"/>
              <w:bottom w:val="nil"/>
              <w:right w:val="nil"/>
            </w:tcBorders>
            <w:shd w:val="clear" w:color="auto" w:fill="auto"/>
            <w:noWrap/>
            <w:vAlign w:val="bottom"/>
            <w:hideMark/>
          </w:tcPr>
          <w:p w14:paraId="66087E69"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6EE66A84"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18914B22"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18FC1086"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Sorghum bicolor</w:t>
            </w:r>
          </w:p>
        </w:tc>
        <w:tc>
          <w:tcPr>
            <w:tcW w:w="425" w:type="dxa"/>
            <w:tcBorders>
              <w:top w:val="nil"/>
              <w:left w:val="nil"/>
              <w:bottom w:val="nil"/>
              <w:right w:val="nil"/>
            </w:tcBorders>
            <w:shd w:val="clear" w:color="auto" w:fill="auto"/>
            <w:noWrap/>
            <w:vAlign w:val="bottom"/>
            <w:hideMark/>
          </w:tcPr>
          <w:p w14:paraId="1912AEDD"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NA</w:t>
            </w:r>
          </w:p>
        </w:tc>
        <w:tc>
          <w:tcPr>
            <w:tcW w:w="851" w:type="dxa"/>
            <w:tcBorders>
              <w:top w:val="nil"/>
              <w:left w:val="nil"/>
              <w:bottom w:val="nil"/>
              <w:right w:val="nil"/>
            </w:tcBorders>
            <w:shd w:val="clear" w:color="auto" w:fill="auto"/>
            <w:noWrap/>
            <w:vAlign w:val="bottom"/>
            <w:hideMark/>
          </w:tcPr>
          <w:p w14:paraId="7CCB0104"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0.0455</w:t>
            </w:r>
          </w:p>
        </w:tc>
        <w:tc>
          <w:tcPr>
            <w:tcW w:w="708" w:type="dxa"/>
            <w:tcBorders>
              <w:top w:val="nil"/>
              <w:left w:val="nil"/>
              <w:bottom w:val="nil"/>
              <w:right w:val="nil"/>
            </w:tcBorders>
            <w:shd w:val="clear" w:color="auto" w:fill="auto"/>
            <w:noWrap/>
            <w:vAlign w:val="bottom"/>
            <w:hideMark/>
          </w:tcPr>
          <w:p w14:paraId="12F2E127"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0.002</w:t>
            </w:r>
          </w:p>
        </w:tc>
        <w:tc>
          <w:tcPr>
            <w:tcW w:w="709" w:type="dxa"/>
            <w:tcBorders>
              <w:top w:val="nil"/>
              <w:left w:val="nil"/>
              <w:bottom w:val="nil"/>
              <w:right w:val="nil"/>
            </w:tcBorders>
            <w:shd w:val="clear" w:color="auto" w:fill="auto"/>
            <w:noWrap/>
            <w:vAlign w:val="bottom"/>
            <w:hideMark/>
          </w:tcPr>
          <w:p w14:paraId="0AB461D3"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0.04</w:t>
            </w:r>
          </w:p>
        </w:tc>
        <w:tc>
          <w:tcPr>
            <w:tcW w:w="2126" w:type="dxa"/>
            <w:tcBorders>
              <w:top w:val="nil"/>
              <w:left w:val="nil"/>
              <w:bottom w:val="nil"/>
              <w:right w:val="nil"/>
            </w:tcBorders>
            <w:shd w:val="clear" w:color="auto" w:fill="auto"/>
            <w:noWrap/>
            <w:vAlign w:val="bottom"/>
            <w:hideMark/>
          </w:tcPr>
          <w:p w14:paraId="45198829"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Slattery &amp; Ort, 2015</w:t>
            </w:r>
          </w:p>
        </w:tc>
      </w:tr>
      <w:tr w:rsidR="0047217F" w:rsidRPr="008C11FE" w14:paraId="7C7EB632" w14:textId="77777777" w:rsidTr="00D015A3">
        <w:trPr>
          <w:trHeight w:val="300"/>
        </w:trPr>
        <w:tc>
          <w:tcPr>
            <w:tcW w:w="1134" w:type="dxa"/>
            <w:tcBorders>
              <w:top w:val="nil"/>
              <w:left w:val="nil"/>
              <w:bottom w:val="nil"/>
              <w:right w:val="nil"/>
            </w:tcBorders>
            <w:shd w:val="clear" w:color="auto" w:fill="auto"/>
            <w:noWrap/>
            <w:vAlign w:val="bottom"/>
            <w:hideMark/>
          </w:tcPr>
          <w:p w14:paraId="549BD2F4"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78F8AC62"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76FA3252"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77696467"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Glycine max</w:t>
            </w:r>
          </w:p>
        </w:tc>
        <w:tc>
          <w:tcPr>
            <w:tcW w:w="425" w:type="dxa"/>
            <w:tcBorders>
              <w:top w:val="nil"/>
              <w:left w:val="nil"/>
              <w:bottom w:val="nil"/>
              <w:right w:val="nil"/>
            </w:tcBorders>
            <w:shd w:val="clear" w:color="auto" w:fill="auto"/>
            <w:noWrap/>
            <w:vAlign w:val="bottom"/>
            <w:hideMark/>
          </w:tcPr>
          <w:p w14:paraId="213DC3EC"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NA</w:t>
            </w:r>
          </w:p>
        </w:tc>
        <w:tc>
          <w:tcPr>
            <w:tcW w:w="851" w:type="dxa"/>
            <w:tcBorders>
              <w:top w:val="nil"/>
              <w:left w:val="nil"/>
              <w:bottom w:val="nil"/>
              <w:right w:val="nil"/>
            </w:tcBorders>
            <w:shd w:val="clear" w:color="auto" w:fill="auto"/>
            <w:noWrap/>
            <w:vAlign w:val="bottom"/>
            <w:hideMark/>
          </w:tcPr>
          <w:p w14:paraId="5991FBFD"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0.0282</w:t>
            </w:r>
          </w:p>
        </w:tc>
        <w:tc>
          <w:tcPr>
            <w:tcW w:w="708" w:type="dxa"/>
            <w:tcBorders>
              <w:top w:val="nil"/>
              <w:left w:val="nil"/>
              <w:bottom w:val="nil"/>
              <w:right w:val="nil"/>
            </w:tcBorders>
            <w:shd w:val="clear" w:color="auto" w:fill="auto"/>
            <w:noWrap/>
            <w:vAlign w:val="bottom"/>
            <w:hideMark/>
          </w:tcPr>
          <w:p w14:paraId="507D0F25"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0.001</w:t>
            </w:r>
          </w:p>
        </w:tc>
        <w:tc>
          <w:tcPr>
            <w:tcW w:w="709" w:type="dxa"/>
            <w:tcBorders>
              <w:top w:val="nil"/>
              <w:left w:val="nil"/>
              <w:bottom w:val="nil"/>
              <w:right w:val="nil"/>
            </w:tcBorders>
            <w:shd w:val="clear" w:color="auto" w:fill="auto"/>
            <w:noWrap/>
            <w:vAlign w:val="bottom"/>
            <w:hideMark/>
          </w:tcPr>
          <w:p w14:paraId="68BAF068"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0.04</w:t>
            </w:r>
          </w:p>
        </w:tc>
        <w:tc>
          <w:tcPr>
            <w:tcW w:w="2126" w:type="dxa"/>
            <w:tcBorders>
              <w:top w:val="nil"/>
              <w:left w:val="nil"/>
              <w:bottom w:val="nil"/>
              <w:right w:val="nil"/>
            </w:tcBorders>
            <w:shd w:val="clear" w:color="auto" w:fill="auto"/>
            <w:noWrap/>
            <w:vAlign w:val="bottom"/>
            <w:hideMark/>
          </w:tcPr>
          <w:p w14:paraId="66A5AA2F"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Slattery &amp; Ort, 2015</w:t>
            </w:r>
          </w:p>
        </w:tc>
      </w:tr>
      <w:tr w:rsidR="0047217F" w:rsidRPr="008C11FE" w14:paraId="739D7788" w14:textId="77777777" w:rsidTr="00D015A3">
        <w:trPr>
          <w:trHeight w:val="300"/>
        </w:trPr>
        <w:tc>
          <w:tcPr>
            <w:tcW w:w="1134" w:type="dxa"/>
            <w:tcBorders>
              <w:top w:val="nil"/>
              <w:left w:val="nil"/>
              <w:bottom w:val="nil"/>
              <w:right w:val="nil"/>
            </w:tcBorders>
            <w:shd w:val="clear" w:color="auto" w:fill="auto"/>
            <w:noWrap/>
            <w:vAlign w:val="bottom"/>
            <w:hideMark/>
          </w:tcPr>
          <w:p w14:paraId="2420964D"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1132BE73"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62C0F746"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1FDB2CCC"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Cajanum arietinum</w:t>
            </w:r>
          </w:p>
        </w:tc>
        <w:tc>
          <w:tcPr>
            <w:tcW w:w="425" w:type="dxa"/>
            <w:tcBorders>
              <w:top w:val="nil"/>
              <w:left w:val="nil"/>
              <w:bottom w:val="nil"/>
              <w:right w:val="nil"/>
            </w:tcBorders>
            <w:shd w:val="clear" w:color="auto" w:fill="auto"/>
            <w:noWrap/>
            <w:vAlign w:val="bottom"/>
            <w:hideMark/>
          </w:tcPr>
          <w:p w14:paraId="365244F5"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NA</w:t>
            </w:r>
          </w:p>
        </w:tc>
        <w:tc>
          <w:tcPr>
            <w:tcW w:w="851" w:type="dxa"/>
            <w:tcBorders>
              <w:top w:val="nil"/>
              <w:left w:val="nil"/>
              <w:bottom w:val="nil"/>
              <w:right w:val="nil"/>
            </w:tcBorders>
            <w:shd w:val="clear" w:color="auto" w:fill="auto"/>
            <w:noWrap/>
            <w:vAlign w:val="bottom"/>
            <w:hideMark/>
          </w:tcPr>
          <w:p w14:paraId="0D2C4359"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0.0283</w:t>
            </w:r>
          </w:p>
        </w:tc>
        <w:tc>
          <w:tcPr>
            <w:tcW w:w="708" w:type="dxa"/>
            <w:tcBorders>
              <w:top w:val="nil"/>
              <w:left w:val="nil"/>
              <w:bottom w:val="nil"/>
              <w:right w:val="nil"/>
            </w:tcBorders>
            <w:shd w:val="clear" w:color="auto" w:fill="auto"/>
            <w:noWrap/>
            <w:vAlign w:val="bottom"/>
            <w:hideMark/>
          </w:tcPr>
          <w:p w14:paraId="762066B9"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0.002</w:t>
            </w:r>
          </w:p>
        </w:tc>
        <w:tc>
          <w:tcPr>
            <w:tcW w:w="709" w:type="dxa"/>
            <w:tcBorders>
              <w:top w:val="nil"/>
              <w:left w:val="nil"/>
              <w:bottom w:val="nil"/>
              <w:right w:val="nil"/>
            </w:tcBorders>
            <w:shd w:val="clear" w:color="auto" w:fill="auto"/>
            <w:noWrap/>
            <w:vAlign w:val="bottom"/>
            <w:hideMark/>
          </w:tcPr>
          <w:p w14:paraId="5411CCA7"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0.07</w:t>
            </w:r>
          </w:p>
        </w:tc>
        <w:tc>
          <w:tcPr>
            <w:tcW w:w="2126" w:type="dxa"/>
            <w:tcBorders>
              <w:top w:val="nil"/>
              <w:left w:val="nil"/>
              <w:bottom w:val="nil"/>
              <w:right w:val="nil"/>
            </w:tcBorders>
            <w:shd w:val="clear" w:color="auto" w:fill="auto"/>
            <w:noWrap/>
            <w:vAlign w:val="bottom"/>
            <w:hideMark/>
          </w:tcPr>
          <w:p w14:paraId="49E50FD7"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Slattery &amp; Ort, 2015</w:t>
            </w:r>
          </w:p>
        </w:tc>
      </w:tr>
      <w:tr w:rsidR="0047217F" w:rsidRPr="008C11FE" w14:paraId="3C4995F5" w14:textId="77777777" w:rsidTr="00D015A3">
        <w:trPr>
          <w:trHeight w:val="300"/>
        </w:trPr>
        <w:tc>
          <w:tcPr>
            <w:tcW w:w="1134" w:type="dxa"/>
            <w:tcBorders>
              <w:top w:val="nil"/>
              <w:left w:val="nil"/>
              <w:bottom w:val="single" w:sz="4" w:space="0" w:color="auto"/>
              <w:right w:val="nil"/>
            </w:tcBorders>
            <w:shd w:val="clear" w:color="auto" w:fill="auto"/>
            <w:noWrap/>
            <w:vAlign w:val="bottom"/>
            <w:hideMark/>
          </w:tcPr>
          <w:p w14:paraId="7AFF80BB"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 </w:t>
            </w:r>
          </w:p>
        </w:tc>
        <w:tc>
          <w:tcPr>
            <w:tcW w:w="993" w:type="dxa"/>
            <w:tcBorders>
              <w:top w:val="nil"/>
              <w:left w:val="nil"/>
              <w:bottom w:val="single" w:sz="4" w:space="0" w:color="auto"/>
              <w:right w:val="nil"/>
            </w:tcBorders>
            <w:shd w:val="clear" w:color="auto" w:fill="auto"/>
            <w:noWrap/>
            <w:vAlign w:val="bottom"/>
            <w:hideMark/>
          </w:tcPr>
          <w:p w14:paraId="36FA8E87"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409" w:type="dxa"/>
            <w:tcBorders>
              <w:top w:val="nil"/>
              <w:left w:val="nil"/>
              <w:bottom w:val="single" w:sz="4" w:space="0" w:color="auto"/>
              <w:right w:val="nil"/>
            </w:tcBorders>
            <w:shd w:val="clear" w:color="auto" w:fill="auto"/>
            <w:noWrap/>
            <w:vAlign w:val="bottom"/>
            <w:hideMark/>
          </w:tcPr>
          <w:p w14:paraId="453AAFFA"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1985" w:type="dxa"/>
            <w:tcBorders>
              <w:top w:val="nil"/>
              <w:left w:val="nil"/>
              <w:bottom w:val="single" w:sz="4" w:space="0" w:color="auto"/>
              <w:right w:val="nil"/>
            </w:tcBorders>
            <w:shd w:val="clear" w:color="auto" w:fill="auto"/>
            <w:noWrap/>
            <w:vAlign w:val="bottom"/>
            <w:hideMark/>
          </w:tcPr>
          <w:p w14:paraId="777DE8FA"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 </w:t>
            </w:r>
          </w:p>
        </w:tc>
        <w:tc>
          <w:tcPr>
            <w:tcW w:w="425" w:type="dxa"/>
            <w:tcBorders>
              <w:top w:val="nil"/>
              <w:left w:val="nil"/>
              <w:bottom w:val="single" w:sz="4" w:space="0" w:color="auto"/>
              <w:right w:val="nil"/>
            </w:tcBorders>
            <w:shd w:val="clear" w:color="auto" w:fill="auto"/>
            <w:noWrap/>
            <w:vAlign w:val="bottom"/>
            <w:hideMark/>
          </w:tcPr>
          <w:p w14:paraId="345FB2E3"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851" w:type="dxa"/>
            <w:tcBorders>
              <w:top w:val="nil"/>
              <w:left w:val="nil"/>
              <w:bottom w:val="single" w:sz="4" w:space="0" w:color="auto"/>
              <w:right w:val="nil"/>
            </w:tcBorders>
            <w:shd w:val="clear" w:color="auto" w:fill="auto"/>
            <w:noWrap/>
            <w:vAlign w:val="bottom"/>
            <w:hideMark/>
          </w:tcPr>
          <w:p w14:paraId="565E6FE0"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8" w:type="dxa"/>
            <w:tcBorders>
              <w:top w:val="nil"/>
              <w:left w:val="nil"/>
              <w:bottom w:val="single" w:sz="4" w:space="0" w:color="auto"/>
              <w:right w:val="nil"/>
            </w:tcBorders>
            <w:shd w:val="clear" w:color="auto" w:fill="auto"/>
            <w:noWrap/>
            <w:vAlign w:val="bottom"/>
            <w:hideMark/>
          </w:tcPr>
          <w:p w14:paraId="7FF6D42A"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9" w:type="dxa"/>
            <w:tcBorders>
              <w:top w:val="nil"/>
              <w:left w:val="nil"/>
              <w:bottom w:val="single" w:sz="4" w:space="0" w:color="auto"/>
              <w:right w:val="nil"/>
            </w:tcBorders>
            <w:shd w:val="clear" w:color="auto" w:fill="auto"/>
            <w:noWrap/>
            <w:vAlign w:val="bottom"/>
            <w:hideMark/>
          </w:tcPr>
          <w:p w14:paraId="3B364FC3"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126" w:type="dxa"/>
            <w:tcBorders>
              <w:top w:val="nil"/>
              <w:left w:val="nil"/>
              <w:bottom w:val="single" w:sz="4" w:space="0" w:color="auto"/>
              <w:right w:val="nil"/>
            </w:tcBorders>
            <w:shd w:val="clear" w:color="auto" w:fill="auto"/>
            <w:noWrap/>
            <w:vAlign w:val="bottom"/>
            <w:hideMark/>
          </w:tcPr>
          <w:p w14:paraId="2D9EB319"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r>
      <w:tr w:rsidR="0047217F" w:rsidRPr="008C11FE" w14:paraId="4415A8E4" w14:textId="77777777" w:rsidTr="00D015A3">
        <w:trPr>
          <w:trHeight w:val="300"/>
        </w:trPr>
        <w:tc>
          <w:tcPr>
            <w:tcW w:w="1134" w:type="dxa"/>
            <w:tcBorders>
              <w:top w:val="nil"/>
              <w:left w:val="nil"/>
              <w:bottom w:val="nil"/>
              <w:right w:val="nil"/>
            </w:tcBorders>
            <w:shd w:val="clear" w:color="auto" w:fill="auto"/>
            <w:noWrap/>
            <w:vAlign w:val="bottom"/>
            <w:hideMark/>
          </w:tcPr>
          <w:p w14:paraId="6E0AA39B"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lastRenderedPageBreak/>
              <w:t>IBD</w:t>
            </w:r>
          </w:p>
        </w:tc>
        <w:tc>
          <w:tcPr>
            <w:tcW w:w="993" w:type="dxa"/>
            <w:tcBorders>
              <w:top w:val="nil"/>
              <w:left w:val="nil"/>
              <w:bottom w:val="nil"/>
              <w:right w:val="nil"/>
            </w:tcBorders>
            <w:shd w:val="clear" w:color="auto" w:fill="auto"/>
            <w:noWrap/>
            <w:vAlign w:val="bottom"/>
            <w:hideMark/>
          </w:tcPr>
          <w:p w14:paraId="293355B7"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mm</w:t>
            </w:r>
          </w:p>
        </w:tc>
        <w:tc>
          <w:tcPr>
            <w:tcW w:w="2409" w:type="dxa"/>
            <w:tcBorders>
              <w:top w:val="nil"/>
              <w:left w:val="nil"/>
              <w:bottom w:val="nil"/>
              <w:right w:val="nil"/>
            </w:tcBorders>
            <w:shd w:val="clear" w:color="auto" w:fill="auto"/>
            <w:noWrap/>
            <w:vAlign w:val="bottom"/>
            <w:hideMark/>
          </w:tcPr>
          <w:p w14:paraId="316C103E" w14:textId="77777777" w:rsidR="0047217F" w:rsidRPr="003543AB" w:rsidRDefault="0047217F" w:rsidP="00D015A3">
            <w:pPr>
              <w:spacing w:after="0" w:line="240" w:lineRule="auto"/>
              <w:rPr>
                <w:rFonts w:ascii="Calibri" w:eastAsia="Times New Roman" w:hAnsi="Calibri" w:cs="Calibri"/>
                <w:color w:val="000000"/>
                <w:sz w:val="20"/>
                <w:szCs w:val="20"/>
                <w:lang w:val="en-GB" w:eastAsia="fr-FR"/>
              </w:rPr>
            </w:pPr>
            <w:r w:rsidRPr="003543AB">
              <w:rPr>
                <w:rFonts w:ascii="Calibri" w:eastAsia="Times New Roman" w:hAnsi="Calibri" w:cs="Calibri"/>
                <w:color w:val="000000"/>
                <w:sz w:val="20"/>
                <w:szCs w:val="20"/>
                <w:lang w:val="en-GB" w:eastAsia="fr-FR"/>
              </w:rPr>
              <w:t xml:space="preserve">Average root inter-branch </w:t>
            </w:r>
          </w:p>
        </w:tc>
        <w:tc>
          <w:tcPr>
            <w:tcW w:w="1985" w:type="dxa"/>
            <w:tcBorders>
              <w:top w:val="nil"/>
              <w:left w:val="nil"/>
              <w:bottom w:val="nil"/>
              <w:right w:val="nil"/>
            </w:tcBorders>
            <w:shd w:val="clear" w:color="auto" w:fill="auto"/>
            <w:noWrap/>
            <w:vAlign w:val="bottom"/>
            <w:hideMark/>
          </w:tcPr>
          <w:p w14:paraId="19B7EE4C"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Medicago sativa</w:t>
            </w:r>
          </w:p>
        </w:tc>
        <w:tc>
          <w:tcPr>
            <w:tcW w:w="425" w:type="dxa"/>
            <w:tcBorders>
              <w:top w:val="nil"/>
              <w:left w:val="nil"/>
              <w:bottom w:val="nil"/>
              <w:right w:val="nil"/>
            </w:tcBorders>
            <w:shd w:val="clear" w:color="auto" w:fill="auto"/>
            <w:noWrap/>
            <w:vAlign w:val="bottom"/>
            <w:hideMark/>
          </w:tcPr>
          <w:p w14:paraId="403D8FEF"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5</w:t>
            </w:r>
          </w:p>
        </w:tc>
        <w:tc>
          <w:tcPr>
            <w:tcW w:w="851" w:type="dxa"/>
            <w:tcBorders>
              <w:top w:val="nil"/>
              <w:left w:val="nil"/>
              <w:bottom w:val="nil"/>
              <w:right w:val="nil"/>
            </w:tcBorders>
            <w:shd w:val="clear" w:color="auto" w:fill="auto"/>
            <w:noWrap/>
            <w:vAlign w:val="bottom"/>
            <w:hideMark/>
          </w:tcPr>
          <w:p w14:paraId="14C791C1"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0.54</w:t>
            </w:r>
          </w:p>
        </w:tc>
        <w:tc>
          <w:tcPr>
            <w:tcW w:w="708" w:type="dxa"/>
            <w:tcBorders>
              <w:top w:val="nil"/>
              <w:left w:val="nil"/>
              <w:bottom w:val="nil"/>
              <w:right w:val="nil"/>
            </w:tcBorders>
            <w:shd w:val="clear" w:color="auto" w:fill="auto"/>
            <w:noWrap/>
            <w:vAlign w:val="bottom"/>
            <w:hideMark/>
          </w:tcPr>
          <w:p w14:paraId="472F48FE"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w:t>
            </w:r>
          </w:p>
        </w:tc>
        <w:tc>
          <w:tcPr>
            <w:tcW w:w="709" w:type="dxa"/>
            <w:tcBorders>
              <w:top w:val="nil"/>
              <w:left w:val="nil"/>
              <w:bottom w:val="nil"/>
              <w:right w:val="nil"/>
            </w:tcBorders>
            <w:shd w:val="clear" w:color="auto" w:fill="auto"/>
            <w:noWrap/>
            <w:vAlign w:val="bottom"/>
            <w:hideMark/>
          </w:tcPr>
          <w:p w14:paraId="7C1014BB"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0.19</w:t>
            </w:r>
          </w:p>
        </w:tc>
        <w:tc>
          <w:tcPr>
            <w:tcW w:w="2126" w:type="dxa"/>
            <w:tcBorders>
              <w:top w:val="nil"/>
              <w:left w:val="nil"/>
              <w:bottom w:val="nil"/>
              <w:right w:val="nil"/>
            </w:tcBorders>
            <w:shd w:val="clear" w:color="auto" w:fill="auto"/>
            <w:noWrap/>
            <w:vAlign w:val="bottom"/>
            <w:hideMark/>
          </w:tcPr>
          <w:p w14:paraId="0FF84FAF"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Gentelet, 2021</w:t>
            </w:r>
          </w:p>
        </w:tc>
      </w:tr>
      <w:tr w:rsidR="0047217F" w:rsidRPr="008C11FE" w14:paraId="34D14DE5" w14:textId="77777777" w:rsidTr="00D015A3">
        <w:trPr>
          <w:trHeight w:val="300"/>
        </w:trPr>
        <w:tc>
          <w:tcPr>
            <w:tcW w:w="1134" w:type="dxa"/>
            <w:tcBorders>
              <w:top w:val="nil"/>
              <w:left w:val="nil"/>
              <w:bottom w:val="nil"/>
              <w:right w:val="nil"/>
            </w:tcBorders>
            <w:shd w:val="clear" w:color="auto" w:fill="auto"/>
            <w:noWrap/>
            <w:vAlign w:val="bottom"/>
            <w:hideMark/>
          </w:tcPr>
          <w:p w14:paraId="0DFD1523"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41209F2E"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1B877BC8"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r w:rsidRPr="003543AB">
              <w:rPr>
                <w:rFonts w:ascii="Calibri" w:eastAsia="Times New Roman" w:hAnsi="Calibri" w:cs="Calibri"/>
                <w:color w:val="000000"/>
                <w:sz w:val="20"/>
                <w:szCs w:val="20"/>
                <w:lang w:val="en-GB" w:eastAsia="fr-FR"/>
              </w:rPr>
              <w:t>distance</w:t>
            </w:r>
          </w:p>
        </w:tc>
        <w:tc>
          <w:tcPr>
            <w:tcW w:w="1985" w:type="dxa"/>
            <w:tcBorders>
              <w:top w:val="nil"/>
              <w:left w:val="nil"/>
              <w:bottom w:val="nil"/>
              <w:right w:val="nil"/>
            </w:tcBorders>
            <w:shd w:val="clear" w:color="auto" w:fill="auto"/>
            <w:noWrap/>
            <w:vAlign w:val="bottom"/>
            <w:hideMark/>
          </w:tcPr>
          <w:p w14:paraId="37A479DA"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Solanum lycopersicum</w:t>
            </w:r>
          </w:p>
        </w:tc>
        <w:tc>
          <w:tcPr>
            <w:tcW w:w="425" w:type="dxa"/>
            <w:tcBorders>
              <w:top w:val="nil"/>
              <w:left w:val="nil"/>
              <w:bottom w:val="nil"/>
              <w:right w:val="nil"/>
            </w:tcBorders>
            <w:shd w:val="clear" w:color="auto" w:fill="auto"/>
            <w:noWrap/>
            <w:vAlign w:val="bottom"/>
            <w:hideMark/>
          </w:tcPr>
          <w:p w14:paraId="3BE38400"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10</w:t>
            </w:r>
          </w:p>
        </w:tc>
        <w:tc>
          <w:tcPr>
            <w:tcW w:w="851" w:type="dxa"/>
            <w:tcBorders>
              <w:top w:val="nil"/>
              <w:left w:val="nil"/>
              <w:bottom w:val="nil"/>
              <w:right w:val="nil"/>
            </w:tcBorders>
            <w:shd w:val="clear" w:color="auto" w:fill="auto"/>
            <w:noWrap/>
            <w:vAlign w:val="bottom"/>
            <w:hideMark/>
          </w:tcPr>
          <w:p w14:paraId="224BCBBE"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2.5</w:t>
            </w:r>
          </w:p>
        </w:tc>
        <w:tc>
          <w:tcPr>
            <w:tcW w:w="708" w:type="dxa"/>
            <w:tcBorders>
              <w:top w:val="nil"/>
              <w:left w:val="nil"/>
              <w:bottom w:val="nil"/>
              <w:right w:val="nil"/>
            </w:tcBorders>
            <w:shd w:val="clear" w:color="auto" w:fill="auto"/>
            <w:noWrap/>
            <w:vAlign w:val="bottom"/>
            <w:hideMark/>
          </w:tcPr>
          <w:p w14:paraId="50D40666"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0.259</w:t>
            </w:r>
          </w:p>
        </w:tc>
        <w:tc>
          <w:tcPr>
            <w:tcW w:w="709" w:type="dxa"/>
            <w:tcBorders>
              <w:top w:val="nil"/>
              <w:left w:val="nil"/>
              <w:bottom w:val="nil"/>
              <w:right w:val="nil"/>
            </w:tcBorders>
            <w:shd w:val="clear" w:color="auto" w:fill="auto"/>
            <w:noWrap/>
            <w:vAlign w:val="bottom"/>
            <w:hideMark/>
          </w:tcPr>
          <w:p w14:paraId="710650BE"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0.10</w:t>
            </w:r>
          </w:p>
        </w:tc>
        <w:tc>
          <w:tcPr>
            <w:tcW w:w="2126" w:type="dxa"/>
            <w:tcBorders>
              <w:top w:val="nil"/>
              <w:left w:val="nil"/>
              <w:bottom w:val="nil"/>
              <w:right w:val="nil"/>
            </w:tcBorders>
            <w:shd w:val="clear" w:color="auto" w:fill="auto"/>
            <w:noWrap/>
            <w:vAlign w:val="bottom"/>
            <w:hideMark/>
          </w:tcPr>
          <w:p w14:paraId="1A547320"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Bui et al., 2015</w:t>
            </w:r>
          </w:p>
        </w:tc>
      </w:tr>
      <w:tr w:rsidR="0047217F" w:rsidRPr="008C11FE" w14:paraId="500D6E18" w14:textId="77777777" w:rsidTr="00D015A3">
        <w:trPr>
          <w:trHeight w:val="300"/>
        </w:trPr>
        <w:tc>
          <w:tcPr>
            <w:tcW w:w="1134" w:type="dxa"/>
            <w:tcBorders>
              <w:top w:val="nil"/>
              <w:left w:val="nil"/>
              <w:bottom w:val="nil"/>
              <w:right w:val="nil"/>
            </w:tcBorders>
            <w:shd w:val="clear" w:color="auto" w:fill="auto"/>
            <w:noWrap/>
            <w:vAlign w:val="bottom"/>
            <w:hideMark/>
          </w:tcPr>
          <w:p w14:paraId="5CA617AA"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6AE6CDEA"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33767F32"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63FA7E4C"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Solanum melongena</w:t>
            </w:r>
          </w:p>
        </w:tc>
        <w:tc>
          <w:tcPr>
            <w:tcW w:w="425" w:type="dxa"/>
            <w:tcBorders>
              <w:top w:val="nil"/>
              <w:left w:val="nil"/>
              <w:bottom w:val="nil"/>
              <w:right w:val="nil"/>
            </w:tcBorders>
            <w:shd w:val="clear" w:color="auto" w:fill="auto"/>
            <w:noWrap/>
            <w:vAlign w:val="bottom"/>
            <w:hideMark/>
          </w:tcPr>
          <w:p w14:paraId="1BCC2159"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9</w:t>
            </w:r>
          </w:p>
        </w:tc>
        <w:tc>
          <w:tcPr>
            <w:tcW w:w="851" w:type="dxa"/>
            <w:tcBorders>
              <w:top w:val="nil"/>
              <w:left w:val="nil"/>
              <w:bottom w:val="nil"/>
              <w:right w:val="nil"/>
            </w:tcBorders>
            <w:shd w:val="clear" w:color="auto" w:fill="auto"/>
            <w:noWrap/>
            <w:vAlign w:val="bottom"/>
            <w:hideMark/>
          </w:tcPr>
          <w:p w14:paraId="012810DA"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3.12</w:t>
            </w:r>
          </w:p>
        </w:tc>
        <w:tc>
          <w:tcPr>
            <w:tcW w:w="708" w:type="dxa"/>
            <w:tcBorders>
              <w:top w:val="nil"/>
              <w:left w:val="nil"/>
              <w:bottom w:val="nil"/>
              <w:right w:val="nil"/>
            </w:tcBorders>
            <w:shd w:val="clear" w:color="auto" w:fill="auto"/>
            <w:noWrap/>
            <w:vAlign w:val="bottom"/>
            <w:hideMark/>
          </w:tcPr>
          <w:p w14:paraId="791B338A"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0.54</w:t>
            </w:r>
          </w:p>
        </w:tc>
        <w:tc>
          <w:tcPr>
            <w:tcW w:w="709" w:type="dxa"/>
            <w:tcBorders>
              <w:top w:val="nil"/>
              <w:left w:val="nil"/>
              <w:bottom w:val="nil"/>
              <w:right w:val="nil"/>
            </w:tcBorders>
            <w:shd w:val="clear" w:color="auto" w:fill="auto"/>
            <w:noWrap/>
            <w:vAlign w:val="bottom"/>
            <w:hideMark/>
          </w:tcPr>
          <w:p w14:paraId="239525C1"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0.17</w:t>
            </w:r>
          </w:p>
        </w:tc>
        <w:tc>
          <w:tcPr>
            <w:tcW w:w="2126" w:type="dxa"/>
            <w:tcBorders>
              <w:top w:val="nil"/>
              <w:left w:val="nil"/>
              <w:bottom w:val="nil"/>
              <w:right w:val="nil"/>
            </w:tcBorders>
            <w:shd w:val="clear" w:color="auto" w:fill="auto"/>
            <w:noWrap/>
            <w:vAlign w:val="bottom"/>
            <w:hideMark/>
          </w:tcPr>
          <w:p w14:paraId="2BD61C6E"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Bui et al., 2015</w:t>
            </w:r>
          </w:p>
        </w:tc>
      </w:tr>
      <w:tr w:rsidR="0047217F" w:rsidRPr="008C11FE" w14:paraId="61FB85AC" w14:textId="77777777" w:rsidTr="00D015A3">
        <w:trPr>
          <w:trHeight w:val="300"/>
        </w:trPr>
        <w:tc>
          <w:tcPr>
            <w:tcW w:w="1134" w:type="dxa"/>
            <w:tcBorders>
              <w:top w:val="nil"/>
              <w:left w:val="nil"/>
              <w:bottom w:val="nil"/>
              <w:right w:val="nil"/>
            </w:tcBorders>
            <w:shd w:val="clear" w:color="auto" w:fill="auto"/>
            <w:noWrap/>
            <w:vAlign w:val="bottom"/>
            <w:hideMark/>
          </w:tcPr>
          <w:p w14:paraId="2E456929"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37E00696"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28698747"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73778003"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Capsicum annuum</w:t>
            </w:r>
          </w:p>
        </w:tc>
        <w:tc>
          <w:tcPr>
            <w:tcW w:w="425" w:type="dxa"/>
            <w:tcBorders>
              <w:top w:val="nil"/>
              <w:left w:val="nil"/>
              <w:bottom w:val="nil"/>
              <w:right w:val="nil"/>
            </w:tcBorders>
            <w:shd w:val="clear" w:color="auto" w:fill="auto"/>
            <w:noWrap/>
            <w:vAlign w:val="bottom"/>
            <w:hideMark/>
          </w:tcPr>
          <w:p w14:paraId="4A76EF65"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7</w:t>
            </w:r>
          </w:p>
        </w:tc>
        <w:tc>
          <w:tcPr>
            <w:tcW w:w="851" w:type="dxa"/>
            <w:tcBorders>
              <w:top w:val="nil"/>
              <w:left w:val="nil"/>
              <w:bottom w:val="nil"/>
              <w:right w:val="nil"/>
            </w:tcBorders>
            <w:shd w:val="clear" w:color="auto" w:fill="auto"/>
            <w:noWrap/>
            <w:vAlign w:val="bottom"/>
            <w:hideMark/>
          </w:tcPr>
          <w:p w14:paraId="4FCADCB8"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4.06</w:t>
            </w:r>
          </w:p>
        </w:tc>
        <w:tc>
          <w:tcPr>
            <w:tcW w:w="708" w:type="dxa"/>
            <w:tcBorders>
              <w:top w:val="nil"/>
              <w:left w:val="nil"/>
              <w:bottom w:val="nil"/>
              <w:right w:val="nil"/>
            </w:tcBorders>
            <w:shd w:val="clear" w:color="auto" w:fill="auto"/>
            <w:noWrap/>
            <w:vAlign w:val="bottom"/>
            <w:hideMark/>
          </w:tcPr>
          <w:p w14:paraId="34824F51"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0.58</w:t>
            </w:r>
          </w:p>
        </w:tc>
        <w:tc>
          <w:tcPr>
            <w:tcW w:w="709" w:type="dxa"/>
            <w:tcBorders>
              <w:top w:val="nil"/>
              <w:left w:val="nil"/>
              <w:bottom w:val="nil"/>
              <w:right w:val="nil"/>
            </w:tcBorders>
            <w:shd w:val="clear" w:color="auto" w:fill="auto"/>
            <w:noWrap/>
            <w:vAlign w:val="bottom"/>
            <w:hideMark/>
          </w:tcPr>
          <w:p w14:paraId="0629B36A"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0.14</w:t>
            </w:r>
          </w:p>
        </w:tc>
        <w:tc>
          <w:tcPr>
            <w:tcW w:w="2126" w:type="dxa"/>
            <w:tcBorders>
              <w:top w:val="nil"/>
              <w:left w:val="nil"/>
              <w:bottom w:val="nil"/>
              <w:right w:val="nil"/>
            </w:tcBorders>
            <w:shd w:val="clear" w:color="auto" w:fill="auto"/>
            <w:noWrap/>
            <w:vAlign w:val="bottom"/>
            <w:hideMark/>
          </w:tcPr>
          <w:p w14:paraId="08D4ACF2"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Bui et al., 2015</w:t>
            </w:r>
          </w:p>
        </w:tc>
      </w:tr>
      <w:tr w:rsidR="0047217F" w:rsidRPr="008C11FE" w14:paraId="179E605B" w14:textId="77777777" w:rsidTr="00D015A3">
        <w:trPr>
          <w:trHeight w:val="300"/>
        </w:trPr>
        <w:tc>
          <w:tcPr>
            <w:tcW w:w="1134" w:type="dxa"/>
            <w:tcBorders>
              <w:top w:val="nil"/>
              <w:left w:val="nil"/>
              <w:bottom w:val="nil"/>
              <w:right w:val="nil"/>
            </w:tcBorders>
            <w:shd w:val="clear" w:color="auto" w:fill="auto"/>
            <w:noWrap/>
            <w:vAlign w:val="bottom"/>
            <w:hideMark/>
          </w:tcPr>
          <w:p w14:paraId="0943F573"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0F2BE7B7"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22650E08"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19D80560"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Brassica napus</w:t>
            </w:r>
          </w:p>
        </w:tc>
        <w:tc>
          <w:tcPr>
            <w:tcW w:w="425" w:type="dxa"/>
            <w:tcBorders>
              <w:top w:val="nil"/>
              <w:left w:val="nil"/>
              <w:bottom w:val="nil"/>
              <w:right w:val="nil"/>
            </w:tcBorders>
            <w:shd w:val="clear" w:color="auto" w:fill="auto"/>
            <w:noWrap/>
            <w:vAlign w:val="bottom"/>
            <w:hideMark/>
          </w:tcPr>
          <w:p w14:paraId="0F52FDC2"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8</w:t>
            </w:r>
          </w:p>
        </w:tc>
        <w:tc>
          <w:tcPr>
            <w:tcW w:w="851" w:type="dxa"/>
            <w:tcBorders>
              <w:top w:val="nil"/>
              <w:left w:val="nil"/>
              <w:bottom w:val="nil"/>
              <w:right w:val="nil"/>
            </w:tcBorders>
            <w:shd w:val="clear" w:color="auto" w:fill="auto"/>
            <w:noWrap/>
            <w:vAlign w:val="bottom"/>
            <w:hideMark/>
          </w:tcPr>
          <w:p w14:paraId="7DDDB2B2"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4.2</w:t>
            </w:r>
          </w:p>
        </w:tc>
        <w:tc>
          <w:tcPr>
            <w:tcW w:w="708" w:type="dxa"/>
            <w:tcBorders>
              <w:top w:val="nil"/>
              <w:left w:val="nil"/>
              <w:bottom w:val="nil"/>
              <w:right w:val="nil"/>
            </w:tcBorders>
            <w:shd w:val="clear" w:color="auto" w:fill="auto"/>
            <w:noWrap/>
            <w:vAlign w:val="bottom"/>
            <w:hideMark/>
          </w:tcPr>
          <w:p w14:paraId="3D1D51D9"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0.6</w:t>
            </w:r>
          </w:p>
        </w:tc>
        <w:tc>
          <w:tcPr>
            <w:tcW w:w="709" w:type="dxa"/>
            <w:tcBorders>
              <w:top w:val="nil"/>
              <w:left w:val="nil"/>
              <w:bottom w:val="nil"/>
              <w:right w:val="nil"/>
            </w:tcBorders>
            <w:shd w:val="clear" w:color="auto" w:fill="auto"/>
            <w:noWrap/>
            <w:vAlign w:val="bottom"/>
            <w:hideMark/>
          </w:tcPr>
          <w:p w14:paraId="28D9BCFD"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0.14</w:t>
            </w:r>
          </w:p>
        </w:tc>
        <w:tc>
          <w:tcPr>
            <w:tcW w:w="2126" w:type="dxa"/>
            <w:tcBorders>
              <w:top w:val="nil"/>
              <w:left w:val="nil"/>
              <w:bottom w:val="nil"/>
              <w:right w:val="nil"/>
            </w:tcBorders>
            <w:shd w:val="clear" w:color="auto" w:fill="auto"/>
            <w:noWrap/>
            <w:vAlign w:val="bottom"/>
            <w:hideMark/>
          </w:tcPr>
          <w:p w14:paraId="4433F081"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Lecarpentier et al., 2021</w:t>
            </w:r>
          </w:p>
        </w:tc>
      </w:tr>
      <w:tr w:rsidR="0047217F" w:rsidRPr="008C11FE" w14:paraId="1BF0251C" w14:textId="77777777" w:rsidTr="00D015A3">
        <w:trPr>
          <w:trHeight w:val="300"/>
        </w:trPr>
        <w:tc>
          <w:tcPr>
            <w:tcW w:w="1134" w:type="dxa"/>
            <w:tcBorders>
              <w:top w:val="nil"/>
              <w:left w:val="nil"/>
              <w:bottom w:val="single" w:sz="4" w:space="0" w:color="auto"/>
              <w:right w:val="nil"/>
            </w:tcBorders>
            <w:shd w:val="clear" w:color="auto" w:fill="auto"/>
            <w:noWrap/>
            <w:vAlign w:val="bottom"/>
            <w:hideMark/>
          </w:tcPr>
          <w:p w14:paraId="31E32E38"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 </w:t>
            </w:r>
          </w:p>
        </w:tc>
        <w:tc>
          <w:tcPr>
            <w:tcW w:w="993" w:type="dxa"/>
            <w:tcBorders>
              <w:top w:val="nil"/>
              <w:left w:val="nil"/>
              <w:bottom w:val="single" w:sz="4" w:space="0" w:color="auto"/>
              <w:right w:val="nil"/>
            </w:tcBorders>
            <w:shd w:val="clear" w:color="auto" w:fill="auto"/>
            <w:noWrap/>
            <w:vAlign w:val="bottom"/>
            <w:hideMark/>
          </w:tcPr>
          <w:p w14:paraId="7370E5CB"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409" w:type="dxa"/>
            <w:tcBorders>
              <w:top w:val="nil"/>
              <w:left w:val="nil"/>
              <w:bottom w:val="single" w:sz="4" w:space="0" w:color="auto"/>
              <w:right w:val="nil"/>
            </w:tcBorders>
            <w:shd w:val="clear" w:color="auto" w:fill="auto"/>
            <w:noWrap/>
            <w:vAlign w:val="bottom"/>
            <w:hideMark/>
          </w:tcPr>
          <w:p w14:paraId="4D2C9993"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1985" w:type="dxa"/>
            <w:tcBorders>
              <w:top w:val="nil"/>
              <w:left w:val="nil"/>
              <w:bottom w:val="single" w:sz="4" w:space="0" w:color="auto"/>
              <w:right w:val="nil"/>
            </w:tcBorders>
            <w:shd w:val="clear" w:color="auto" w:fill="auto"/>
            <w:noWrap/>
            <w:vAlign w:val="bottom"/>
            <w:hideMark/>
          </w:tcPr>
          <w:p w14:paraId="430C8DEB"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 </w:t>
            </w:r>
          </w:p>
        </w:tc>
        <w:tc>
          <w:tcPr>
            <w:tcW w:w="425" w:type="dxa"/>
            <w:tcBorders>
              <w:top w:val="nil"/>
              <w:left w:val="nil"/>
              <w:bottom w:val="single" w:sz="4" w:space="0" w:color="auto"/>
              <w:right w:val="nil"/>
            </w:tcBorders>
            <w:shd w:val="clear" w:color="auto" w:fill="auto"/>
            <w:noWrap/>
            <w:vAlign w:val="bottom"/>
            <w:hideMark/>
          </w:tcPr>
          <w:p w14:paraId="53AD5154"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851" w:type="dxa"/>
            <w:tcBorders>
              <w:top w:val="nil"/>
              <w:left w:val="nil"/>
              <w:bottom w:val="single" w:sz="4" w:space="0" w:color="auto"/>
              <w:right w:val="nil"/>
            </w:tcBorders>
            <w:shd w:val="clear" w:color="auto" w:fill="auto"/>
            <w:noWrap/>
            <w:vAlign w:val="bottom"/>
            <w:hideMark/>
          </w:tcPr>
          <w:p w14:paraId="3B15DF01"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8" w:type="dxa"/>
            <w:tcBorders>
              <w:top w:val="nil"/>
              <w:left w:val="nil"/>
              <w:bottom w:val="single" w:sz="4" w:space="0" w:color="auto"/>
              <w:right w:val="nil"/>
            </w:tcBorders>
            <w:shd w:val="clear" w:color="auto" w:fill="auto"/>
            <w:noWrap/>
            <w:vAlign w:val="bottom"/>
            <w:hideMark/>
          </w:tcPr>
          <w:p w14:paraId="5118FAE2"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9" w:type="dxa"/>
            <w:tcBorders>
              <w:top w:val="nil"/>
              <w:left w:val="nil"/>
              <w:bottom w:val="single" w:sz="4" w:space="0" w:color="auto"/>
              <w:right w:val="nil"/>
            </w:tcBorders>
            <w:shd w:val="clear" w:color="auto" w:fill="auto"/>
            <w:noWrap/>
            <w:vAlign w:val="bottom"/>
            <w:hideMark/>
          </w:tcPr>
          <w:p w14:paraId="465DA1EB"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126" w:type="dxa"/>
            <w:tcBorders>
              <w:top w:val="nil"/>
              <w:left w:val="nil"/>
              <w:bottom w:val="single" w:sz="4" w:space="0" w:color="auto"/>
              <w:right w:val="nil"/>
            </w:tcBorders>
            <w:shd w:val="clear" w:color="auto" w:fill="auto"/>
            <w:noWrap/>
            <w:vAlign w:val="bottom"/>
            <w:hideMark/>
          </w:tcPr>
          <w:p w14:paraId="11198AD7"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r>
      <w:tr w:rsidR="0047217F" w:rsidRPr="008C11FE" w14:paraId="577357BF" w14:textId="77777777" w:rsidTr="00D015A3">
        <w:trPr>
          <w:trHeight w:val="300"/>
        </w:trPr>
        <w:tc>
          <w:tcPr>
            <w:tcW w:w="1134" w:type="dxa"/>
            <w:tcBorders>
              <w:top w:val="nil"/>
              <w:left w:val="nil"/>
              <w:bottom w:val="nil"/>
              <w:right w:val="nil"/>
            </w:tcBorders>
            <w:shd w:val="clear" w:color="auto" w:fill="auto"/>
            <w:noWrap/>
            <w:vAlign w:val="bottom"/>
            <w:hideMark/>
          </w:tcPr>
          <w:p w14:paraId="66CC7631"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Dmax</w:t>
            </w:r>
          </w:p>
        </w:tc>
        <w:tc>
          <w:tcPr>
            <w:tcW w:w="993" w:type="dxa"/>
            <w:tcBorders>
              <w:top w:val="nil"/>
              <w:left w:val="nil"/>
              <w:bottom w:val="nil"/>
              <w:right w:val="nil"/>
            </w:tcBorders>
            <w:shd w:val="clear" w:color="auto" w:fill="auto"/>
            <w:noWrap/>
            <w:vAlign w:val="bottom"/>
            <w:hideMark/>
          </w:tcPr>
          <w:p w14:paraId="4CDF1988"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mm</w:t>
            </w:r>
          </w:p>
        </w:tc>
        <w:tc>
          <w:tcPr>
            <w:tcW w:w="2409" w:type="dxa"/>
            <w:tcBorders>
              <w:top w:val="nil"/>
              <w:left w:val="nil"/>
              <w:bottom w:val="nil"/>
              <w:right w:val="nil"/>
            </w:tcBorders>
            <w:shd w:val="clear" w:color="auto" w:fill="auto"/>
            <w:noWrap/>
            <w:vAlign w:val="bottom"/>
            <w:hideMark/>
          </w:tcPr>
          <w:p w14:paraId="25E3472E"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xml:space="preserve">Maximum root apex </w:t>
            </w:r>
          </w:p>
        </w:tc>
        <w:tc>
          <w:tcPr>
            <w:tcW w:w="1985" w:type="dxa"/>
            <w:tcBorders>
              <w:top w:val="nil"/>
              <w:left w:val="nil"/>
              <w:bottom w:val="nil"/>
              <w:right w:val="nil"/>
            </w:tcBorders>
            <w:shd w:val="clear" w:color="auto" w:fill="auto"/>
            <w:noWrap/>
            <w:vAlign w:val="bottom"/>
            <w:hideMark/>
          </w:tcPr>
          <w:p w14:paraId="1B2E8236"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Medicago sativa</w:t>
            </w:r>
          </w:p>
        </w:tc>
        <w:tc>
          <w:tcPr>
            <w:tcW w:w="425" w:type="dxa"/>
            <w:tcBorders>
              <w:top w:val="nil"/>
              <w:left w:val="nil"/>
              <w:bottom w:val="nil"/>
              <w:right w:val="nil"/>
            </w:tcBorders>
            <w:shd w:val="clear" w:color="auto" w:fill="auto"/>
            <w:noWrap/>
            <w:vAlign w:val="bottom"/>
            <w:hideMark/>
          </w:tcPr>
          <w:p w14:paraId="62460491"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5</w:t>
            </w:r>
          </w:p>
        </w:tc>
        <w:tc>
          <w:tcPr>
            <w:tcW w:w="851" w:type="dxa"/>
            <w:tcBorders>
              <w:top w:val="nil"/>
              <w:left w:val="nil"/>
              <w:bottom w:val="nil"/>
              <w:right w:val="nil"/>
            </w:tcBorders>
            <w:shd w:val="clear" w:color="auto" w:fill="auto"/>
            <w:noWrap/>
            <w:vAlign w:val="bottom"/>
            <w:hideMark/>
          </w:tcPr>
          <w:p w14:paraId="332A1C4C"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0.15</w:t>
            </w:r>
          </w:p>
        </w:tc>
        <w:tc>
          <w:tcPr>
            <w:tcW w:w="708" w:type="dxa"/>
            <w:tcBorders>
              <w:top w:val="nil"/>
              <w:left w:val="nil"/>
              <w:bottom w:val="nil"/>
              <w:right w:val="nil"/>
            </w:tcBorders>
            <w:shd w:val="clear" w:color="auto" w:fill="auto"/>
            <w:noWrap/>
            <w:vAlign w:val="bottom"/>
            <w:hideMark/>
          </w:tcPr>
          <w:p w14:paraId="718C5F7B"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0.01</w:t>
            </w:r>
          </w:p>
        </w:tc>
        <w:tc>
          <w:tcPr>
            <w:tcW w:w="709" w:type="dxa"/>
            <w:tcBorders>
              <w:top w:val="nil"/>
              <w:left w:val="nil"/>
              <w:bottom w:val="nil"/>
              <w:right w:val="nil"/>
            </w:tcBorders>
            <w:shd w:val="clear" w:color="auto" w:fill="auto"/>
            <w:noWrap/>
            <w:vAlign w:val="bottom"/>
            <w:hideMark/>
          </w:tcPr>
          <w:p w14:paraId="3137E3A7"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0.07</w:t>
            </w:r>
          </w:p>
        </w:tc>
        <w:tc>
          <w:tcPr>
            <w:tcW w:w="2126" w:type="dxa"/>
            <w:tcBorders>
              <w:top w:val="nil"/>
              <w:left w:val="nil"/>
              <w:bottom w:val="nil"/>
              <w:right w:val="nil"/>
            </w:tcBorders>
            <w:shd w:val="clear" w:color="auto" w:fill="auto"/>
            <w:noWrap/>
            <w:vAlign w:val="bottom"/>
            <w:hideMark/>
          </w:tcPr>
          <w:p w14:paraId="48253BC9"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Gentelet, 2021</w:t>
            </w:r>
          </w:p>
        </w:tc>
      </w:tr>
      <w:tr w:rsidR="0047217F" w:rsidRPr="008C11FE" w14:paraId="65CF28F7" w14:textId="77777777" w:rsidTr="00D015A3">
        <w:trPr>
          <w:trHeight w:val="300"/>
        </w:trPr>
        <w:tc>
          <w:tcPr>
            <w:tcW w:w="1134" w:type="dxa"/>
            <w:tcBorders>
              <w:top w:val="nil"/>
              <w:left w:val="nil"/>
              <w:bottom w:val="nil"/>
              <w:right w:val="nil"/>
            </w:tcBorders>
            <w:shd w:val="clear" w:color="auto" w:fill="auto"/>
            <w:noWrap/>
            <w:vAlign w:val="bottom"/>
            <w:hideMark/>
          </w:tcPr>
          <w:p w14:paraId="7EFA3065"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5F1F961D"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59CEC773"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r w:rsidRPr="00431097">
              <w:rPr>
                <w:rFonts w:ascii="Times New Roman" w:eastAsia="Times New Roman" w:hAnsi="Times New Roman" w:cs="Times New Roman"/>
                <w:sz w:val="20"/>
                <w:szCs w:val="20"/>
                <w:lang w:eastAsia="fr-FR"/>
              </w:rPr>
              <w:t>diameter</w:t>
            </w:r>
          </w:p>
        </w:tc>
        <w:tc>
          <w:tcPr>
            <w:tcW w:w="1985" w:type="dxa"/>
            <w:tcBorders>
              <w:top w:val="nil"/>
              <w:left w:val="nil"/>
              <w:bottom w:val="nil"/>
              <w:right w:val="nil"/>
            </w:tcBorders>
            <w:shd w:val="clear" w:color="auto" w:fill="auto"/>
            <w:noWrap/>
            <w:vAlign w:val="bottom"/>
            <w:hideMark/>
          </w:tcPr>
          <w:p w14:paraId="6CC67CB6"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Solanum lycopersicum</w:t>
            </w:r>
          </w:p>
        </w:tc>
        <w:tc>
          <w:tcPr>
            <w:tcW w:w="425" w:type="dxa"/>
            <w:tcBorders>
              <w:top w:val="nil"/>
              <w:left w:val="nil"/>
              <w:bottom w:val="nil"/>
              <w:right w:val="nil"/>
            </w:tcBorders>
            <w:shd w:val="clear" w:color="auto" w:fill="auto"/>
            <w:noWrap/>
            <w:vAlign w:val="bottom"/>
            <w:hideMark/>
          </w:tcPr>
          <w:p w14:paraId="15AB4E93"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10</w:t>
            </w:r>
          </w:p>
        </w:tc>
        <w:tc>
          <w:tcPr>
            <w:tcW w:w="851" w:type="dxa"/>
            <w:tcBorders>
              <w:top w:val="nil"/>
              <w:left w:val="nil"/>
              <w:bottom w:val="nil"/>
              <w:right w:val="nil"/>
            </w:tcBorders>
            <w:shd w:val="clear" w:color="auto" w:fill="auto"/>
            <w:noWrap/>
            <w:vAlign w:val="bottom"/>
            <w:hideMark/>
          </w:tcPr>
          <w:p w14:paraId="67F22C00"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0.752</w:t>
            </w:r>
          </w:p>
        </w:tc>
        <w:tc>
          <w:tcPr>
            <w:tcW w:w="708" w:type="dxa"/>
            <w:tcBorders>
              <w:top w:val="nil"/>
              <w:left w:val="nil"/>
              <w:bottom w:val="nil"/>
              <w:right w:val="nil"/>
            </w:tcBorders>
            <w:shd w:val="clear" w:color="auto" w:fill="auto"/>
            <w:noWrap/>
            <w:vAlign w:val="bottom"/>
            <w:hideMark/>
          </w:tcPr>
          <w:p w14:paraId="508EEA98"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0.129</w:t>
            </w:r>
          </w:p>
        </w:tc>
        <w:tc>
          <w:tcPr>
            <w:tcW w:w="709" w:type="dxa"/>
            <w:tcBorders>
              <w:top w:val="nil"/>
              <w:left w:val="nil"/>
              <w:bottom w:val="nil"/>
              <w:right w:val="nil"/>
            </w:tcBorders>
            <w:shd w:val="clear" w:color="auto" w:fill="auto"/>
            <w:noWrap/>
            <w:vAlign w:val="bottom"/>
            <w:hideMark/>
          </w:tcPr>
          <w:p w14:paraId="15CAA6F5"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0.17</w:t>
            </w:r>
          </w:p>
        </w:tc>
        <w:tc>
          <w:tcPr>
            <w:tcW w:w="2126" w:type="dxa"/>
            <w:tcBorders>
              <w:top w:val="nil"/>
              <w:left w:val="nil"/>
              <w:bottom w:val="nil"/>
              <w:right w:val="nil"/>
            </w:tcBorders>
            <w:shd w:val="clear" w:color="auto" w:fill="auto"/>
            <w:noWrap/>
            <w:vAlign w:val="bottom"/>
            <w:hideMark/>
          </w:tcPr>
          <w:p w14:paraId="1A73C166"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Bui et al., 2015</w:t>
            </w:r>
          </w:p>
        </w:tc>
      </w:tr>
      <w:tr w:rsidR="0047217F" w:rsidRPr="008C11FE" w14:paraId="1FE27AE3" w14:textId="77777777" w:rsidTr="00D015A3">
        <w:trPr>
          <w:trHeight w:val="300"/>
        </w:trPr>
        <w:tc>
          <w:tcPr>
            <w:tcW w:w="1134" w:type="dxa"/>
            <w:tcBorders>
              <w:top w:val="nil"/>
              <w:left w:val="nil"/>
              <w:bottom w:val="nil"/>
              <w:right w:val="nil"/>
            </w:tcBorders>
            <w:shd w:val="clear" w:color="auto" w:fill="auto"/>
            <w:noWrap/>
            <w:vAlign w:val="bottom"/>
            <w:hideMark/>
          </w:tcPr>
          <w:p w14:paraId="57636D70"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1C6A3622"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31AB8507"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1C1B2CBF"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Solanum melongena</w:t>
            </w:r>
          </w:p>
        </w:tc>
        <w:tc>
          <w:tcPr>
            <w:tcW w:w="425" w:type="dxa"/>
            <w:tcBorders>
              <w:top w:val="nil"/>
              <w:left w:val="nil"/>
              <w:bottom w:val="nil"/>
              <w:right w:val="nil"/>
            </w:tcBorders>
            <w:shd w:val="clear" w:color="auto" w:fill="auto"/>
            <w:noWrap/>
            <w:vAlign w:val="bottom"/>
            <w:hideMark/>
          </w:tcPr>
          <w:p w14:paraId="59904EA3"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9</w:t>
            </w:r>
          </w:p>
        </w:tc>
        <w:tc>
          <w:tcPr>
            <w:tcW w:w="851" w:type="dxa"/>
            <w:tcBorders>
              <w:top w:val="nil"/>
              <w:left w:val="nil"/>
              <w:bottom w:val="nil"/>
              <w:right w:val="nil"/>
            </w:tcBorders>
            <w:shd w:val="clear" w:color="auto" w:fill="auto"/>
            <w:noWrap/>
            <w:vAlign w:val="bottom"/>
            <w:hideMark/>
          </w:tcPr>
          <w:p w14:paraId="1025A659"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0.753</w:t>
            </w:r>
          </w:p>
        </w:tc>
        <w:tc>
          <w:tcPr>
            <w:tcW w:w="708" w:type="dxa"/>
            <w:tcBorders>
              <w:top w:val="nil"/>
              <w:left w:val="nil"/>
              <w:bottom w:val="nil"/>
              <w:right w:val="nil"/>
            </w:tcBorders>
            <w:shd w:val="clear" w:color="auto" w:fill="auto"/>
            <w:noWrap/>
            <w:vAlign w:val="bottom"/>
            <w:hideMark/>
          </w:tcPr>
          <w:p w14:paraId="0F6B63BA"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0.097</w:t>
            </w:r>
          </w:p>
        </w:tc>
        <w:tc>
          <w:tcPr>
            <w:tcW w:w="709" w:type="dxa"/>
            <w:tcBorders>
              <w:top w:val="nil"/>
              <w:left w:val="nil"/>
              <w:bottom w:val="nil"/>
              <w:right w:val="nil"/>
            </w:tcBorders>
            <w:shd w:val="clear" w:color="auto" w:fill="auto"/>
            <w:noWrap/>
            <w:vAlign w:val="bottom"/>
            <w:hideMark/>
          </w:tcPr>
          <w:p w14:paraId="25DD7D4F"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0.13</w:t>
            </w:r>
          </w:p>
        </w:tc>
        <w:tc>
          <w:tcPr>
            <w:tcW w:w="2126" w:type="dxa"/>
            <w:tcBorders>
              <w:top w:val="nil"/>
              <w:left w:val="nil"/>
              <w:bottom w:val="nil"/>
              <w:right w:val="nil"/>
            </w:tcBorders>
            <w:shd w:val="clear" w:color="auto" w:fill="auto"/>
            <w:noWrap/>
            <w:vAlign w:val="bottom"/>
            <w:hideMark/>
          </w:tcPr>
          <w:p w14:paraId="3D1D1604"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Bui et al., 2015</w:t>
            </w:r>
          </w:p>
        </w:tc>
      </w:tr>
      <w:tr w:rsidR="0047217F" w:rsidRPr="008C11FE" w14:paraId="5C16DD37" w14:textId="77777777" w:rsidTr="00D015A3">
        <w:trPr>
          <w:trHeight w:val="300"/>
        </w:trPr>
        <w:tc>
          <w:tcPr>
            <w:tcW w:w="1134" w:type="dxa"/>
            <w:tcBorders>
              <w:top w:val="nil"/>
              <w:left w:val="nil"/>
              <w:bottom w:val="nil"/>
              <w:right w:val="nil"/>
            </w:tcBorders>
            <w:shd w:val="clear" w:color="auto" w:fill="auto"/>
            <w:noWrap/>
            <w:vAlign w:val="bottom"/>
            <w:hideMark/>
          </w:tcPr>
          <w:p w14:paraId="4E910B5D"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2D6DD1C4"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69152404"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6B13A928"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Capsicum annuum</w:t>
            </w:r>
          </w:p>
        </w:tc>
        <w:tc>
          <w:tcPr>
            <w:tcW w:w="425" w:type="dxa"/>
            <w:tcBorders>
              <w:top w:val="nil"/>
              <w:left w:val="nil"/>
              <w:bottom w:val="nil"/>
              <w:right w:val="nil"/>
            </w:tcBorders>
            <w:shd w:val="clear" w:color="auto" w:fill="auto"/>
            <w:noWrap/>
            <w:vAlign w:val="bottom"/>
            <w:hideMark/>
          </w:tcPr>
          <w:p w14:paraId="6C4D5F76"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7</w:t>
            </w:r>
          </w:p>
        </w:tc>
        <w:tc>
          <w:tcPr>
            <w:tcW w:w="851" w:type="dxa"/>
            <w:tcBorders>
              <w:top w:val="nil"/>
              <w:left w:val="nil"/>
              <w:bottom w:val="nil"/>
              <w:right w:val="nil"/>
            </w:tcBorders>
            <w:shd w:val="clear" w:color="auto" w:fill="auto"/>
            <w:noWrap/>
            <w:vAlign w:val="bottom"/>
            <w:hideMark/>
          </w:tcPr>
          <w:p w14:paraId="6F541C7D"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0.943</w:t>
            </w:r>
          </w:p>
        </w:tc>
        <w:tc>
          <w:tcPr>
            <w:tcW w:w="708" w:type="dxa"/>
            <w:tcBorders>
              <w:top w:val="nil"/>
              <w:left w:val="nil"/>
              <w:bottom w:val="nil"/>
              <w:right w:val="nil"/>
            </w:tcBorders>
            <w:shd w:val="clear" w:color="auto" w:fill="auto"/>
            <w:noWrap/>
            <w:vAlign w:val="bottom"/>
            <w:hideMark/>
          </w:tcPr>
          <w:p w14:paraId="08D5D389"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0.111</w:t>
            </w:r>
          </w:p>
        </w:tc>
        <w:tc>
          <w:tcPr>
            <w:tcW w:w="709" w:type="dxa"/>
            <w:tcBorders>
              <w:top w:val="nil"/>
              <w:left w:val="nil"/>
              <w:bottom w:val="nil"/>
              <w:right w:val="nil"/>
            </w:tcBorders>
            <w:shd w:val="clear" w:color="auto" w:fill="auto"/>
            <w:noWrap/>
            <w:vAlign w:val="bottom"/>
            <w:hideMark/>
          </w:tcPr>
          <w:p w14:paraId="0E20E672"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0.12</w:t>
            </w:r>
          </w:p>
        </w:tc>
        <w:tc>
          <w:tcPr>
            <w:tcW w:w="2126" w:type="dxa"/>
            <w:tcBorders>
              <w:top w:val="nil"/>
              <w:left w:val="nil"/>
              <w:bottom w:val="nil"/>
              <w:right w:val="nil"/>
            </w:tcBorders>
            <w:shd w:val="clear" w:color="auto" w:fill="auto"/>
            <w:noWrap/>
            <w:vAlign w:val="bottom"/>
            <w:hideMark/>
          </w:tcPr>
          <w:p w14:paraId="1F355552"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Bui et al., 2015</w:t>
            </w:r>
          </w:p>
        </w:tc>
      </w:tr>
      <w:tr w:rsidR="0047217F" w:rsidRPr="008C11FE" w14:paraId="1840A6F0" w14:textId="77777777" w:rsidTr="00D015A3">
        <w:trPr>
          <w:trHeight w:val="300"/>
        </w:trPr>
        <w:tc>
          <w:tcPr>
            <w:tcW w:w="1134" w:type="dxa"/>
            <w:tcBorders>
              <w:top w:val="nil"/>
              <w:left w:val="nil"/>
              <w:bottom w:val="nil"/>
              <w:right w:val="nil"/>
            </w:tcBorders>
            <w:shd w:val="clear" w:color="auto" w:fill="auto"/>
            <w:noWrap/>
            <w:vAlign w:val="bottom"/>
            <w:hideMark/>
          </w:tcPr>
          <w:p w14:paraId="74316A2F"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26C379CC"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3424502A"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702438EA"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Brassica napus</w:t>
            </w:r>
          </w:p>
        </w:tc>
        <w:tc>
          <w:tcPr>
            <w:tcW w:w="425" w:type="dxa"/>
            <w:tcBorders>
              <w:top w:val="nil"/>
              <w:left w:val="nil"/>
              <w:bottom w:val="nil"/>
              <w:right w:val="nil"/>
            </w:tcBorders>
            <w:shd w:val="clear" w:color="auto" w:fill="auto"/>
            <w:noWrap/>
            <w:vAlign w:val="bottom"/>
            <w:hideMark/>
          </w:tcPr>
          <w:p w14:paraId="38A86B29"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8</w:t>
            </w:r>
          </w:p>
        </w:tc>
        <w:tc>
          <w:tcPr>
            <w:tcW w:w="851" w:type="dxa"/>
            <w:tcBorders>
              <w:top w:val="nil"/>
              <w:left w:val="nil"/>
              <w:bottom w:val="nil"/>
              <w:right w:val="nil"/>
            </w:tcBorders>
            <w:shd w:val="clear" w:color="auto" w:fill="auto"/>
            <w:noWrap/>
            <w:vAlign w:val="bottom"/>
            <w:hideMark/>
          </w:tcPr>
          <w:p w14:paraId="3023CB01"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0.68</w:t>
            </w:r>
          </w:p>
        </w:tc>
        <w:tc>
          <w:tcPr>
            <w:tcW w:w="708" w:type="dxa"/>
            <w:tcBorders>
              <w:top w:val="nil"/>
              <w:left w:val="nil"/>
              <w:bottom w:val="nil"/>
              <w:right w:val="nil"/>
            </w:tcBorders>
            <w:shd w:val="clear" w:color="auto" w:fill="auto"/>
            <w:noWrap/>
            <w:vAlign w:val="bottom"/>
            <w:hideMark/>
          </w:tcPr>
          <w:p w14:paraId="682FA74C"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0.055</w:t>
            </w:r>
          </w:p>
        </w:tc>
        <w:tc>
          <w:tcPr>
            <w:tcW w:w="709" w:type="dxa"/>
            <w:tcBorders>
              <w:top w:val="nil"/>
              <w:left w:val="nil"/>
              <w:bottom w:val="nil"/>
              <w:right w:val="nil"/>
            </w:tcBorders>
            <w:shd w:val="clear" w:color="auto" w:fill="auto"/>
            <w:noWrap/>
            <w:vAlign w:val="bottom"/>
            <w:hideMark/>
          </w:tcPr>
          <w:p w14:paraId="073208D2"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0.08</w:t>
            </w:r>
          </w:p>
        </w:tc>
        <w:tc>
          <w:tcPr>
            <w:tcW w:w="2126" w:type="dxa"/>
            <w:tcBorders>
              <w:top w:val="nil"/>
              <w:left w:val="nil"/>
              <w:bottom w:val="nil"/>
              <w:right w:val="nil"/>
            </w:tcBorders>
            <w:shd w:val="clear" w:color="auto" w:fill="auto"/>
            <w:noWrap/>
            <w:vAlign w:val="bottom"/>
            <w:hideMark/>
          </w:tcPr>
          <w:p w14:paraId="25891D95"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Lecarpentier et al., 2021</w:t>
            </w:r>
          </w:p>
        </w:tc>
      </w:tr>
      <w:tr w:rsidR="0047217F" w:rsidRPr="008C11FE" w14:paraId="7D11C6A9" w14:textId="77777777" w:rsidTr="00D015A3">
        <w:trPr>
          <w:trHeight w:val="300"/>
        </w:trPr>
        <w:tc>
          <w:tcPr>
            <w:tcW w:w="1134" w:type="dxa"/>
            <w:tcBorders>
              <w:top w:val="nil"/>
              <w:left w:val="nil"/>
              <w:bottom w:val="single" w:sz="4" w:space="0" w:color="auto"/>
              <w:right w:val="nil"/>
            </w:tcBorders>
            <w:shd w:val="clear" w:color="auto" w:fill="auto"/>
            <w:noWrap/>
            <w:vAlign w:val="bottom"/>
            <w:hideMark/>
          </w:tcPr>
          <w:p w14:paraId="0350F572"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 </w:t>
            </w:r>
          </w:p>
        </w:tc>
        <w:tc>
          <w:tcPr>
            <w:tcW w:w="993" w:type="dxa"/>
            <w:tcBorders>
              <w:top w:val="nil"/>
              <w:left w:val="nil"/>
              <w:bottom w:val="single" w:sz="4" w:space="0" w:color="auto"/>
              <w:right w:val="nil"/>
            </w:tcBorders>
            <w:shd w:val="clear" w:color="auto" w:fill="auto"/>
            <w:noWrap/>
            <w:vAlign w:val="bottom"/>
            <w:hideMark/>
          </w:tcPr>
          <w:p w14:paraId="53E4C8FD"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409" w:type="dxa"/>
            <w:tcBorders>
              <w:top w:val="nil"/>
              <w:left w:val="nil"/>
              <w:bottom w:val="single" w:sz="4" w:space="0" w:color="auto"/>
              <w:right w:val="nil"/>
            </w:tcBorders>
            <w:shd w:val="clear" w:color="auto" w:fill="auto"/>
            <w:noWrap/>
            <w:vAlign w:val="bottom"/>
            <w:hideMark/>
          </w:tcPr>
          <w:p w14:paraId="0AFF830F"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1985" w:type="dxa"/>
            <w:tcBorders>
              <w:top w:val="nil"/>
              <w:left w:val="nil"/>
              <w:bottom w:val="single" w:sz="4" w:space="0" w:color="auto"/>
              <w:right w:val="nil"/>
            </w:tcBorders>
            <w:shd w:val="clear" w:color="auto" w:fill="auto"/>
            <w:noWrap/>
            <w:vAlign w:val="bottom"/>
            <w:hideMark/>
          </w:tcPr>
          <w:p w14:paraId="07538535"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 </w:t>
            </w:r>
          </w:p>
        </w:tc>
        <w:tc>
          <w:tcPr>
            <w:tcW w:w="425" w:type="dxa"/>
            <w:tcBorders>
              <w:top w:val="nil"/>
              <w:left w:val="nil"/>
              <w:bottom w:val="single" w:sz="4" w:space="0" w:color="auto"/>
              <w:right w:val="nil"/>
            </w:tcBorders>
            <w:shd w:val="clear" w:color="auto" w:fill="auto"/>
            <w:noWrap/>
            <w:vAlign w:val="bottom"/>
            <w:hideMark/>
          </w:tcPr>
          <w:p w14:paraId="2A2A02EB"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851" w:type="dxa"/>
            <w:tcBorders>
              <w:top w:val="nil"/>
              <w:left w:val="nil"/>
              <w:bottom w:val="single" w:sz="4" w:space="0" w:color="auto"/>
              <w:right w:val="nil"/>
            </w:tcBorders>
            <w:shd w:val="clear" w:color="auto" w:fill="auto"/>
            <w:noWrap/>
            <w:vAlign w:val="bottom"/>
            <w:hideMark/>
          </w:tcPr>
          <w:p w14:paraId="28BEC1D9"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8" w:type="dxa"/>
            <w:tcBorders>
              <w:top w:val="nil"/>
              <w:left w:val="nil"/>
              <w:bottom w:val="single" w:sz="4" w:space="0" w:color="auto"/>
              <w:right w:val="nil"/>
            </w:tcBorders>
            <w:shd w:val="clear" w:color="auto" w:fill="auto"/>
            <w:noWrap/>
            <w:vAlign w:val="bottom"/>
            <w:hideMark/>
          </w:tcPr>
          <w:p w14:paraId="391F5875"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9" w:type="dxa"/>
            <w:tcBorders>
              <w:top w:val="nil"/>
              <w:left w:val="nil"/>
              <w:bottom w:val="single" w:sz="4" w:space="0" w:color="auto"/>
              <w:right w:val="nil"/>
            </w:tcBorders>
            <w:shd w:val="clear" w:color="auto" w:fill="auto"/>
            <w:noWrap/>
            <w:vAlign w:val="bottom"/>
            <w:hideMark/>
          </w:tcPr>
          <w:p w14:paraId="029143F2"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126" w:type="dxa"/>
            <w:tcBorders>
              <w:top w:val="nil"/>
              <w:left w:val="nil"/>
              <w:bottom w:val="single" w:sz="4" w:space="0" w:color="auto"/>
              <w:right w:val="nil"/>
            </w:tcBorders>
            <w:shd w:val="clear" w:color="auto" w:fill="auto"/>
            <w:noWrap/>
            <w:vAlign w:val="bottom"/>
            <w:hideMark/>
          </w:tcPr>
          <w:p w14:paraId="19E83A50"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r>
      <w:tr w:rsidR="0047217F" w:rsidRPr="008C11FE" w14:paraId="6189ABA2" w14:textId="77777777" w:rsidTr="00D015A3">
        <w:trPr>
          <w:trHeight w:val="300"/>
        </w:trPr>
        <w:tc>
          <w:tcPr>
            <w:tcW w:w="1134" w:type="dxa"/>
            <w:tcBorders>
              <w:top w:val="nil"/>
              <w:left w:val="nil"/>
              <w:bottom w:val="nil"/>
              <w:right w:val="nil"/>
            </w:tcBorders>
            <w:shd w:val="clear" w:color="auto" w:fill="auto"/>
            <w:noWrap/>
            <w:vAlign w:val="bottom"/>
            <w:hideMark/>
          </w:tcPr>
          <w:p w14:paraId="2DFF29B2"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ELmax</w:t>
            </w:r>
          </w:p>
        </w:tc>
        <w:tc>
          <w:tcPr>
            <w:tcW w:w="993" w:type="dxa"/>
            <w:tcBorders>
              <w:top w:val="nil"/>
              <w:left w:val="nil"/>
              <w:bottom w:val="nil"/>
              <w:right w:val="nil"/>
            </w:tcBorders>
            <w:shd w:val="clear" w:color="auto" w:fill="auto"/>
            <w:noWrap/>
            <w:vAlign w:val="bottom"/>
            <w:hideMark/>
          </w:tcPr>
          <w:p w14:paraId="30EF6583"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mm.°Cd-1</w:t>
            </w:r>
          </w:p>
        </w:tc>
        <w:tc>
          <w:tcPr>
            <w:tcW w:w="2409" w:type="dxa"/>
            <w:tcBorders>
              <w:top w:val="nil"/>
              <w:left w:val="nil"/>
              <w:bottom w:val="nil"/>
              <w:right w:val="nil"/>
            </w:tcBorders>
            <w:shd w:val="clear" w:color="auto" w:fill="auto"/>
            <w:noWrap/>
            <w:vAlign w:val="bottom"/>
            <w:hideMark/>
          </w:tcPr>
          <w:p w14:paraId="6B160FE1"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xml:space="preserve">Elongation rate of roots </w:t>
            </w:r>
          </w:p>
        </w:tc>
        <w:tc>
          <w:tcPr>
            <w:tcW w:w="1985" w:type="dxa"/>
            <w:tcBorders>
              <w:top w:val="nil"/>
              <w:left w:val="nil"/>
              <w:bottom w:val="nil"/>
              <w:right w:val="nil"/>
            </w:tcBorders>
            <w:shd w:val="clear" w:color="auto" w:fill="auto"/>
            <w:noWrap/>
            <w:vAlign w:val="bottom"/>
            <w:hideMark/>
          </w:tcPr>
          <w:p w14:paraId="486C1AE8"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Medicago sativa</w:t>
            </w:r>
          </w:p>
        </w:tc>
        <w:tc>
          <w:tcPr>
            <w:tcW w:w="425" w:type="dxa"/>
            <w:tcBorders>
              <w:top w:val="nil"/>
              <w:left w:val="nil"/>
              <w:bottom w:val="nil"/>
              <w:right w:val="nil"/>
            </w:tcBorders>
            <w:shd w:val="clear" w:color="auto" w:fill="auto"/>
            <w:noWrap/>
            <w:vAlign w:val="bottom"/>
            <w:hideMark/>
          </w:tcPr>
          <w:p w14:paraId="76510CF8"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5</w:t>
            </w:r>
          </w:p>
        </w:tc>
        <w:tc>
          <w:tcPr>
            <w:tcW w:w="851" w:type="dxa"/>
            <w:tcBorders>
              <w:top w:val="nil"/>
              <w:left w:val="nil"/>
              <w:bottom w:val="nil"/>
              <w:right w:val="nil"/>
            </w:tcBorders>
            <w:shd w:val="clear" w:color="auto" w:fill="auto"/>
            <w:noWrap/>
            <w:vAlign w:val="bottom"/>
            <w:hideMark/>
          </w:tcPr>
          <w:p w14:paraId="1E6B8C5E"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0.03</w:t>
            </w:r>
          </w:p>
        </w:tc>
        <w:tc>
          <w:tcPr>
            <w:tcW w:w="708" w:type="dxa"/>
            <w:tcBorders>
              <w:top w:val="nil"/>
              <w:left w:val="nil"/>
              <w:bottom w:val="nil"/>
              <w:right w:val="nil"/>
            </w:tcBorders>
            <w:shd w:val="clear" w:color="auto" w:fill="auto"/>
            <w:noWrap/>
            <w:vAlign w:val="bottom"/>
            <w:hideMark/>
          </w:tcPr>
          <w:p w14:paraId="1EF4B8CF"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0.01</w:t>
            </w:r>
          </w:p>
        </w:tc>
        <w:tc>
          <w:tcPr>
            <w:tcW w:w="709" w:type="dxa"/>
            <w:tcBorders>
              <w:top w:val="nil"/>
              <w:left w:val="nil"/>
              <w:bottom w:val="nil"/>
              <w:right w:val="nil"/>
            </w:tcBorders>
            <w:shd w:val="clear" w:color="auto" w:fill="auto"/>
            <w:noWrap/>
            <w:vAlign w:val="bottom"/>
            <w:hideMark/>
          </w:tcPr>
          <w:p w14:paraId="2D629BB1"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0.33</w:t>
            </w:r>
          </w:p>
        </w:tc>
        <w:tc>
          <w:tcPr>
            <w:tcW w:w="2126" w:type="dxa"/>
            <w:tcBorders>
              <w:top w:val="nil"/>
              <w:left w:val="nil"/>
              <w:bottom w:val="nil"/>
              <w:right w:val="nil"/>
            </w:tcBorders>
            <w:shd w:val="clear" w:color="auto" w:fill="auto"/>
            <w:noWrap/>
            <w:vAlign w:val="bottom"/>
            <w:hideMark/>
          </w:tcPr>
          <w:p w14:paraId="3AFB9B82"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Gentelet, 2021</w:t>
            </w:r>
          </w:p>
        </w:tc>
      </w:tr>
      <w:tr w:rsidR="0047217F" w:rsidRPr="008C11FE" w14:paraId="234D3047" w14:textId="77777777" w:rsidTr="00D015A3">
        <w:trPr>
          <w:trHeight w:val="300"/>
        </w:trPr>
        <w:tc>
          <w:tcPr>
            <w:tcW w:w="1134" w:type="dxa"/>
            <w:tcBorders>
              <w:top w:val="nil"/>
              <w:left w:val="nil"/>
              <w:bottom w:val="nil"/>
              <w:right w:val="nil"/>
            </w:tcBorders>
            <w:shd w:val="clear" w:color="auto" w:fill="auto"/>
            <w:noWrap/>
            <w:vAlign w:val="bottom"/>
            <w:hideMark/>
          </w:tcPr>
          <w:p w14:paraId="798A44C8"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487DB22E"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19295C90" w14:textId="77777777" w:rsidR="0047217F" w:rsidRPr="003543AB" w:rsidRDefault="0047217F" w:rsidP="00D015A3">
            <w:pPr>
              <w:spacing w:after="0" w:line="240" w:lineRule="auto"/>
              <w:rPr>
                <w:rFonts w:ascii="Calibri" w:eastAsia="Times New Roman" w:hAnsi="Calibri" w:cs="Calibri"/>
                <w:color w:val="000000"/>
                <w:sz w:val="20"/>
                <w:szCs w:val="20"/>
                <w:lang w:val="en-GB" w:eastAsia="fr-FR"/>
              </w:rPr>
            </w:pPr>
            <w:r w:rsidRPr="003543AB">
              <w:rPr>
                <w:rFonts w:ascii="Calibri" w:eastAsia="Times New Roman" w:hAnsi="Calibri" w:cs="Calibri"/>
                <w:color w:val="000000"/>
                <w:sz w:val="20"/>
                <w:szCs w:val="20"/>
                <w:lang w:val="en-GB" w:eastAsia="fr-FR"/>
              </w:rPr>
              <w:t xml:space="preserve">at the maximal apex </w:t>
            </w:r>
          </w:p>
        </w:tc>
        <w:tc>
          <w:tcPr>
            <w:tcW w:w="1985" w:type="dxa"/>
            <w:tcBorders>
              <w:top w:val="nil"/>
              <w:left w:val="nil"/>
              <w:bottom w:val="nil"/>
              <w:right w:val="nil"/>
            </w:tcBorders>
            <w:shd w:val="clear" w:color="auto" w:fill="auto"/>
            <w:noWrap/>
            <w:vAlign w:val="bottom"/>
            <w:hideMark/>
          </w:tcPr>
          <w:p w14:paraId="62D0CF96"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Solanum lycopersicum</w:t>
            </w:r>
          </w:p>
        </w:tc>
        <w:tc>
          <w:tcPr>
            <w:tcW w:w="425" w:type="dxa"/>
            <w:tcBorders>
              <w:top w:val="nil"/>
              <w:left w:val="nil"/>
              <w:bottom w:val="nil"/>
              <w:right w:val="nil"/>
            </w:tcBorders>
            <w:shd w:val="clear" w:color="auto" w:fill="auto"/>
            <w:noWrap/>
            <w:vAlign w:val="bottom"/>
            <w:hideMark/>
          </w:tcPr>
          <w:p w14:paraId="7FB88E12"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10</w:t>
            </w:r>
          </w:p>
        </w:tc>
        <w:tc>
          <w:tcPr>
            <w:tcW w:w="851" w:type="dxa"/>
            <w:tcBorders>
              <w:top w:val="nil"/>
              <w:left w:val="nil"/>
              <w:bottom w:val="nil"/>
              <w:right w:val="nil"/>
            </w:tcBorders>
            <w:shd w:val="clear" w:color="auto" w:fill="auto"/>
            <w:noWrap/>
            <w:vAlign w:val="bottom"/>
            <w:hideMark/>
          </w:tcPr>
          <w:p w14:paraId="662F4DE9"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2.47</w:t>
            </w:r>
          </w:p>
        </w:tc>
        <w:tc>
          <w:tcPr>
            <w:tcW w:w="708" w:type="dxa"/>
            <w:tcBorders>
              <w:top w:val="nil"/>
              <w:left w:val="nil"/>
              <w:bottom w:val="nil"/>
              <w:right w:val="nil"/>
            </w:tcBorders>
            <w:shd w:val="clear" w:color="auto" w:fill="auto"/>
            <w:noWrap/>
            <w:vAlign w:val="bottom"/>
            <w:hideMark/>
          </w:tcPr>
          <w:p w14:paraId="3FCCC9C6"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0.468</w:t>
            </w:r>
          </w:p>
        </w:tc>
        <w:tc>
          <w:tcPr>
            <w:tcW w:w="709" w:type="dxa"/>
            <w:tcBorders>
              <w:top w:val="nil"/>
              <w:left w:val="nil"/>
              <w:bottom w:val="nil"/>
              <w:right w:val="nil"/>
            </w:tcBorders>
            <w:shd w:val="clear" w:color="auto" w:fill="auto"/>
            <w:noWrap/>
            <w:vAlign w:val="bottom"/>
            <w:hideMark/>
          </w:tcPr>
          <w:p w14:paraId="2E657A83"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0.19</w:t>
            </w:r>
          </w:p>
        </w:tc>
        <w:tc>
          <w:tcPr>
            <w:tcW w:w="2126" w:type="dxa"/>
            <w:tcBorders>
              <w:top w:val="nil"/>
              <w:left w:val="nil"/>
              <w:bottom w:val="nil"/>
              <w:right w:val="nil"/>
            </w:tcBorders>
            <w:shd w:val="clear" w:color="auto" w:fill="auto"/>
            <w:noWrap/>
            <w:vAlign w:val="bottom"/>
            <w:hideMark/>
          </w:tcPr>
          <w:p w14:paraId="0619B54E"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Bui et al., 2015</w:t>
            </w:r>
          </w:p>
        </w:tc>
      </w:tr>
      <w:tr w:rsidR="0047217F" w:rsidRPr="008C11FE" w14:paraId="057DC63F" w14:textId="77777777" w:rsidTr="00D015A3">
        <w:trPr>
          <w:trHeight w:val="300"/>
        </w:trPr>
        <w:tc>
          <w:tcPr>
            <w:tcW w:w="1134" w:type="dxa"/>
            <w:tcBorders>
              <w:top w:val="nil"/>
              <w:left w:val="nil"/>
              <w:bottom w:val="nil"/>
              <w:right w:val="nil"/>
            </w:tcBorders>
            <w:shd w:val="clear" w:color="auto" w:fill="auto"/>
            <w:noWrap/>
            <w:vAlign w:val="bottom"/>
            <w:hideMark/>
          </w:tcPr>
          <w:p w14:paraId="6341DD72"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70D94D75"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5B7D62AF"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r w:rsidRPr="003543AB">
              <w:rPr>
                <w:rFonts w:ascii="Calibri" w:eastAsia="Times New Roman" w:hAnsi="Calibri" w:cs="Calibri"/>
                <w:color w:val="000000"/>
                <w:sz w:val="20"/>
                <w:szCs w:val="20"/>
                <w:lang w:val="en-GB" w:eastAsia="fr-FR"/>
              </w:rPr>
              <w:t>diameter</w:t>
            </w:r>
          </w:p>
        </w:tc>
        <w:tc>
          <w:tcPr>
            <w:tcW w:w="1985" w:type="dxa"/>
            <w:tcBorders>
              <w:top w:val="nil"/>
              <w:left w:val="nil"/>
              <w:bottom w:val="nil"/>
              <w:right w:val="nil"/>
            </w:tcBorders>
            <w:shd w:val="clear" w:color="auto" w:fill="auto"/>
            <w:noWrap/>
            <w:vAlign w:val="bottom"/>
            <w:hideMark/>
          </w:tcPr>
          <w:p w14:paraId="743FC40A"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Solanum melongena</w:t>
            </w:r>
          </w:p>
        </w:tc>
        <w:tc>
          <w:tcPr>
            <w:tcW w:w="425" w:type="dxa"/>
            <w:tcBorders>
              <w:top w:val="nil"/>
              <w:left w:val="nil"/>
              <w:bottom w:val="nil"/>
              <w:right w:val="nil"/>
            </w:tcBorders>
            <w:shd w:val="clear" w:color="auto" w:fill="auto"/>
            <w:noWrap/>
            <w:vAlign w:val="bottom"/>
            <w:hideMark/>
          </w:tcPr>
          <w:p w14:paraId="4D50A61F"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9</w:t>
            </w:r>
          </w:p>
        </w:tc>
        <w:tc>
          <w:tcPr>
            <w:tcW w:w="851" w:type="dxa"/>
            <w:tcBorders>
              <w:top w:val="nil"/>
              <w:left w:val="nil"/>
              <w:bottom w:val="nil"/>
              <w:right w:val="nil"/>
            </w:tcBorders>
            <w:shd w:val="clear" w:color="auto" w:fill="auto"/>
            <w:noWrap/>
            <w:vAlign w:val="bottom"/>
            <w:hideMark/>
          </w:tcPr>
          <w:p w14:paraId="2A01E215"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1.77</w:t>
            </w:r>
          </w:p>
        </w:tc>
        <w:tc>
          <w:tcPr>
            <w:tcW w:w="708" w:type="dxa"/>
            <w:tcBorders>
              <w:top w:val="nil"/>
              <w:left w:val="nil"/>
              <w:bottom w:val="nil"/>
              <w:right w:val="nil"/>
            </w:tcBorders>
            <w:shd w:val="clear" w:color="auto" w:fill="auto"/>
            <w:noWrap/>
            <w:vAlign w:val="bottom"/>
            <w:hideMark/>
          </w:tcPr>
          <w:p w14:paraId="254B0BE8"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0.228</w:t>
            </w:r>
          </w:p>
        </w:tc>
        <w:tc>
          <w:tcPr>
            <w:tcW w:w="709" w:type="dxa"/>
            <w:tcBorders>
              <w:top w:val="nil"/>
              <w:left w:val="nil"/>
              <w:bottom w:val="nil"/>
              <w:right w:val="nil"/>
            </w:tcBorders>
            <w:shd w:val="clear" w:color="auto" w:fill="auto"/>
            <w:noWrap/>
            <w:vAlign w:val="bottom"/>
            <w:hideMark/>
          </w:tcPr>
          <w:p w14:paraId="4B1499AC"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0.13</w:t>
            </w:r>
          </w:p>
        </w:tc>
        <w:tc>
          <w:tcPr>
            <w:tcW w:w="2126" w:type="dxa"/>
            <w:tcBorders>
              <w:top w:val="nil"/>
              <w:left w:val="nil"/>
              <w:bottom w:val="nil"/>
              <w:right w:val="nil"/>
            </w:tcBorders>
            <w:shd w:val="clear" w:color="auto" w:fill="auto"/>
            <w:noWrap/>
            <w:vAlign w:val="bottom"/>
            <w:hideMark/>
          </w:tcPr>
          <w:p w14:paraId="705845E1"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Bui et al., 2015</w:t>
            </w:r>
          </w:p>
        </w:tc>
      </w:tr>
      <w:tr w:rsidR="0047217F" w:rsidRPr="008C11FE" w14:paraId="439FE883" w14:textId="77777777" w:rsidTr="00D015A3">
        <w:trPr>
          <w:trHeight w:val="300"/>
        </w:trPr>
        <w:tc>
          <w:tcPr>
            <w:tcW w:w="1134" w:type="dxa"/>
            <w:tcBorders>
              <w:top w:val="nil"/>
              <w:left w:val="nil"/>
              <w:bottom w:val="nil"/>
              <w:right w:val="nil"/>
            </w:tcBorders>
            <w:shd w:val="clear" w:color="auto" w:fill="auto"/>
            <w:noWrap/>
            <w:vAlign w:val="bottom"/>
            <w:hideMark/>
          </w:tcPr>
          <w:p w14:paraId="452B1BF4"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21DC3AE8"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18CC92E7"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7B2C595E"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Capsicum annuum</w:t>
            </w:r>
          </w:p>
        </w:tc>
        <w:tc>
          <w:tcPr>
            <w:tcW w:w="425" w:type="dxa"/>
            <w:tcBorders>
              <w:top w:val="nil"/>
              <w:left w:val="nil"/>
              <w:bottom w:val="nil"/>
              <w:right w:val="nil"/>
            </w:tcBorders>
            <w:shd w:val="clear" w:color="auto" w:fill="auto"/>
            <w:noWrap/>
            <w:vAlign w:val="bottom"/>
            <w:hideMark/>
          </w:tcPr>
          <w:p w14:paraId="6F6D66DA"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7</w:t>
            </w:r>
          </w:p>
        </w:tc>
        <w:tc>
          <w:tcPr>
            <w:tcW w:w="851" w:type="dxa"/>
            <w:tcBorders>
              <w:top w:val="nil"/>
              <w:left w:val="nil"/>
              <w:bottom w:val="nil"/>
              <w:right w:val="nil"/>
            </w:tcBorders>
            <w:shd w:val="clear" w:color="auto" w:fill="auto"/>
            <w:noWrap/>
            <w:vAlign w:val="bottom"/>
            <w:hideMark/>
          </w:tcPr>
          <w:p w14:paraId="530FB533"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1.81</w:t>
            </w:r>
          </w:p>
        </w:tc>
        <w:tc>
          <w:tcPr>
            <w:tcW w:w="708" w:type="dxa"/>
            <w:tcBorders>
              <w:top w:val="nil"/>
              <w:left w:val="nil"/>
              <w:bottom w:val="nil"/>
              <w:right w:val="nil"/>
            </w:tcBorders>
            <w:shd w:val="clear" w:color="auto" w:fill="auto"/>
            <w:noWrap/>
            <w:vAlign w:val="bottom"/>
            <w:hideMark/>
          </w:tcPr>
          <w:p w14:paraId="1CA7570C"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0.35</w:t>
            </w:r>
          </w:p>
        </w:tc>
        <w:tc>
          <w:tcPr>
            <w:tcW w:w="709" w:type="dxa"/>
            <w:tcBorders>
              <w:top w:val="nil"/>
              <w:left w:val="nil"/>
              <w:bottom w:val="nil"/>
              <w:right w:val="nil"/>
            </w:tcBorders>
            <w:shd w:val="clear" w:color="auto" w:fill="auto"/>
            <w:noWrap/>
            <w:vAlign w:val="bottom"/>
            <w:hideMark/>
          </w:tcPr>
          <w:p w14:paraId="5AC321F4"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0.19</w:t>
            </w:r>
          </w:p>
        </w:tc>
        <w:tc>
          <w:tcPr>
            <w:tcW w:w="2126" w:type="dxa"/>
            <w:tcBorders>
              <w:top w:val="nil"/>
              <w:left w:val="nil"/>
              <w:bottom w:val="nil"/>
              <w:right w:val="nil"/>
            </w:tcBorders>
            <w:shd w:val="clear" w:color="auto" w:fill="auto"/>
            <w:noWrap/>
            <w:vAlign w:val="bottom"/>
            <w:hideMark/>
          </w:tcPr>
          <w:p w14:paraId="0AFA6922"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Bui et al., 2015</w:t>
            </w:r>
          </w:p>
        </w:tc>
      </w:tr>
      <w:tr w:rsidR="0047217F" w:rsidRPr="008C11FE" w14:paraId="7572B61B" w14:textId="77777777" w:rsidTr="00D015A3">
        <w:trPr>
          <w:trHeight w:val="300"/>
        </w:trPr>
        <w:tc>
          <w:tcPr>
            <w:tcW w:w="1134" w:type="dxa"/>
            <w:tcBorders>
              <w:top w:val="nil"/>
              <w:left w:val="nil"/>
              <w:bottom w:val="single" w:sz="4" w:space="0" w:color="auto"/>
              <w:right w:val="nil"/>
            </w:tcBorders>
            <w:shd w:val="clear" w:color="auto" w:fill="auto"/>
            <w:noWrap/>
            <w:vAlign w:val="bottom"/>
            <w:hideMark/>
          </w:tcPr>
          <w:p w14:paraId="68A7B50A"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 </w:t>
            </w:r>
          </w:p>
        </w:tc>
        <w:tc>
          <w:tcPr>
            <w:tcW w:w="993" w:type="dxa"/>
            <w:tcBorders>
              <w:top w:val="nil"/>
              <w:left w:val="nil"/>
              <w:bottom w:val="single" w:sz="4" w:space="0" w:color="auto"/>
              <w:right w:val="nil"/>
            </w:tcBorders>
            <w:shd w:val="clear" w:color="auto" w:fill="auto"/>
            <w:noWrap/>
            <w:vAlign w:val="bottom"/>
            <w:hideMark/>
          </w:tcPr>
          <w:p w14:paraId="04D93D78"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409" w:type="dxa"/>
            <w:tcBorders>
              <w:top w:val="nil"/>
              <w:left w:val="nil"/>
              <w:bottom w:val="single" w:sz="4" w:space="0" w:color="auto"/>
              <w:right w:val="nil"/>
            </w:tcBorders>
            <w:shd w:val="clear" w:color="auto" w:fill="auto"/>
            <w:noWrap/>
            <w:vAlign w:val="bottom"/>
            <w:hideMark/>
          </w:tcPr>
          <w:p w14:paraId="1D17C93C"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1985" w:type="dxa"/>
            <w:tcBorders>
              <w:top w:val="nil"/>
              <w:left w:val="nil"/>
              <w:bottom w:val="single" w:sz="4" w:space="0" w:color="auto"/>
              <w:right w:val="nil"/>
            </w:tcBorders>
            <w:shd w:val="clear" w:color="auto" w:fill="auto"/>
            <w:noWrap/>
            <w:vAlign w:val="bottom"/>
            <w:hideMark/>
          </w:tcPr>
          <w:p w14:paraId="348FD5D2"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 </w:t>
            </w:r>
          </w:p>
        </w:tc>
        <w:tc>
          <w:tcPr>
            <w:tcW w:w="425" w:type="dxa"/>
            <w:tcBorders>
              <w:top w:val="nil"/>
              <w:left w:val="nil"/>
              <w:bottom w:val="single" w:sz="4" w:space="0" w:color="auto"/>
              <w:right w:val="nil"/>
            </w:tcBorders>
            <w:shd w:val="clear" w:color="auto" w:fill="auto"/>
            <w:noWrap/>
            <w:vAlign w:val="bottom"/>
            <w:hideMark/>
          </w:tcPr>
          <w:p w14:paraId="0D0A96A9"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851" w:type="dxa"/>
            <w:tcBorders>
              <w:top w:val="nil"/>
              <w:left w:val="nil"/>
              <w:bottom w:val="single" w:sz="4" w:space="0" w:color="auto"/>
              <w:right w:val="nil"/>
            </w:tcBorders>
            <w:shd w:val="clear" w:color="auto" w:fill="auto"/>
            <w:noWrap/>
            <w:vAlign w:val="bottom"/>
            <w:hideMark/>
          </w:tcPr>
          <w:p w14:paraId="6A427BCD"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8" w:type="dxa"/>
            <w:tcBorders>
              <w:top w:val="nil"/>
              <w:left w:val="nil"/>
              <w:bottom w:val="single" w:sz="4" w:space="0" w:color="auto"/>
              <w:right w:val="nil"/>
            </w:tcBorders>
            <w:shd w:val="clear" w:color="auto" w:fill="auto"/>
            <w:noWrap/>
            <w:vAlign w:val="bottom"/>
            <w:hideMark/>
          </w:tcPr>
          <w:p w14:paraId="13946056"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9" w:type="dxa"/>
            <w:tcBorders>
              <w:top w:val="nil"/>
              <w:left w:val="nil"/>
              <w:bottom w:val="single" w:sz="4" w:space="0" w:color="auto"/>
              <w:right w:val="nil"/>
            </w:tcBorders>
            <w:shd w:val="clear" w:color="auto" w:fill="auto"/>
            <w:noWrap/>
            <w:vAlign w:val="bottom"/>
            <w:hideMark/>
          </w:tcPr>
          <w:p w14:paraId="3E407632"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126" w:type="dxa"/>
            <w:tcBorders>
              <w:top w:val="nil"/>
              <w:left w:val="nil"/>
              <w:bottom w:val="single" w:sz="4" w:space="0" w:color="auto"/>
              <w:right w:val="nil"/>
            </w:tcBorders>
            <w:shd w:val="clear" w:color="auto" w:fill="auto"/>
            <w:noWrap/>
            <w:vAlign w:val="bottom"/>
            <w:hideMark/>
          </w:tcPr>
          <w:p w14:paraId="4A03236C"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r>
      <w:tr w:rsidR="0047217F" w:rsidRPr="008C11FE" w14:paraId="5D3F7259" w14:textId="77777777" w:rsidTr="00D015A3">
        <w:trPr>
          <w:trHeight w:val="300"/>
        </w:trPr>
        <w:tc>
          <w:tcPr>
            <w:tcW w:w="1134" w:type="dxa"/>
            <w:tcBorders>
              <w:top w:val="nil"/>
              <w:left w:val="nil"/>
              <w:bottom w:val="nil"/>
              <w:right w:val="nil"/>
            </w:tcBorders>
            <w:shd w:val="clear" w:color="auto" w:fill="auto"/>
            <w:noWrap/>
            <w:vAlign w:val="bottom"/>
            <w:hideMark/>
          </w:tcPr>
          <w:p w14:paraId="4CC11BC6"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DlDm</w:t>
            </w:r>
          </w:p>
        </w:tc>
        <w:tc>
          <w:tcPr>
            <w:tcW w:w="993" w:type="dxa"/>
            <w:tcBorders>
              <w:top w:val="nil"/>
              <w:left w:val="nil"/>
              <w:bottom w:val="nil"/>
              <w:right w:val="nil"/>
            </w:tcBorders>
            <w:shd w:val="clear" w:color="auto" w:fill="auto"/>
            <w:noWrap/>
            <w:vAlign w:val="bottom"/>
            <w:hideMark/>
          </w:tcPr>
          <w:p w14:paraId="27535F69"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w:t>
            </w:r>
          </w:p>
        </w:tc>
        <w:tc>
          <w:tcPr>
            <w:tcW w:w="2409" w:type="dxa"/>
            <w:tcBorders>
              <w:top w:val="nil"/>
              <w:left w:val="nil"/>
              <w:bottom w:val="nil"/>
              <w:right w:val="nil"/>
            </w:tcBorders>
            <w:shd w:val="clear" w:color="auto" w:fill="auto"/>
            <w:noWrap/>
            <w:vAlign w:val="bottom"/>
            <w:hideMark/>
          </w:tcPr>
          <w:p w14:paraId="448008E0" w14:textId="77777777" w:rsidR="0047217F" w:rsidRPr="003543AB" w:rsidRDefault="0047217F" w:rsidP="00D015A3">
            <w:pPr>
              <w:spacing w:after="0" w:line="240" w:lineRule="auto"/>
              <w:rPr>
                <w:rFonts w:ascii="Calibri" w:eastAsia="Times New Roman" w:hAnsi="Calibri" w:cs="Calibri"/>
                <w:color w:val="000000"/>
                <w:sz w:val="20"/>
                <w:szCs w:val="20"/>
                <w:lang w:val="en-GB" w:eastAsia="fr-FR"/>
              </w:rPr>
            </w:pPr>
            <w:r w:rsidRPr="003543AB">
              <w:rPr>
                <w:rFonts w:ascii="Calibri" w:eastAsia="Times New Roman" w:hAnsi="Calibri" w:cs="Calibri"/>
                <w:color w:val="000000"/>
                <w:sz w:val="20"/>
                <w:szCs w:val="20"/>
                <w:lang w:val="en-GB" w:eastAsia="fr-FR"/>
              </w:rPr>
              <w:t xml:space="preserve">Slope of the relationship </w:t>
            </w:r>
          </w:p>
        </w:tc>
        <w:tc>
          <w:tcPr>
            <w:tcW w:w="1985" w:type="dxa"/>
            <w:tcBorders>
              <w:top w:val="nil"/>
              <w:left w:val="nil"/>
              <w:bottom w:val="nil"/>
              <w:right w:val="nil"/>
            </w:tcBorders>
            <w:shd w:val="clear" w:color="auto" w:fill="auto"/>
            <w:noWrap/>
            <w:vAlign w:val="bottom"/>
            <w:hideMark/>
          </w:tcPr>
          <w:p w14:paraId="7EE14905"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Medicago sativa</w:t>
            </w:r>
          </w:p>
        </w:tc>
        <w:tc>
          <w:tcPr>
            <w:tcW w:w="425" w:type="dxa"/>
            <w:tcBorders>
              <w:top w:val="nil"/>
              <w:left w:val="nil"/>
              <w:bottom w:val="nil"/>
              <w:right w:val="nil"/>
            </w:tcBorders>
            <w:shd w:val="clear" w:color="auto" w:fill="auto"/>
            <w:noWrap/>
            <w:vAlign w:val="bottom"/>
            <w:hideMark/>
          </w:tcPr>
          <w:p w14:paraId="23BB483E"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5</w:t>
            </w:r>
          </w:p>
        </w:tc>
        <w:tc>
          <w:tcPr>
            <w:tcW w:w="851" w:type="dxa"/>
            <w:tcBorders>
              <w:top w:val="nil"/>
              <w:left w:val="nil"/>
              <w:bottom w:val="nil"/>
              <w:right w:val="nil"/>
            </w:tcBorders>
            <w:shd w:val="clear" w:color="auto" w:fill="auto"/>
            <w:noWrap/>
            <w:vAlign w:val="bottom"/>
            <w:hideMark/>
          </w:tcPr>
          <w:p w14:paraId="62CF3D13"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0.61</w:t>
            </w:r>
          </w:p>
        </w:tc>
        <w:tc>
          <w:tcPr>
            <w:tcW w:w="708" w:type="dxa"/>
            <w:tcBorders>
              <w:top w:val="nil"/>
              <w:left w:val="nil"/>
              <w:bottom w:val="nil"/>
              <w:right w:val="nil"/>
            </w:tcBorders>
            <w:shd w:val="clear" w:color="auto" w:fill="auto"/>
            <w:noWrap/>
            <w:vAlign w:val="bottom"/>
            <w:hideMark/>
          </w:tcPr>
          <w:p w14:paraId="4366F7D7"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0.0525</w:t>
            </w:r>
          </w:p>
        </w:tc>
        <w:tc>
          <w:tcPr>
            <w:tcW w:w="709" w:type="dxa"/>
            <w:tcBorders>
              <w:top w:val="nil"/>
              <w:left w:val="nil"/>
              <w:bottom w:val="nil"/>
              <w:right w:val="nil"/>
            </w:tcBorders>
            <w:shd w:val="clear" w:color="auto" w:fill="auto"/>
            <w:noWrap/>
            <w:vAlign w:val="bottom"/>
            <w:hideMark/>
          </w:tcPr>
          <w:p w14:paraId="603EC932"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0.09</w:t>
            </w:r>
          </w:p>
        </w:tc>
        <w:tc>
          <w:tcPr>
            <w:tcW w:w="2126" w:type="dxa"/>
            <w:tcBorders>
              <w:top w:val="nil"/>
              <w:left w:val="nil"/>
              <w:bottom w:val="nil"/>
              <w:right w:val="nil"/>
            </w:tcBorders>
            <w:shd w:val="clear" w:color="auto" w:fill="auto"/>
            <w:noWrap/>
            <w:vAlign w:val="bottom"/>
            <w:hideMark/>
          </w:tcPr>
          <w:p w14:paraId="63B9780D"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Gentelet, 2021</w:t>
            </w:r>
          </w:p>
        </w:tc>
      </w:tr>
      <w:tr w:rsidR="0047217F" w:rsidRPr="008C11FE" w14:paraId="1A80332E" w14:textId="77777777" w:rsidTr="00D015A3">
        <w:trPr>
          <w:trHeight w:val="300"/>
        </w:trPr>
        <w:tc>
          <w:tcPr>
            <w:tcW w:w="1134" w:type="dxa"/>
            <w:tcBorders>
              <w:top w:val="nil"/>
              <w:left w:val="nil"/>
              <w:bottom w:val="nil"/>
              <w:right w:val="nil"/>
            </w:tcBorders>
            <w:shd w:val="clear" w:color="auto" w:fill="auto"/>
            <w:noWrap/>
            <w:vAlign w:val="bottom"/>
            <w:hideMark/>
          </w:tcPr>
          <w:p w14:paraId="6612A230"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73E4EDD1"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308457B9" w14:textId="77777777" w:rsidR="0047217F" w:rsidRPr="003543AB" w:rsidRDefault="0047217F" w:rsidP="00D015A3">
            <w:pPr>
              <w:spacing w:after="0" w:line="240" w:lineRule="auto"/>
              <w:rPr>
                <w:rFonts w:ascii="Calibri" w:eastAsia="Times New Roman" w:hAnsi="Calibri" w:cs="Calibri"/>
                <w:color w:val="000000"/>
                <w:sz w:val="20"/>
                <w:szCs w:val="20"/>
                <w:lang w:val="en-GB" w:eastAsia="fr-FR"/>
              </w:rPr>
            </w:pPr>
            <w:r w:rsidRPr="003543AB">
              <w:rPr>
                <w:rFonts w:ascii="Calibri" w:eastAsia="Times New Roman" w:hAnsi="Calibri" w:cs="Calibri"/>
                <w:color w:val="000000"/>
                <w:sz w:val="20"/>
                <w:szCs w:val="20"/>
                <w:lang w:val="en-GB" w:eastAsia="fr-FR"/>
              </w:rPr>
              <w:t xml:space="preserve">between parent and </w:t>
            </w:r>
          </w:p>
        </w:tc>
        <w:tc>
          <w:tcPr>
            <w:tcW w:w="1985" w:type="dxa"/>
            <w:tcBorders>
              <w:top w:val="nil"/>
              <w:left w:val="nil"/>
              <w:bottom w:val="nil"/>
              <w:right w:val="nil"/>
            </w:tcBorders>
            <w:shd w:val="clear" w:color="auto" w:fill="auto"/>
            <w:noWrap/>
            <w:vAlign w:val="bottom"/>
            <w:hideMark/>
          </w:tcPr>
          <w:p w14:paraId="60262427"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Solanum lycopersicum</w:t>
            </w:r>
          </w:p>
        </w:tc>
        <w:tc>
          <w:tcPr>
            <w:tcW w:w="425" w:type="dxa"/>
            <w:tcBorders>
              <w:top w:val="nil"/>
              <w:left w:val="nil"/>
              <w:bottom w:val="nil"/>
              <w:right w:val="nil"/>
            </w:tcBorders>
            <w:shd w:val="clear" w:color="auto" w:fill="auto"/>
            <w:noWrap/>
            <w:vAlign w:val="bottom"/>
            <w:hideMark/>
          </w:tcPr>
          <w:p w14:paraId="3245E51A"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10</w:t>
            </w:r>
          </w:p>
        </w:tc>
        <w:tc>
          <w:tcPr>
            <w:tcW w:w="851" w:type="dxa"/>
            <w:tcBorders>
              <w:top w:val="nil"/>
              <w:left w:val="nil"/>
              <w:bottom w:val="nil"/>
              <w:right w:val="nil"/>
            </w:tcBorders>
            <w:shd w:val="clear" w:color="auto" w:fill="auto"/>
            <w:noWrap/>
            <w:vAlign w:val="bottom"/>
            <w:hideMark/>
          </w:tcPr>
          <w:p w14:paraId="3E72F6BB"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0.268</w:t>
            </w:r>
          </w:p>
        </w:tc>
        <w:tc>
          <w:tcPr>
            <w:tcW w:w="708" w:type="dxa"/>
            <w:tcBorders>
              <w:top w:val="nil"/>
              <w:left w:val="nil"/>
              <w:bottom w:val="nil"/>
              <w:right w:val="nil"/>
            </w:tcBorders>
            <w:shd w:val="clear" w:color="auto" w:fill="auto"/>
            <w:noWrap/>
            <w:vAlign w:val="bottom"/>
            <w:hideMark/>
          </w:tcPr>
          <w:p w14:paraId="5B702711"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0.0417</w:t>
            </w:r>
          </w:p>
        </w:tc>
        <w:tc>
          <w:tcPr>
            <w:tcW w:w="709" w:type="dxa"/>
            <w:tcBorders>
              <w:top w:val="nil"/>
              <w:left w:val="nil"/>
              <w:bottom w:val="nil"/>
              <w:right w:val="nil"/>
            </w:tcBorders>
            <w:shd w:val="clear" w:color="auto" w:fill="auto"/>
            <w:noWrap/>
            <w:vAlign w:val="bottom"/>
            <w:hideMark/>
          </w:tcPr>
          <w:p w14:paraId="7897ADC9"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0.16</w:t>
            </w:r>
          </w:p>
        </w:tc>
        <w:tc>
          <w:tcPr>
            <w:tcW w:w="2126" w:type="dxa"/>
            <w:tcBorders>
              <w:top w:val="nil"/>
              <w:left w:val="nil"/>
              <w:bottom w:val="nil"/>
              <w:right w:val="nil"/>
            </w:tcBorders>
            <w:shd w:val="clear" w:color="auto" w:fill="auto"/>
            <w:noWrap/>
            <w:vAlign w:val="bottom"/>
            <w:hideMark/>
          </w:tcPr>
          <w:p w14:paraId="6DF2E676"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Bui et al., 2015</w:t>
            </w:r>
          </w:p>
        </w:tc>
      </w:tr>
      <w:tr w:rsidR="0047217F" w:rsidRPr="008C11FE" w14:paraId="034654F7" w14:textId="77777777" w:rsidTr="00D015A3">
        <w:trPr>
          <w:trHeight w:val="300"/>
        </w:trPr>
        <w:tc>
          <w:tcPr>
            <w:tcW w:w="1134" w:type="dxa"/>
            <w:tcBorders>
              <w:top w:val="nil"/>
              <w:left w:val="nil"/>
              <w:bottom w:val="nil"/>
              <w:right w:val="nil"/>
            </w:tcBorders>
            <w:shd w:val="clear" w:color="auto" w:fill="auto"/>
            <w:noWrap/>
            <w:vAlign w:val="bottom"/>
            <w:hideMark/>
          </w:tcPr>
          <w:p w14:paraId="43383E5B"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5FBD104F"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73278C13"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r w:rsidRPr="003543AB">
              <w:rPr>
                <w:rFonts w:ascii="Calibri" w:eastAsia="Times New Roman" w:hAnsi="Calibri" w:cs="Calibri"/>
                <w:color w:val="000000"/>
                <w:sz w:val="20"/>
                <w:szCs w:val="20"/>
                <w:lang w:val="en-GB" w:eastAsia="fr-FR"/>
              </w:rPr>
              <w:t>lateral root diameters</w:t>
            </w:r>
          </w:p>
        </w:tc>
        <w:tc>
          <w:tcPr>
            <w:tcW w:w="1985" w:type="dxa"/>
            <w:tcBorders>
              <w:top w:val="nil"/>
              <w:left w:val="nil"/>
              <w:bottom w:val="nil"/>
              <w:right w:val="nil"/>
            </w:tcBorders>
            <w:shd w:val="clear" w:color="auto" w:fill="auto"/>
            <w:noWrap/>
            <w:vAlign w:val="bottom"/>
            <w:hideMark/>
          </w:tcPr>
          <w:p w14:paraId="4F35ABE3"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Solanum melongena</w:t>
            </w:r>
          </w:p>
        </w:tc>
        <w:tc>
          <w:tcPr>
            <w:tcW w:w="425" w:type="dxa"/>
            <w:tcBorders>
              <w:top w:val="nil"/>
              <w:left w:val="nil"/>
              <w:bottom w:val="nil"/>
              <w:right w:val="nil"/>
            </w:tcBorders>
            <w:shd w:val="clear" w:color="auto" w:fill="auto"/>
            <w:noWrap/>
            <w:vAlign w:val="bottom"/>
            <w:hideMark/>
          </w:tcPr>
          <w:p w14:paraId="59100E63"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9</w:t>
            </w:r>
          </w:p>
        </w:tc>
        <w:tc>
          <w:tcPr>
            <w:tcW w:w="851" w:type="dxa"/>
            <w:tcBorders>
              <w:top w:val="nil"/>
              <w:left w:val="nil"/>
              <w:bottom w:val="nil"/>
              <w:right w:val="nil"/>
            </w:tcBorders>
            <w:shd w:val="clear" w:color="auto" w:fill="auto"/>
            <w:noWrap/>
            <w:vAlign w:val="bottom"/>
            <w:hideMark/>
          </w:tcPr>
          <w:p w14:paraId="5804CD85"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0.281</w:t>
            </w:r>
          </w:p>
        </w:tc>
        <w:tc>
          <w:tcPr>
            <w:tcW w:w="708" w:type="dxa"/>
            <w:tcBorders>
              <w:top w:val="nil"/>
              <w:left w:val="nil"/>
              <w:bottom w:val="nil"/>
              <w:right w:val="nil"/>
            </w:tcBorders>
            <w:shd w:val="clear" w:color="auto" w:fill="auto"/>
            <w:noWrap/>
            <w:vAlign w:val="bottom"/>
            <w:hideMark/>
          </w:tcPr>
          <w:p w14:paraId="4B4D5430"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0.0581</w:t>
            </w:r>
          </w:p>
        </w:tc>
        <w:tc>
          <w:tcPr>
            <w:tcW w:w="709" w:type="dxa"/>
            <w:tcBorders>
              <w:top w:val="nil"/>
              <w:left w:val="nil"/>
              <w:bottom w:val="nil"/>
              <w:right w:val="nil"/>
            </w:tcBorders>
            <w:shd w:val="clear" w:color="auto" w:fill="auto"/>
            <w:noWrap/>
            <w:vAlign w:val="bottom"/>
            <w:hideMark/>
          </w:tcPr>
          <w:p w14:paraId="70A38C5A"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0.21</w:t>
            </w:r>
          </w:p>
        </w:tc>
        <w:tc>
          <w:tcPr>
            <w:tcW w:w="2126" w:type="dxa"/>
            <w:tcBorders>
              <w:top w:val="nil"/>
              <w:left w:val="nil"/>
              <w:bottom w:val="nil"/>
              <w:right w:val="nil"/>
            </w:tcBorders>
            <w:shd w:val="clear" w:color="auto" w:fill="auto"/>
            <w:noWrap/>
            <w:vAlign w:val="bottom"/>
            <w:hideMark/>
          </w:tcPr>
          <w:p w14:paraId="4D4C4D82"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Bui et al., 2015</w:t>
            </w:r>
          </w:p>
        </w:tc>
      </w:tr>
      <w:tr w:rsidR="0047217F" w:rsidRPr="008C11FE" w14:paraId="0BF18E83" w14:textId="77777777" w:rsidTr="00D015A3">
        <w:trPr>
          <w:trHeight w:val="300"/>
        </w:trPr>
        <w:tc>
          <w:tcPr>
            <w:tcW w:w="1134" w:type="dxa"/>
            <w:tcBorders>
              <w:top w:val="nil"/>
              <w:left w:val="nil"/>
              <w:bottom w:val="nil"/>
              <w:right w:val="nil"/>
            </w:tcBorders>
            <w:shd w:val="clear" w:color="auto" w:fill="auto"/>
            <w:noWrap/>
            <w:vAlign w:val="bottom"/>
            <w:hideMark/>
          </w:tcPr>
          <w:p w14:paraId="3C3627F3"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04A7732B"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26F9F397"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5E02BFD2"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Capsicum annuum</w:t>
            </w:r>
          </w:p>
        </w:tc>
        <w:tc>
          <w:tcPr>
            <w:tcW w:w="425" w:type="dxa"/>
            <w:tcBorders>
              <w:top w:val="nil"/>
              <w:left w:val="nil"/>
              <w:bottom w:val="nil"/>
              <w:right w:val="nil"/>
            </w:tcBorders>
            <w:shd w:val="clear" w:color="auto" w:fill="auto"/>
            <w:noWrap/>
            <w:vAlign w:val="bottom"/>
            <w:hideMark/>
          </w:tcPr>
          <w:p w14:paraId="2A85BE92"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7</w:t>
            </w:r>
          </w:p>
        </w:tc>
        <w:tc>
          <w:tcPr>
            <w:tcW w:w="851" w:type="dxa"/>
            <w:tcBorders>
              <w:top w:val="nil"/>
              <w:left w:val="nil"/>
              <w:bottom w:val="nil"/>
              <w:right w:val="nil"/>
            </w:tcBorders>
            <w:shd w:val="clear" w:color="auto" w:fill="auto"/>
            <w:noWrap/>
            <w:vAlign w:val="bottom"/>
            <w:hideMark/>
          </w:tcPr>
          <w:p w14:paraId="67ECB45D"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0.327</w:t>
            </w:r>
          </w:p>
        </w:tc>
        <w:tc>
          <w:tcPr>
            <w:tcW w:w="708" w:type="dxa"/>
            <w:tcBorders>
              <w:top w:val="nil"/>
              <w:left w:val="nil"/>
              <w:bottom w:val="nil"/>
              <w:right w:val="nil"/>
            </w:tcBorders>
            <w:shd w:val="clear" w:color="auto" w:fill="auto"/>
            <w:noWrap/>
            <w:vAlign w:val="bottom"/>
            <w:hideMark/>
          </w:tcPr>
          <w:p w14:paraId="7ED03F01"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0.0212</w:t>
            </w:r>
          </w:p>
        </w:tc>
        <w:tc>
          <w:tcPr>
            <w:tcW w:w="709" w:type="dxa"/>
            <w:tcBorders>
              <w:top w:val="nil"/>
              <w:left w:val="nil"/>
              <w:bottom w:val="nil"/>
              <w:right w:val="nil"/>
            </w:tcBorders>
            <w:shd w:val="clear" w:color="auto" w:fill="auto"/>
            <w:noWrap/>
            <w:vAlign w:val="bottom"/>
            <w:hideMark/>
          </w:tcPr>
          <w:p w14:paraId="160E06CC"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0.06</w:t>
            </w:r>
          </w:p>
        </w:tc>
        <w:tc>
          <w:tcPr>
            <w:tcW w:w="2126" w:type="dxa"/>
            <w:tcBorders>
              <w:top w:val="nil"/>
              <w:left w:val="nil"/>
              <w:bottom w:val="nil"/>
              <w:right w:val="nil"/>
            </w:tcBorders>
            <w:shd w:val="clear" w:color="auto" w:fill="auto"/>
            <w:noWrap/>
            <w:vAlign w:val="bottom"/>
            <w:hideMark/>
          </w:tcPr>
          <w:p w14:paraId="33277649"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Bui et al., 2015</w:t>
            </w:r>
          </w:p>
        </w:tc>
      </w:tr>
      <w:tr w:rsidR="0047217F" w:rsidRPr="008C11FE" w14:paraId="4F78BC83" w14:textId="77777777" w:rsidTr="00D015A3">
        <w:trPr>
          <w:trHeight w:val="300"/>
        </w:trPr>
        <w:tc>
          <w:tcPr>
            <w:tcW w:w="1134" w:type="dxa"/>
            <w:tcBorders>
              <w:top w:val="nil"/>
              <w:left w:val="nil"/>
              <w:bottom w:val="nil"/>
              <w:right w:val="nil"/>
            </w:tcBorders>
            <w:shd w:val="clear" w:color="auto" w:fill="auto"/>
            <w:noWrap/>
            <w:vAlign w:val="bottom"/>
            <w:hideMark/>
          </w:tcPr>
          <w:p w14:paraId="4CF4EFB6" w14:textId="77777777" w:rsidR="0047217F" w:rsidRPr="008C11FE" w:rsidRDefault="0047217F" w:rsidP="00D015A3">
            <w:pPr>
              <w:spacing w:after="0" w:line="240" w:lineRule="auto"/>
              <w:rPr>
                <w:rFonts w:ascii="Calibri" w:eastAsia="Times New Roman" w:hAnsi="Calibri" w:cs="Calibri"/>
                <w:color w:val="000000"/>
                <w:lang w:eastAsia="fr-FR"/>
              </w:rPr>
            </w:pPr>
          </w:p>
        </w:tc>
        <w:tc>
          <w:tcPr>
            <w:tcW w:w="993" w:type="dxa"/>
            <w:tcBorders>
              <w:top w:val="nil"/>
              <w:left w:val="nil"/>
              <w:bottom w:val="nil"/>
              <w:right w:val="nil"/>
            </w:tcBorders>
            <w:shd w:val="clear" w:color="auto" w:fill="auto"/>
            <w:noWrap/>
            <w:vAlign w:val="bottom"/>
            <w:hideMark/>
          </w:tcPr>
          <w:p w14:paraId="6B9CF4D4"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2409" w:type="dxa"/>
            <w:tcBorders>
              <w:top w:val="nil"/>
              <w:left w:val="nil"/>
              <w:bottom w:val="nil"/>
              <w:right w:val="nil"/>
            </w:tcBorders>
            <w:shd w:val="clear" w:color="auto" w:fill="auto"/>
            <w:noWrap/>
            <w:vAlign w:val="bottom"/>
            <w:hideMark/>
          </w:tcPr>
          <w:p w14:paraId="7F694F70" w14:textId="77777777" w:rsidR="0047217F" w:rsidRPr="003543AB" w:rsidRDefault="0047217F" w:rsidP="00D015A3">
            <w:pPr>
              <w:spacing w:after="0" w:line="240" w:lineRule="auto"/>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14:paraId="06198795"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Brassica napus</w:t>
            </w:r>
          </w:p>
        </w:tc>
        <w:tc>
          <w:tcPr>
            <w:tcW w:w="425" w:type="dxa"/>
            <w:tcBorders>
              <w:top w:val="nil"/>
              <w:left w:val="nil"/>
              <w:bottom w:val="nil"/>
              <w:right w:val="nil"/>
            </w:tcBorders>
            <w:shd w:val="clear" w:color="auto" w:fill="auto"/>
            <w:noWrap/>
            <w:vAlign w:val="bottom"/>
            <w:hideMark/>
          </w:tcPr>
          <w:p w14:paraId="1C731767"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8</w:t>
            </w:r>
          </w:p>
        </w:tc>
        <w:tc>
          <w:tcPr>
            <w:tcW w:w="851" w:type="dxa"/>
            <w:tcBorders>
              <w:top w:val="nil"/>
              <w:left w:val="nil"/>
              <w:bottom w:val="nil"/>
              <w:right w:val="nil"/>
            </w:tcBorders>
            <w:shd w:val="clear" w:color="auto" w:fill="auto"/>
            <w:noWrap/>
            <w:vAlign w:val="bottom"/>
            <w:hideMark/>
          </w:tcPr>
          <w:p w14:paraId="06558DB5"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0.33</w:t>
            </w:r>
          </w:p>
        </w:tc>
        <w:tc>
          <w:tcPr>
            <w:tcW w:w="708" w:type="dxa"/>
            <w:tcBorders>
              <w:top w:val="nil"/>
              <w:left w:val="nil"/>
              <w:bottom w:val="nil"/>
              <w:right w:val="nil"/>
            </w:tcBorders>
            <w:shd w:val="clear" w:color="auto" w:fill="auto"/>
            <w:noWrap/>
            <w:vAlign w:val="bottom"/>
            <w:hideMark/>
          </w:tcPr>
          <w:p w14:paraId="1B2A1094"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0.04</w:t>
            </w:r>
          </w:p>
        </w:tc>
        <w:tc>
          <w:tcPr>
            <w:tcW w:w="709" w:type="dxa"/>
            <w:tcBorders>
              <w:top w:val="nil"/>
              <w:left w:val="nil"/>
              <w:bottom w:val="nil"/>
              <w:right w:val="nil"/>
            </w:tcBorders>
            <w:shd w:val="clear" w:color="auto" w:fill="auto"/>
            <w:noWrap/>
            <w:vAlign w:val="bottom"/>
            <w:hideMark/>
          </w:tcPr>
          <w:p w14:paraId="37CABD9B"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0.12</w:t>
            </w:r>
          </w:p>
        </w:tc>
        <w:tc>
          <w:tcPr>
            <w:tcW w:w="2126" w:type="dxa"/>
            <w:tcBorders>
              <w:top w:val="nil"/>
              <w:left w:val="nil"/>
              <w:bottom w:val="nil"/>
              <w:right w:val="nil"/>
            </w:tcBorders>
            <w:shd w:val="clear" w:color="auto" w:fill="auto"/>
            <w:noWrap/>
            <w:vAlign w:val="bottom"/>
            <w:hideMark/>
          </w:tcPr>
          <w:p w14:paraId="77D8B3DA"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Lecarpentier et al., 2021</w:t>
            </w:r>
          </w:p>
        </w:tc>
      </w:tr>
      <w:tr w:rsidR="0047217F" w:rsidRPr="008C11FE" w14:paraId="45B5DBC0" w14:textId="77777777" w:rsidTr="00D015A3">
        <w:trPr>
          <w:trHeight w:val="300"/>
        </w:trPr>
        <w:tc>
          <w:tcPr>
            <w:tcW w:w="1134" w:type="dxa"/>
            <w:tcBorders>
              <w:top w:val="nil"/>
              <w:left w:val="nil"/>
              <w:bottom w:val="single" w:sz="4" w:space="0" w:color="auto"/>
              <w:right w:val="nil"/>
            </w:tcBorders>
            <w:shd w:val="clear" w:color="auto" w:fill="auto"/>
            <w:noWrap/>
            <w:vAlign w:val="bottom"/>
            <w:hideMark/>
          </w:tcPr>
          <w:p w14:paraId="65E4D36A"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 </w:t>
            </w:r>
          </w:p>
        </w:tc>
        <w:tc>
          <w:tcPr>
            <w:tcW w:w="993" w:type="dxa"/>
            <w:tcBorders>
              <w:top w:val="nil"/>
              <w:left w:val="nil"/>
              <w:bottom w:val="single" w:sz="4" w:space="0" w:color="auto"/>
              <w:right w:val="nil"/>
            </w:tcBorders>
            <w:shd w:val="clear" w:color="auto" w:fill="auto"/>
            <w:noWrap/>
            <w:vAlign w:val="bottom"/>
            <w:hideMark/>
          </w:tcPr>
          <w:p w14:paraId="168F83F2"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409" w:type="dxa"/>
            <w:tcBorders>
              <w:top w:val="nil"/>
              <w:left w:val="nil"/>
              <w:bottom w:val="single" w:sz="4" w:space="0" w:color="auto"/>
              <w:right w:val="nil"/>
            </w:tcBorders>
            <w:shd w:val="clear" w:color="auto" w:fill="auto"/>
            <w:noWrap/>
            <w:vAlign w:val="bottom"/>
            <w:hideMark/>
          </w:tcPr>
          <w:p w14:paraId="1AC586C0"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1985" w:type="dxa"/>
            <w:tcBorders>
              <w:top w:val="nil"/>
              <w:left w:val="nil"/>
              <w:bottom w:val="single" w:sz="4" w:space="0" w:color="auto"/>
              <w:right w:val="nil"/>
            </w:tcBorders>
            <w:shd w:val="clear" w:color="auto" w:fill="auto"/>
            <w:noWrap/>
            <w:vAlign w:val="bottom"/>
            <w:hideMark/>
          </w:tcPr>
          <w:p w14:paraId="26CF3131"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 </w:t>
            </w:r>
          </w:p>
        </w:tc>
        <w:tc>
          <w:tcPr>
            <w:tcW w:w="425" w:type="dxa"/>
            <w:tcBorders>
              <w:top w:val="nil"/>
              <w:left w:val="nil"/>
              <w:bottom w:val="single" w:sz="4" w:space="0" w:color="auto"/>
              <w:right w:val="nil"/>
            </w:tcBorders>
            <w:shd w:val="clear" w:color="auto" w:fill="auto"/>
            <w:noWrap/>
            <w:vAlign w:val="bottom"/>
            <w:hideMark/>
          </w:tcPr>
          <w:p w14:paraId="759EFC8A"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851" w:type="dxa"/>
            <w:tcBorders>
              <w:top w:val="nil"/>
              <w:left w:val="nil"/>
              <w:bottom w:val="single" w:sz="4" w:space="0" w:color="auto"/>
              <w:right w:val="nil"/>
            </w:tcBorders>
            <w:shd w:val="clear" w:color="auto" w:fill="auto"/>
            <w:noWrap/>
            <w:vAlign w:val="bottom"/>
            <w:hideMark/>
          </w:tcPr>
          <w:p w14:paraId="6F4B2EDE"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8" w:type="dxa"/>
            <w:tcBorders>
              <w:top w:val="nil"/>
              <w:left w:val="nil"/>
              <w:bottom w:val="single" w:sz="4" w:space="0" w:color="auto"/>
              <w:right w:val="nil"/>
            </w:tcBorders>
            <w:shd w:val="clear" w:color="auto" w:fill="auto"/>
            <w:noWrap/>
            <w:vAlign w:val="bottom"/>
            <w:hideMark/>
          </w:tcPr>
          <w:p w14:paraId="3251FADA"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9" w:type="dxa"/>
            <w:tcBorders>
              <w:top w:val="nil"/>
              <w:left w:val="nil"/>
              <w:bottom w:val="single" w:sz="4" w:space="0" w:color="auto"/>
              <w:right w:val="nil"/>
            </w:tcBorders>
            <w:shd w:val="clear" w:color="auto" w:fill="auto"/>
            <w:noWrap/>
            <w:vAlign w:val="bottom"/>
            <w:hideMark/>
          </w:tcPr>
          <w:p w14:paraId="0E114EF2"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126" w:type="dxa"/>
            <w:tcBorders>
              <w:top w:val="nil"/>
              <w:left w:val="nil"/>
              <w:bottom w:val="single" w:sz="4" w:space="0" w:color="auto"/>
              <w:right w:val="nil"/>
            </w:tcBorders>
            <w:shd w:val="clear" w:color="auto" w:fill="auto"/>
            <w:noWrap/>
            <w:vAlign w:val="bottom"/>
            <w:hideMark/>
          </w:tcPr>
          <w:p w14:paraId="490E53E9"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r>
      <w:tr w:rsidR="0047217F" w:rsidRPr="008C11FE" w14:paraId="299EA85F" w14:textId="77777777" w:rsidTr="00D015A3">
        <w:trPr>
          <w:trHeight w:val="300"/>
        </w:trPr>
        <w:tc>
          <w:tcPr>
            <w:tcW w:w="1134" w:type="dxa"/>
            <w:tcBorders>
              <w:top w:val="nil"/>
              <w:left w:val="nil"/>
              <w:bottom w:val="nil"/>
              <w:right w:val="nil"/>
            </w:tcBorders>
            <w:shd w:val="clear" w:color="auto" w:fill="auto"/>
            <w:noWrap/>
            <w:vAlign w:val="bottom"/>
            <w:hideMark/>
          </w:tcPr>
          <w:p w14:paraId="6CBC20E0"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Vmax2</w:t>
            </w:r>
          </w:p>
        </w:tc>
        <w:tc>
          <w:tcPr>
            <w:tcW w:w="993" w:type="dxa"/>
            <w:tcBorders>
              <w:top w:val="nil"/>
              <w:left w:val="nil"/>
              <w:bottom w:val="nil"/>
              <w:right w:val="nil"/>
            </w:tcBorders>
            <w:shd w:val="clear" w:color="auto" w:fill="auto"/>
            <w:noWrap/>
            <w:vAlign w:val="bottom"/>
            <w:hideMark/>
          </w:tcPr>
          <w:p w14:paraId="08462033"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mol.m-1.°Cd-1</w:t>
            </w:r>
          </w:p>
        </w:tc>
        <w:tc>
          <w:tcPr>
            <w:tcW w:w="2409" w:type="dxa"/>
            <w:tcBorders>
              <w:top w:val="nil"/>
              <w:left w:val="nil"/>
              <w:bottom w:val="nil"/>
              <w:right w:val="nil"/>
            </w:tcBorders>
            <w:shd w:val="clear" w:color="auto" w:fill="auto"/>
            <w:noWrap/>
            <w:vAlign w:val="bottom"/>
            <w:hideMark/>
          </w:tcPr>
          <w:p w14:paraId="054DEA85" w14:textId="77777777" w:rsidR="0047217F" w:rsidRPr="003543AB" w:rsidRDefault="0047217F" w:rsidP="00D015A3">
            <w:pPr>
              <w:spacing w:after="0" w:line="240" w:lineRule="auto"/>
              <w:rPr>
                <w:rFonts w:ascii="Calibri" w:eastAsia="Times New Roman" w:hAnsi="Calibri" w:cs="Calibri"/>
                <w:color w:val="000000"/>
                <w:sz w:val="20"/>
                <w:szCs w:val="20"/>
                <w:lang w:val="en-GB" w:eastAsia="fr-FR"/>
              </w:rPr>
            </w:pPr>
            <w:r w:rsidRPr="003543AB">
              <w:rPr>
                <w:rFonts w:ascii="Calibri" w:eastAsia="Times New Roman" w:hAnsi="Calibri" w:cs="Calibri"/>
                <w:color w:val="000000"/>
                <w:sz w:val="20"/>
                <w:szCs w:val="20"/>
                <w:lang w:val="en-GB" w:eastAsia="fr-FR"/>
              </w:rPr>
              <w:t>Maximum absorption rate of LATS</w:t>
            </w:r>
          </w:p>
        </w:tc>
        <w:tc>
          <w:tcPr>
            <w:tcW w:w="1985" w:type="dxa"/>
            <w:tcBorders>
              <w:top w:val="nil"/>
              <w:left w:val="nil"/>
              <w:bottom w:val="nil"/>
              <w:right w:val="nil"/>
            </w:tcBorders>
            <w:shd w:val="clear" w:color="auto" w:fill="auto"/>
            <w:noWrap/>
            <w:vAlign w:val="bottom"/>
            <w:hideMark/>
          </w:tcPr>
          <w:p w14:paraId="192AA751"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Triticum aestivum</w:t>
            </w:r>
          </w:p>
        </w:tc>
        <w:tc>
          <w:tcPr>
            <w:tcW w:w="425" w:type="dxa"/>
            <w:tcBorders>
              <w:top w:val="nil"/>
              <w:left w:val="nil"/>
              <w:bottom w:val="nil"/>
              <w:right w:val="nil"/>
            </w:tcBorders>
            <w:shd w:val="clear" w:color="auto" w:fill="auto"/>
            <w:noWrap/>
            <w:vAlign w:val="bottom"/>
            <w:hideMark/>
          </w:tcPr>
          <w:p w14:paraId="14618E58"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3</w:t>
            </w:r>
          </w:p>
        </w:tc>
        <w:tc>
          <w:tcPr>
            <w:tcW w:w="851" w:type="dxa"/>
            <w:tcBorders>
              <w:top w:val="nil"/>
              <w:left w:val="nil"/>
              <w:bottom w:val="nil"/>
              <w:right w:val="nil"/>
            </w:tcBorders>
            <w:shd w:val="clear" w:color="auto" w:fill="auto"/>
            <w:noWrap/>
            <w:vAlign w:val="bottom"/>
            <w:hideMark/>
          </w:tcPr>
          <w:p w14:paraId="7D9E771E"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0.05</w:t>
            </w:r>
          </w:p>
        </w:tc>
        <w:tc>
          <w:tcPr>
            <w:tcW w:w="708" w:type="dxa"/>
            <w:tcBorders>
              <w:top w:val="nil"/>
              <w:left w:val="nil"/>
              <w:bottom w:val="nil"/>
              <w:right w:val="nil"/>
            </w:tcBorders>
            <w:shd w:val="clear" w:color="auto" w:fill="auto"/>
            <w:noWrap/>
            <w:vAlign w:val="bottom"/>
            <w:hideMark/>
          </w:tcPr>
          <w:p w14:paraId="434CC018"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0.01</w:t>
            </w:r>
          </w:p>
        </w:tc>
        <w:tc>
          <w:tcPr>
            <w:tcW w:w="709" w:type="dxa"/>
            <w:tcBorders>
              <w:top w:val="nil"/>
              <w:left w:val="nil"/>
              <w:bottom w:val="nil"/>
              <w:right w:val="nil"/>
            </w:tcBorders>
            <w:shd w:val="clear" w:color="auto" w:fill="auto"/>
            <w:noWrap/>
            <w:vAlign w:val="bottom"/>
            <w:hideMark/>
          </w:tcPr>
          <w:p w14:paraId="72723ED8"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0.20</w:t>
            </w:r>
          </w:p>
        </w:tc>
        <w:tc>
          <w:tcPr>
            <w:tcW w:w="2126" w:type="dxa"/>
            <w:tcBorders>
              <w:top w:val="nil"/>
              <w:left w:val="nil"/>
              <w:bottom w:val="nil"/>
              <w:right w:val="nil"/>
            </w:tcBorders>
            <w:shd w:val="clear" w:color="auto" w:fill="auto"/>
            <w:noWrap/>
            <w:vAlign w:val="bottom"/>
            <w:hideMark/>
          </w:tcPr>
          <w:p w14:paraId="23E1D46A"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Ruget et al., 2002</w:t>
            </w:r>
          </w:p>
        </w:tc>
      </w:tr>
      <w:tr w:rsidR="0047217F" w:rsidRPr="008C11FE" w14:paraId="72FD685F" w14:textId="77777777" w:rsidTr="00D015A3">
        <w:trPr>
          <w:trHeight w:val="300"/>
        </w:trPr>
        <w:tc>
          <w:tcPr>
            <w:tcW w:w="1134" w:type="dxa"/>
            <w:tcBorders>
              <w:top w:val="nil"/>
              <w:left w:val="nil"/>
              <w:bottom w:val="single" w:sz="4" w:space="0" w:color="auto"/>
              <w:right w:val="nil"/>
            </w:tcBorders>
            <w:shd w:val="clear" w:color="auto" w:fill="auto"/>
            <w:noWrap/>
            <w:vAlign w:val="bottom"/>
            <w:hideMark/>
          </w:tcPr>
          <w:p w14:paraId="46AE1163"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 </w:t>
            </w:r>
          </w:p>
        </w:tc>
        <w:tc>
          <w:tcPr>
            <w:tcW w:w="993" w:type="dxa"/>
            <w:tcBorders>
              <w:top w:val="nil"/>
              <w:left w:val="nil"/>
              <w:bottom w:val="single" w:sz="4" w:space="0" w:color="auto"/>
              <w:right w:val="nil"/>
            </w:tcBorders>
            <w:shd w:val="clear" w:color="auto" w:fill="auto"/>
            <w:noWrap/>
            <w:vAlign w:val="bottom"/>
            <w:hideMark/>
          </w:tcPr>
          <w:p w14:paraId="1EDDEABE"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409" w:type="dxa"/>
            <w:tcBorders>
              <w:top w:val="nil"/>
              <w:left w:val="nil"/>
              <w:bottom w:val="single" w:sz="4" w:space="0" w:color="auto"/>
              <w:right w:val="nil"/>
            </w:tcBorders>
            <w:shd w:val="clear" w:color="auto" w:fill="auto"/>
            <w:noWrap/>
            <w:vAlign w:val="bottom"/>
            <w:hideMark/>
          </w:tcPr>
          <w:p w14:paraId="42834474"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1985" w:type="dxa"/>
            <w:tcBorders>
              <w:top w:val="nil"/>
              <w:left w:val="nil"/>
              <w:bottom w:val="single" w:sz="4" w:space="0" w:color="auto"/>
              <w:right w:val="nil"/>
            </w:tcBorders>
            <w:shd w:val="clear" w:color="auto" w:fill="auto"/>
            <w:noWrap/>
            <w:vAlign w:val="bottom"/>
            <w:hideMark/>
          </w:tcPr>
          <w:p w14:paraId="40E5F048"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 </w:t>
            </w:r>
          </w:p>
        </w:tc>
        <w:tc>
          <w:tcPr>
            <w:tcW w:w="425" w:type="dxa"/>
            <w:tcBorders>
              <w:top w:val="nil"/>
              <w:left w:val="nil"/>
              <w:bottom w:val="single" w:sz="4" w:space="0" w:color="auto"/>
              <w:right w:val="nil"/>
            </w:tcBorders>
            <w:shd w:val="clear" w:color="auto" w:fill="auto"/>
            <w:noWrap/>
            <w:vAlign w:val="bottom"/>
            <w:hideMark/>
          </w:tcPr>
          <w:p w14:paraId="503FC156"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851" w:type="dxa"/>
            <w:tcBorders>
              <w:top w:val="nil"/>
              <w:left w:val="nil"/>
              <w:bottom w:val="single" w:sz="4" w:space="0" w:color="auto"/>
              <w:right w:val="nil"/>
            </w:tcBorders>
            <w:shd w:val="clear" w:color="auto" w:fill="auto"/>
            <w:noWrap/>
            <w:vAlign w:val="bottom"/>
            <w:hideMark/>
          </w:tcPr>
          <w:p w14:paraId="38E8EF83"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8" w:type="dxa"/>
            <w:tcBorders>
              <w:top w:val="nil"/>
              <w:left w:val="nil"/>
              <w:bottom w:val="single" w:sz="4" w:space="0" w:color="auto"/>
              <w:right w:val="nil"/>
            </w:tcBorders>
            <w:shd w:val="clear" w:color="auto" w:fill="auto"/>
            <w:noWrap/>
            <w:vAlign w:val="bottom"/>
            <w:hideMark/>
          </w:tcPr>
          <w:p w14:paraId="5B394450"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9" w:type="dxa"/>
            <w:tcBorders>
              <w:top w:val="nil"/>
              <w:left w:val="nil"/>
              <w:bottom w:val="single" w:sz="4" w:space="0" w:color="auto"/>
              <w:right w:val="nil"/>
            </w:tcBorders>
            <w:shd w:val="clear" w:color="auto" w:fill="auto"/>
            <w:noWrap/>
            <w:vAlign w:val="bottom"/>
            <w:hideMark/>
          </w:tcPr>
          <w:p w14:paraId="3EFE9518"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126" w:type="dxa"/>
            <w:tcBorders>
              <w:top w:val="nil"/>
              <w:left w:val="nil"/>
              <w:bottom w:val="single" w:sz="4" w:space="0" w:color="auto"/>
              <w:right w:val="nil"/>
            </w:tcBorders>
            <w:shd w:val="clear" w:color="auto" w:fill="auto"/>
            <w:noWrap/>
            <w:vAlign w:val="bottom"/>
            <w:hideMark/>
          </w:tcPr>
          <w:p w14:paraId="47AA8000"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r>
      <w:tr w:rsidR="0047217F" w:rsidRPr="008C11FE" w14:paraId="068A194B" w14:textId="77777777" w:rsidTr="00D015A3">
        <w:trPr>
          <w:trHeight w:val="300"/>
        </w:trPr>
        <w:tc>
          <w:tcPr>
            <w:tcW w:w="1134" w:type="dxa"/>
            <w:tcBorders>
              <w:top w:val="nil"/>
              <w:left w:val="nil"/>
              <w:bottom w:val="nil"/>
              <w:right w:val="nil"/>
            </w:tcBorders>
            <w:shd w:val="clear" w:color="auto" w:fill="auto"/>
            <w:noWrap/>
            <w:vAlign w:val="bottom"/>
            <w:hideMark/>
          </w:tcPr>
          <w:p w14:paraId="7E9A05AF"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PPtreshH</w:t>
            </w:r>
          </w:p>
        </w:tc>
        <w:tc>
          <w:tcPr>
            <w:tcW w:w="993" w:type="dxa"/>
            <w:tcBorders>
              <w:top w:val="nil"/>
              <w:left w:val="nil"/>
              <w:bottom w:val="nil"/>
              <w:right w:val="nil"/>
            </w:tcBorders>
            <w:shd w:val="clear" w:color="auto" w:fill="auto"/>
            <w:noWrap/>
            <w:vAlign w:val="bottom"/>
            <w:hideMark/>
          </w:tcPr>
          <w:p w14:paraId="75D91078"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h</w:t>
            </w:r>
          </w:p>
        </w:tc>
        <w:tc>
          <w:tcPr>
            <w:tcW w:w="2409" w:type="dxa"/>
            <w:tcBorders>
              <w:top w:val="nil"/>
              <w:left w:val="nil"/>
              <w:bottom w:val="nil"/>
              <w:right w:val="nil"/>
            </w:tcBorders>
            <w:shd w:val="clear" w:color="auto" w:fill="auto"/>
            <w:noWrap/>
            <w:vAlign w:val="bottom"/>
            <w:hideMark/>
          </w:tcPr>
          <w:p w14:paraId="2359BC37"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xml:space="preserve">Treshold photoperiod </w:t>
            </w:r>
          </w:p>
        </w:tc>
        <w:tc>
          <w:tcPr>
            <w:tcW w:w="1985" w:type="dxa"/>
            <w:tcBorders>
              <w:top w:val="nil"/>
              <w:left w:val="nil"/>
              <w:bottom w:val="nil"/>
              <w:right w:val="nil"/>
            </w:tcBorders>
            <w:shd w:val="clear" w:color="auto" w:fill="auto"/>
            <w:noWrap/>
            <w:vAlign w:val="bottom"/>
            <w:hideMark/>
          </w:tcPr>
          <w:p w14:paraId="44963DC2" w14:textId="77777777" w:rsidR="0047217F" w:rsidRPr="003543AB" w:rsidRDefault="0047217F" w:rsidP="00D015A3">
            <w:pPr>
              <w:spacing w:after="0" w:line="240" w:lineRule="auto"/>
              <w:rPr>
                <w:rFonts w:ascii="Calibri" w:eastAsia="Times New Roman" w:hAnsi="Calibri" w:cs="Calibri"/>
                <w:i/>
                <w:iCs/>
                <w:color w:val="000000"/>
                <w:sz w:val="20"/>
                <w:szCs w:val="20"/>
                <w:lang w:eastAsia="fr-FR"/>
              </w:rPr>
            </w:pPr>
            <w:r w:rsidRPr="003543AB">
              <w:rPr>
                <w:rFonts w:ascii="Calibri" w:eastAsia="Times New Roman" w:hAnsi="Calibri" w:cs="Calibri"/>
                <w:i/>
                <w:iCs/>
                <w:color w:val="000000"/>
                <w:sz w:val="20"/>
                <w:szCs w:val="20"/>
                <w:lang w:eastAsia="fr-FR"/>
              </w:rPr>
              <w:t>Medicago sativa</w:t>
            </w:r>
          </w:p>
        </w:tc>
        <w:tc>
          <w:tcPr>
            <w:tcW w:w="425" w:type="dxa"/>
            <w:tcBorders>
              <w:top w:val="nil"/>
              <w:left w:val="nil"/>
              <w:bottom w:val="nil"/>
              <w:right w:val="nil"/>
            </w:tcBorders>
            <w:shd w:val="clear" w:color="auto" w:fill="auto"/>
            <w:noWrap/>
            <w:vAlign w:val="bottom"/>
            <w:hideMark/>
          </w:tcPr>
          <w:p w14:paraId="52CC02A8"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3</w:t>
            </w:r>
          </w:p>
        </w:tc>
        <w:tc>
          <w:tcPr>
            <w:tcW w:w="851" w:type="dxa"/>
            <w:tcBorders>
              <w:top w:val="nil"/>
              <w:left w:val="nil"/>
              <w:bottom w:val="nil"/>
              <w:right w:val="nil"/>
            </w:tcBorders>
            <w:shd w:val="clear" w:color="auto" w:fill="auto"/>
            <w:noWrap/>
            <w:vAlign w:val="bottom"/>
            <w:hideMark/>
          </w:tcPr>
          <w:p w14:paraId="778ED64C"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15</w:t>
            </w:r>
          </w:p>
        </w:tc>
        <w:tc>
          <w:tcPr>
            <w:tcW w:w="708" w:type="dxa"/>
            <w:tcBorders>
              <w:top w:val="nil"/>
              <w:left w:val="nil"/>
              <w:bottom w:val="nil"/>
              <w:right w:val="nil"/>
            </w:tcBorders>
            <w:shd w:val="clear" w:color="auto" w:fill="auto"/>
            <w:noWrap/>
            <w:vAlign w:val="bottom"/>
            <w:hideMark/>
          </w:tcPr>
          <w:p w14:paraId="3DC017B2"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1.5</w:t>
            </w:r>
          </w:p>
        </w:tc>
        <w:tc>
          <w:tcPr>
            <w:tcW w:w="709" w:type="dxa"/>
            <w:tcBorders>
              <w:top w:val="nil"/>
              <w:left w:val="nil"/>
              <w:bottom w:val="nil"/>
              <w:right w:val="nil"/>
            </w:tcBorders>
            <w:shd w:val="clear" w:color="auto" w:fill="auto"/>
            <w:noWrap/>
            <w:vAlign w:val="bottom"/>
            <w:hideMark/>
          </w:tcPr>
          <w:p w14:paraId="0D59EBB2"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0.10</w:t>
            </w:r>
          </w:p>
        </w:tc>
        <w:tc>
          <w:tcPr>
            <w:tcW w:w="2126" w:type="dxa"/>
            <w:tcBorders>
              <w:top w:val="nil"/>
              <w:left w:val="nil"/>
              <w:bottom w:val="nil"/>
              <w:right w:val="nil"/>
            </w:tcBorders>
            <w:shd w:val="clear" w:color="auto" w:fill="auto"/>
            <w:noWrap/>
            <w:vAlign w:val="bottom"/>
            <w:hideMark/>
          </w:tcPr>
          <w:p w14:paraId="4DB3D1F2"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Ta et al., 2020</w:t>
            </w:r>
          </w:p>
        </w:tc>
      </w:tr>
      <w:tr w:rsidR="0047217F" w:rsidRPr="008C11FE" w14:paraId="6D08071C" w14:textId="77777777" w:rsidTr="00D015A3">
        <w:trPr>
          <w:trHeight w:val="300"/>
        </w:trPr>
        <w:tc>
          <w:tcPr>
            <w:tcW w:w="1134" w:type="dxa"/>
            <w:tcBorders>
              <w:top w:val="nil"/>
              <w:left w:val="nil"/>
              <w:bottom w:val="single" w:sz="4" w:space="0" w:color="auto"/>
              <w:right w:val="nil"/>
            </w:tcBorders>
            <w:shd w:val="clear" w:color="auto" w:fill="auto"/>
            <w:noWrap/>
            <w:vAlign w:val="bottom"/>
            <w:hideMark/>
          </w:tcPr>
          <w:p w14:paraId="7AF906B1" w14:textId="77777777" w:rsidR="0047217F" w:rsidRPr="008C11FE" w:rsidRDefault="0047217F" w:rsidP="00D015A3">
            <w:pPr>
              <w:spacing w:after="0" w:line="240" w:lineRule="auto"/>
              <w:rPr>
                <w:rFonts w:ascii="Calibri" w:eastAsia="Times New Roman" w:hAnsi="Calibri" w:cs="Calibri"/>
                <w:color w:val="000000"/>
                <w:lang w:eastAsia="fr-FR"/>
              </w:rPr>
            </w:pPr>
            <w:r w:rsidRPr="008C11FE">
              <w:rPr>
                <w:rFonts w:ascii="Calibri" w:eastAsia="Times New Roman" w:hAnsi="Calibri" w:cs="Calibri"/>
                <w:color w:val="000000"/>
                <w:lang w:eastAsia="fr-FR"/>
              </w:rPr>
              <w:t> </w:t>
            </w:r>
          </w:p>
        </w:tc>
        <w:tc>
          <w:tcPr>
            <w:tcW w:w="993" w:type="dxa"/>
            <w:tcBorders>
              <w:top w:val="nil"/>
              <w:left w:val="nil"/>
              <w:bottom w:val="single" w:sz="4" w:space="0" w:color="auto"/>
              <w:right w:val="nil"/>
            </w:tcBorders>
            <w:shd w:val="clear" w:color="auto" w:fill="auto"/>
            <w:noWrap/>
            <w:vAlign w:val="bottom"/>
            <w:hideMark/>
          </w:tcPr>
          <w:p w14:paraId="3E82BA33"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409" w:type="dxa"/>
            <w:tcBorders>
              <w:top w:val="nil"/>
              <w:left w:val="nil"/>
              <w:bottom w:val="single" w:sz="4" w:space="0" w:color="auto"/>
              <w:right w:val="nil"/>
            </w:tcBorders>
            <w:shd w:val="clear" w:color="auto" w:fill="auto"/>
            <w:noWrap/>
            <w:vAlign w:val="bottom"/>
            <w:hideMark/>
          </w:tcPr>
          <w:p w14:paraId="382E00C8"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r w:rsidRPr="00431097">
              <w:rPr>
                <w:rFonts w:ascii="Calibri" w:eastAsia="Times New Roman" w:hAnsi="Calibri" w:cs="Calibri"/>
                <w:color w:val="000000"/>
                <w:sz w:val="20"/>
                <w:szCs w:val="20"/>
                <w:lang w:eastAsia="fr-FR"/>
              </w:rPr>
              <w:t>response</w:t>
            </w:r>
          </w:p>
        </w:tc>
        <w:tc>
          <w:tcPr>
            <w:tcW w:w="1985" w:type="dxa"/>
            <w:tcBorders>
              <w:top w:val="nil"/>
              <w:left w:val="nil"/>
              <w:bottom w:val="single" w:sz="4" w:space="0" w:color="auto"/>
              <w:right w:val="nil"/>
            </w:tcBorders>
            <w:shd w:val="clear" w:color="auto" w:fill="auto"/>
            <w:noWrap/>
            <w:vAlign w:val="bottom"/>
            <w:hideMark/>
          </w:tcPr>
          <w:p w14:paraId="57E0D2B8"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425" w:type="dxa"/>
            <w:tcBorders>
              <w:top w:val="nil"/>
              <w:left w:val="nil"/>
              <w:bottom w:val="single" w:sz="4" w:space="0" w:color="auto"/>
              <w:right w:val="nil"/>
            </w:tcBorders>
            <w:shd w:val="clear" w:color="auto" w:fill="auto"/>
            <w:noWrap/>
            <w:vAlign w:val="bottom"/>
            <w:hideMark/>
          </w:tcPr>
          <w:p w14:paraId="6700C36B"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851" w:type="dxa"/>
            <w:tcBorders>
              <w:top w:val="nil"/>
              <w:left w:val="nil"/>
              <w:bottom w:val="single" w:sz="4" w:space="0" w:color="auto"/>
              <w:right w:val="nil"/>
            </w:tcBorders>
            <w:shd w:val="clear" w:color="auto" w:fill="auto"/>
            <w:noWrap/>
            <w:vAlign w:val="bottom"/>
            <w:hideMark/>
          </w:tcPr>
          <w:p w14:paraId="2355D343"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8" w:type="dxa"/>
            <w:tcBorders>
              <w:top w:val="nil"/>
              <w:left w:val="nil"/>
              <w:bottom w:val="single" w:sz="4" w:space="0" w:color="auto"/>
              <w:right w:val="nil"/>
            </w:tcBorders>
            <w:shd w:val="clear" w:color="auto" w:fill="auto"/>
            <w:noWrap/>
            <w:vAlign w:val="bottom"/>
            <w:hideMark/>
          </w:tcPr>
          <w:p w14:paraId="2E9680B1"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709" w:type="dxa"/>
            <w:tcBorders>
              <w:top w:val="nil"/>
              <w:left w:val="nil"/>
              <w:bottom w:val="single" w:sz="4" w:space="0" w:color="auto"/>
              <w:right w:val="nil"/>
            </w:tcBorders>
            <w:shd w:val="clear" w:color="auto" w:fill="auto"/>
            <w:noWrap/>
            <w:vAlign w:val="bottom"/>
            <w:hideMark/>
          </w:tcPr>
          <w:p w14:paraId="5ED3C77D" w14:textId="77777777" w:rsidR="0047217F" w:rsidRPr="003543AB" w:rsidRDefault="0047217F" w:rsidP="00D015A3">
            <w:pPr>
              <w:spacing w:after="0" w:line="240" w:lineRule="auto"/>
              <w:jc w:val="center"/>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c>
          <w:tcPr>
            <w:tcW w:w="2126" w:type="dxa"/>
            <w:tcBorders>
              <w:top w:val="nil"/>
              <w:left w:val="nil"/>
              <w:bottom w:val="single" w:sz="4" w:space="0" w:color="auto"/>
              <w:right w:val="nil"/>
            </w:tcBorders>
            <w:shd w:val="clear" w:color="auto" w:fill="auto"/>
            <w:noWrap/>
            <w:vAlign w:val="bottom"/>
            <w:hideMark/>
          </w:tcPr>
          <w:p w14:paraId="7D98E14B" w14:textId="77777777" w:rsidR="0047217F" w:rsidRPr="003543AB" w:rsidRDefault="0047217F" w:rsidP="00D015A3">
            <w:pPr>
              <w:spacing w:after="0" w:line="240" w:lineRule="auto"/>
              <w:rPr>
                <w:rFonts w:ascii="Calibri" w:eastAsia="Times New Roman" w:hAnsi="Calibri" w:cs="Calibri"/>
                <w:color w:val="000000"/>
                <w:sz w:val="20"/>
                <w:szCs w:val="20"/>
                <w:lang w:eastAsia="fr-FR"/>
              </w:rPr>
            </w:pPr>
            <w:r w:rsidRPr="003543AB">
              <w:rPr>
                <w:rFonts w:ascii="Calibri" w:eastAsia="Times New Roman" w:hAnsi="Calibri" w:cs="Calibri"/>
                <w:color w:val="000000"/>
                <w:sz w:val="20"/>
                <w:szCs w:val="20"/>
                <w:lang w:eastAsia="fr-FR"/>
              </w:rPr>
              <w:t> </w:t>
            </w:r>
          </w:p>
        </w:tc>
      </w:tr>
    </w:tbl>
    <w:p w14:paraId="6805A997" w14:textId="77777777" w:rsidR="0047217F" w:rsidRDefault="0047217F" w:rsidP="0047217F">
      <w:pPr>
        <w:rPr>
          <w:rFonts w:cstheme="minorHAnsi"/>
          <w:sz w:val="24"/>
          <w:szCs w:val="24"/>
          <w:lang w:val="en-GB"/>
        </w:rPr>
      </w:pPr>
      <w:r>
        <w:rPr>
          <w:rFonts w:cstheme="minorHAnsi"/>
          <w:sz w:val="24"/>
          <w:szCs w:val="24"/>
          <w:lang w:val="en-GB"/>
        </w:rPr>
        <w:br w:type="page"/>
      </w:r>
    </w:p>
    <w:p w14:paraId="3C47FFC4" w14:textId="77777777" w:rsidR="0047217F" w:rsidRDefault="0047217F" w:rsidP="0047217F">
      <w:pPr>
        <w:rPr>
          <w:rFonts w:cstheme="minorHAnsi"/>
          <w:b/>
          <w:sz w:val="24"/>
          <w:szCs w:val="24"/>
          <w:lang w:val="en-GB"/>
        </w:rPr>
        <w:sectPr w:rsidR="0047217F" w:rsidSect="00F11529">
          <w:type w:val="continuous"/>
          <w:pgSz w:w="16838" w:h="11906" w:orient="landscape"/>
          <w:pgMar w:top="1417" w:right="1417" w:bottom="1417" w:left="1417" w:header="708" w:footer="708" w:gutter="0"/>
          <w:cols w:space="708"/>
          <w:docGrid w:linePitch="360"/>
        </w:sectPr>
      </w:pPr>
    </w:p>
    <w:p w14:paraId="312BC9FC" w14:textId="77777777" w:rsidR="0047217F" w:rsidRDefault="0047217F" w:rsidP="0047217F">
      <w:pPr>
        <w:rPr>
          <w:rFonts w:cstheme="minorHAnsi"/>
          <w:sz w:val="24"/>
          <w:szCs w:val="24"/>
          <w:lang w:val="en-GB"/>
        </w:rPr>
      </w:pPr>
      <w:r w:rsidRPr="00280CEB">
        <w:rPr>
          <w:rFonts w:cstheme="minorHAnsi"/>
          <w:b/>
          <w:sz w:val="24"/>
          <w:szCs w:val="24"/>
          <w:lang w:val="en-GB"/>
        </w:rPr>
        <w:lastRenderedPageBreak/>
        <w:t>Sup Table B.</w:t>
      </w:r>
      <w:r w:rsidRPr="00FA7226">
        <w:rPr>
          <w:lang w:val="en-GB"/>
        </w:rPr>
        <w:t xml:space="preserve"> </w:t>
      </w:r>
      <w:r>
        <w:rPr>
          <w:rFonts w:cstheme="minorHAnsi"/>
          <w:sz w:val="24"/>
          <w:szCs w:val="24"/>
          <w:lang w:val="en-GB"/>
        </w:rPr>
        <w:t xml:space="preserve">Mean parameter values </w:t>
      </w:r>
      <w:r w:rsidRPr="00FA7226">
        <w:rPr>
          <w:rFonts w:cstheme="minorHAnsi"/>
          <w:sz w:val="24"/>
          <w:szCs w:val="24"/>
          <w:lang w:val="en-GB"/>
        </w:rPr>
        <w:t>used for Sp2</w:t>
      </w:r>
      <w:r>
        <w:rPr>
          <w:rFonts w:cstheme="minorHAnsi"/>
          <w:sz w:val="24"/>
          <w:szCs w:val="24"/>
          <w:lang w:val="en-GB"/>
        </w:rPr>
        <w:t xml:space="preserve"> in the range of T6 combinations tested. Parameters for Sp1 were fixed and correspond to the </w:t>
      </w:r>
      <w:r w:rsidRPr="002A154E">
        <w:rPr>
          <w:rFonts w:eastAsia="Times New Roman" w:cstheme="minorHAnsi"/>
          <w:color w:val="000000"/>
          <w:sz w:val="24"/>
          <w:szCs w:val="24"/>
          <w:lang w:val="en-GB" w:eastAsia="fr-FR"/>
        </w:rPr>
        <w:t xml:space="preserve">0 </w:t>
      </w:r>
      <w:r>
        <w:rPr>
          <w:rFonts w:eastAsia="Times New Roman" w:cstheme="minorHAnsi"/>
          <w:color w:val="000000"/>
          <w:sz w:val="24"/>
          <w:szCs w:val="24"/>
          <w:lang w:eastAsia="fr-FR"/>
        </w:rPr>
        <w:sym w:font="Symbol" w:char="F044"/>
      </w:r>
      <w:r w:rsidRPr="002A154E">
        <w:rPr>
          <w:rFonts w:eastAsia="Times New Roman" w:cstheme="minorHAnsi"/>
          <w:color w:val="000000"/>
          <w:sz w:val="24"/>
          <w:szCs w:val="24"/>
          <w:lang w:val="en-GB" w:eastAsia="fr-FR"/>
        </w:rPr>
        <w:t>.</w:t>
      </w:r>
    </w:p>
    <w:p w14:paraId="77F0A2D5" w14:textId="77777777" w:rsidR="0047217F" w:rsidRDefault="0047217F" w:rsidP="0047217F">
      <w:pPr>
        <w:rPr>
          <w:rFonts w:cstheme="minorHAnsi"/>
          <w:sz w:val="24"/>
          <w:szCs w:val="24"/>
          <w:lang w:val="en-GB"/>
        </w:rPr>
      </w:pPr>
    </w:p>
    <w:tbl>
      <w:tblPr>
        <w:tblW w:w="9214" w:type="dxa"/>
        <w:tblCellMar>
          <w:left w:w="70" w:type="dxa"/>
          <w:right w:w="70" w:type="dxa"/>
        </w:tblCellMar>
        <w:tblLook w:val="04A0" w:firstRow="1" w:lastRow="0" w:firstColumn="1" w:lastColumn="0" w:noHBand="0" w:noVBand="1"/>
      </w:tblPr>
      <w:tblGrid>
        <w:gridCol w:w="1134"/>
        <w:gridCol w:w="1200"/>
        <w:gridCol w:w="1200"/>
        <w:gridCol w:w="1200"/>
        <w:gridCol w:w="1200"/>
        <w:gridCol w:w="1200"/>
        <w:gridCol w:w="1200"/>
        <w:gridCol w:w="880"/>
      </w:tblGrid>
      <w:tr w:rsidR="0047217F" w:rsidRPr="007E11A2" w14:paraId="45B031DE" w14:textId="77777777" w:rsidTr="00D015A3">
        <w:trPr>
          <w:trHeight w:val="510"/>
        </w:trPr>
        <w:tc>
          <w:tcPr>
            <w:tcW w:w="1134" w:type="dxa"/>
            <w:tcBorders>
              <w:top w:val="nil"/>
              <w:left w:val="nil"/>
              <w:bottom w:val="single" w:sz="4" w:space="0" w:color="auto"/>
              <w:right w:val="nil"/>
            </w:tcBorders>
            <w:shd w:val="clear" w:color="auto" w:fill="auto"/>
            <w:noWrap/>
            <w:vAlign w:val="center"/>
            <w:hideMark/>
          </w:tcPr>
          <w:p w14:paraId="65A3C0DC" w14:textId="77777777" w:rsidR="0047217F" w:rsidRPr="006F522E" w:rsidRDefault="0047217F" w:rsidP="00D015A3">
            <w:pPr>
              <w:spacing w:after="0" w:line="360" w:lineRule="auto"/>
              <w:jc w:val="both"/>
              <w:rPr>
                <w:rFonts w:eastAsia="Times New Roman" w:cstheme="minorHAnsi"/>
                <w:color w:val="000000"/>
                <w:sz w:val="24"/>
                <w:szCs w:val="24"/>
                <w:lang w:val="en-GB" w:eastAsia="fr-FR"/>
              </w:rPr>
            </w:pPr>
          </w:p>
        </w:tc>
        <w:tc>
          <w:tcPr>
            <w:tcW w:w="1200" w:type="dxa"/>
            <w:tcBorders>
              <w:top w:val="nil"/>
              <w:left w:val="nil"/>
              <w:bottom w:val="single" w:sz="4" w:space="0" w:color="auto"/>
              <w:right w:val="nil"/>
            </w:tcBorders>
            <w:shd w:val="clear" w:color="auto" w:fill="auto"/>
            <w:noWrap/>
            <w:vAlign w:val="center"/>
            <w:hideMark/>
          </w:tcPr>
          <w:p w14:paraId="562A9EF2"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-1,5</w:t>
            </w:r>
            <w:r>
              <w:rPr>
                <w:rFonts w:eastAsia="Times New Roman" w:cstheme="minorHAnsi"/>
                <w:color w:val="000000"/>
                <w:sz w:val="24"/>
                <w:szCs w:val="24"/>
                <w:lang w:eastAsia="fr-FR"/>
              </w:rPr>
              <w:t xml:space="preserve"> </w:t>
            </w:r>
            <w:r>
              <w:rPr>
                <w:rFonts w:eastAsia="Times New Roman" w:cstheme="minorHAnsi"/>
                <w:color w:val="000000"/>
                <w:sz w:val="24"/>
                <w:szCs w:val="24"/>
                <w:lang w:eastAsia="fr-FR"/>
              </w:rPr>
              <w:sym w:font="Symbol" w:char="F044"/>
            </w:r>
          </w:p>
        </w:tc>
        <w:tc>
          <w:tcPr>
            <w:tcW w:w="1200" w:type="dxa"/>
            <w:tcBorders>
              <w:top w:val="nil"/>
              <w:left w:val="nil"/>
              <w:bottom w:val="single" w:sz="4" w:space="0" w:color="auto"/>
              <w:right w:val="nil"/>
            </w:tcBorders>
            <w:shd w:val="clear" w:color="auto" w:fill="auto"/>
            <w:noWrap/>
            <w:vAlign w:val="center"/>
            <w:hideMark/>
          </w:tcPr>
          <w:p w14:paraId="3C20A0C0"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-1</w:t>
            </w:r>
            <w:r>
              <w:rPr>
                <w:rFonts w:eastAsia="Times New Roman" w:cstheme="minorHAnsi"/>
                <w:color w:val="000000"/>
                <w:sz w:val="24"/>
                <w:szCs w:val="24"/>
                <w:lang w:eastAsia="fr-FR"/>
              </w:rPr>
              <w:t xml:space="preserve"> </w:t>
            </w:r>
            <w:r>
              <w:rPr>
                <w:rFonts w:eastAsia="Times New Roman" w:cstheme="minorHAnsi"/>
                <w:color w:val="000000"/>
                <w:sz w:val="24"/>
                <w:szCs w:val="24"/>
                <w:lang w:eastAsia="fr-FR"/>
              </w:rPr>
              <w:sym w:font="Symbol" w:char="F044"/>
            </w:r>
          </w:p>
        </w:tc>
        <w:tc>
          <w:tcPr>
            <w:tcW w:w="1200" w:type="dxa"/>
            <w:tcBorders>
              <w:top w:val="nil"/>
              <w:left w:val="nil"/>
              <w:bottom w:val="single" w:sz="4" w:space="0" w:color="auto"/>
              <w:right w:val="nil"/>
            </w:tcBorders>
            <w:shd w:val="clear" w:color="auto" w:fill="auto"/>
            <w:noWrap/>
            <w:vAlign w:val="center"/>
            <w:hideMark/>
          </w:tcPr>
          <w:p w14:paraId="4AC3C2BC"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-0,5</w:t>
            </w:r>
            <w:r>
              <w:rPr>
                <w:rFonts w:eastAsia="Times New Roman" w:cstheme="minorHAnsi"/>
                <w:color w:val="000000"/>
                <w:sz w:val="24"/>
                <w:szCs w:val="24"/>
                <w:lang w:eastAsia="fr-FR"/>
              </w:rPr>
              <w:t xml:space="preserve"> </w:t>
            </w:r>
            <w:r>
              <w:rPr>
                <w:rFonts w:eastAsia="Times New Roman" w:cstheme="minorHAnsi"/>
                <w:color w:val="000000"/>
                <w:sz w:val="24"/>
                <w:szCs w:val="24"/>
                <w:lang w:eastAsia="fr-FR"/>
              </w:rPr>
              <w:sym w:font="Symbol" w:char="F044"/>
            </w:r>
          </w:p>
        </w:tc>
        <w:tc>
          <w:tcPr>
            <w:tcW w:w="1200" w:type="dxa"/>
            <w:tcBorders>
              <w:top w:val="nil"/>
              <w:left w:val="nil"/>
              <w:bottom w:val="single" w:sz="4" w:space="0" w:color="auto"/>
              <w:right w:val="nil"/>
            </w:tcBorders>
            <w:shd w:val="clear" w:color="auto" w:fill="auto"/>
            <w:noWrap/>
            <w:vAlign w:val="center"/>
            <w:hideMark/>
          </w:tcPr>
          <w:p w14:paraId="53129018"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0</w:t>
            </w:r>
            <w:r>
              <w:rPr>
                <w:rFonts w:eastAsia="Times New Roman" w:cstheme="minorHAnsi"/>
                <w:color w:val="000000"/>
                <w:sz w:val="24"/>
                <w:szCs w:val="24"/>
                <w:lang w:eastAsia="fr-FR"/>
              </w:rPr>
              <w:t xml:space="preserve"> </w:t>
            </w:r>
            <w:r>
              <w:rPr>
                <w:rFonts w:eastAsia="Times New Roman" w:cstheme="minorHAnsi"/>
                <w:color w:val="000000"/>
                <w:sz w:val="24"/>
                <w:szCs w:val="24"/>
                <w:lang w:eastAsia="fr-FR"/>
              </w:rPr>
              <w:sym w:font="Symbol" w:char="F044"/>
            </w:r>
          </w:p>
        </w:tc>
        <w:tc>
          <w:tcPr>
            <w:tcW w:w="1200" w:type="dxa"/>
            <w:tcBorders>
              <w:top w:val="nil"/>
              <w:left w:val="nil"/>
              <w:bottom w:val="single" w:sz="4" w:space="0" w:color="auto"/>
              <w:right w:val="nil"/>
            </w:tcBorders>
            <w:shd w:val="clear" w:color="auto" w:fill="auto"/>
            <w:noWrap/>
            <w:vAlign w:val="center"/>
            <w:hideMark/>
          </w:tcPr>
          <w:p w14:paraId="0A2ED4D8"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+0,5</w:t>
            </w:r>
            <w:r>
              <w:rPr>
                <w:rFonts w:eastAsia="Times New Roman" w:cstheme="minorHAnsi"/>
                <w:color w:val="000000"/>
                <w:sz w:val="24"/>
                <w:szCs w:val="24"/>
                <w:lang w:eastAsia="fr-FR"/>
              </w:rPr>
              <w:t xml:space="preserve"> </w:t>
            </w:r>
            <w:r>
              <w:rPr>
                <w:rFonts w:eastAsia="Times New Roman" w:cstheme="minorHAnsi"/>
                <w:color w:val="000000"/>
                <w:sz w:val="24"/>
                <w:szCs w:val="24"/>
                <w:lang w:eastAsia="fr-FR"/>
              </w:rPr>
              <w:sym w:font="Symbol" w:char="F044"/>
            </w:r>
          </w:p>
        </w:tc>
        <w:tc>
          <w:tcPr>
            <w:tcW w:w="1200" w:type="dxa"/>
            <w:tcBorders>
              <w:top w:val="nil"/>
              <w:left w:val="nil"/>
              <w:bottom w:val="single" w:sz="4" w:space="0" w:color="auto"/>
              <w:right w:val="nil"/>
            </w:tcBorders>
            <w:shd w:val="clear" w:color="auto" w:fill="auto"/>
            <w:noWrap/>
            <w:vAlign w:val="center"/>
            <w:hideMark/>
          </w:tcPr>
          <w:p w14:paraId="41A81A11"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+1</w:t>
            </w:r>
            <w:r>
              <w:rPr>
                <w:rFonts w:eastAsia="Times New Roman" w:cstheme="minorHAnsi"/>
                <w:color w:val="000000"/>
                <w:sz w:val="24"/>
                <w:szCs w:val="24"/>
                <w:lang w:eastAsia="fr-FR"/>
              </w:rPr>
              <w:t xml:space="preserve"> </w:t>
            </w:r>
            <w:r>
              <w:rPr>
                <w:rFonts w:eastAsia="Times New Roman" w:cstheme="minorHAnsi"/>
                <w:color w:val="000000"/>
                <w:sz w:val="24"/>
                <w:szCs w:val="24"/>
                <w:lang w:eastAsia="fr-FR"/>
              </w:rPr>
              <w:sym w:font="Symbol" w:char="F044"/>
            </w:r>
          </w:p>
        </w:tc>
        <w:tc>
          <w:tcPr>
            <w:tcW w:w="880" w:type="dxa"/>
            <w:tcBorders>
              <w:top w:val="nil"/>
              <w:left w:val="nil"/>
              <w:bottom w:val="single" w:sz="4" w:space="0" w:color="auto"/>
              <w:right w:val="nil"/>
            </w:tcBorders>
            <w:shd w:val="clear" w:color="auto" w:fill="auto"/>
            <w:noWrap/>
            <w:vAlign w:val="center"/>
            <w:hideMark/>
          </w:tcPr>
          <w:p w14:paraId="68FCCF79"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+1,5</w:t>
            </w:r>
            <w:r>
              <w:rPr>
                <w:rFonts w:eastAsia="Times New Roman" w:cstheme="minorHAnsi"/>
                <w:color w:val="000000"/>
                <w:sz w:val="24"/>
                <w:szCs w:val="24"/>
                <w:lang w:eastAsia="fr-FR"/>
              </w:rPr>
              <w:t xml:space="preserve"> </w:t>
            </w:r>
            <w:r>
              <w:rPr>
                <w:rFonts w:eastAsia="Times New Roman" w:cstheme="minorHAnsi"/>
                <w:color w:val="000000"/>
                <w:sz w:val="24"/>
                <w:szCs w:val="24"/>
                <w:lang w:eastAsia="fr-FR"/>
              </w:rPr>
              <w:sym w:font="Symbol" w:char="F044"/>
            </w:r>
          </w:p>
        </w:tc>
      </w:tr>
      <w:tr w:rsidR="0047217F" w:rsidRPr="007E11A2" w14:paraId="7DC866B0" w14:textId="77777777" w:rsidTr="00D015A3">
        <w:trPr>
          <w:trHeight w:val="510"/>
        </w:trPr>
        <w:tc>
          <w:tcPr>
            <w:tcW w:w="1134" w:type="dxa"/>
            <w:tcBorders>
              <w:top w:val="nil"/>
              <w:left w:val="nil"/>
              <w:bottom w:val="nil"/>
              <w:right w:val="nil"/>
            </w:tcBorders>
            <w:shd w:val="clear" w:color="auto" w:fill="auto"/>
            <w:vAlign w:val="center"/>
            <w:hideMark/>
          </w:tcPr>
          <w:p w14:paraId="1375F47B"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LmaxIn</w:t>
            </w:r>
          </w:p>
        </w:tc>
        <w:tc>
          <w:tcPr>
            <w:tcW w:w="1200" w:type="dxa"/>
            <w:tcBorders>
              <w:top w:val="nil"/>
              <w:left w:val="nil"/>
              <w:bottom w:val="nil"/>
              <w:right w:val="nil"/>
            </w:tcBorders>
            <w:shd w:val="clear" w:color="auto" w:fill="auto"/>
            <w:noWrap/>
            <w:vAlign w:val="center"/>
            <w:hideMark/>
          </w:tcPr>
          <w:p w14:paraId="2F30DC90"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2,1175</w:t>
            </w:r>
          </w:p>
        </w:tc>
        <w:tc>
          <w:tcPr>
            <w:tcW w:w="1200" w:type="dxa"/>
            <w:tcBorders>
              <w:top w:val="nil"/>
              <w:left w:val="nil"/>
              <w:bottom w:val="nil"/>
              <w:right w:val="nil"/>
            </w:tcBorders>
            <w:shd w:val="clear" w:color="auto" w:fill="auto"/>
            <w:noWrap/>
            <w:vAlign w:val="center"/>
            <w:hideMark/>
          </w:tcPr>
          <w:p w14:paraId="008A5DE7"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2,6950</w:t>
            </w:r>
          </w:p>
        </w:tc>
        <w:tc>
          <w:tcPr>
            <w:tcW w:w="1200" w:type="dxa"/>
            <w:tcBorders>
              <w:top w:val="nil"/>
              <w:left w:val="nil"/>
              <w:bottom w:val="nil"/>
              <w:right w:val="nil"/>
            </w:tcBorders>
            <w:shd w:val="clear" w:color="auto" w:fill="auto"/>
            <w:noWrap/>
            <w:vAlign w:val="center"/>
            <w:hideMark/>
          </w:tcPr>
          <w:p w14:paraId="5741155F"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3,2425</w:t>
            </w:r>
          </w:p>
        </w:tc>
        <w:tc>
          <w:tcPr>
            <w:tcW w:w="1200" w:type="dxa"/>
            <w:tcBorders>
              <w:top w:val="nil"/>
              <w:left w:val="nil"/>
              <w:bottom w:val="nil"/>
              <w:right w:val="nil"/>
            </w:tcBorders>
            <w:shd w:val="clear" w:color="auto" w:fill="auto"/>
            <w:noWrap/>
            <w:vAlign w:val="center"/>
            <w:hideMark/>
          </w:tcPr>
          <w:p w14:paraId="76DDCF07"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3,8500</w:t>
            </w:r>
          </w:p>
        </w:tc>
        <w:tc>
          <w:tcPr>
            <w:tcW w:w="1200" w:type="dxa"/>
            <w:tcBorders>
              <w:top w:val="nil"/>
              <w:left w:val="nil"/>
              <w:bottom w:val="nil"/>
              <w:right w:val="nil"/>
            </w:tcBorders>
            <w:shd w:val="clear" w:color="auto" w:fill="auto"/>
            <w:noWrap/>
            <w:vAlign w:val="center"/>
            <w:hideMark/>
          </w:tcPr>
          <w:p w14:paraId="365C2BF7"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4,4275</w:t>
            </w:r>
          </w:p>
        </w:tc>
        <w:tc>
          <w:tcPr>
            <w:tcW w:w="1200" w:type="dxa"/>
            <w:tcBorders>
              <w:top w:val="nil"/>
              <w:left w:val="nil"/>
              <w:bottom w:val="nil"/>
              <w:right w:val="nil"/>
            </w:tcBorders>
            <w:shd w:val="clear" w:color="auto" w:fill="auto"/>
            <w:noWrap/>
            <w:vAlign w:val="center"/>
            <w:hideMark/>
          </w:tcPr>
          <w:p w14:paraId="090F7647"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5,0050</w:t>
            </w:r>
          </w:p>
        </w:tc>
        <w:tc>
          <w:tcPr>
            <w:tcW w:w="880" w:type="dxa"/>
            <w:tcBorders>
              <w:top w:val="nil"/>
              <w:left w:val="nil"/>
              <w:bottom w:val="nil"/>
              <w:right w:val="nil"/>
            </w:tcBorders>
            <w:shd w:val="clear" w:color="auto" w:fill="auto"/>
            <w:noWrap/>
            <w:vAlign w:val="center"/>
            <w:hideMark/>
          </w:tcPr>
          <w:p w14:paraId="31394993"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5,5825</w:t>
            </w:r>
          </w:p>
        </w:tc>
      </w:tr>
      <w:tr w:rsidR="0047217F" w:rsidRPr="007E11A2" w14:paraId="4DFDDBCD" w14:textId="77777777" w:rsidTr="00D015A3">
        <w:trPr>
          <w:trHeight w:val="510"/>
        </w:trPr>
        <w:tc>
          <w:tcPr>
            <w:tcW w:w="1134" w:type="dxa"/>
            <w:tcBorders>
              <w:top w:val="nil"/>
              <w:left w:val="nil"/>
              <w:bottom w:val="nil"/>
              <w:right w:val="nil"/>
            </w:tcBorders>
            <w:shd w:val="clear" w:color="auto" w:fill="auto"/>
            <w:vAlign w:val="center"/>
            <w:hideMark/>
          </w:tcPr>
          <w:p w14:paraId="0C18696C"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LmaxL</w:t>
            </w:r>
          </w:p>
        </w:tc>
        <w:tc>
          <w:tcPr>
            <w:tcW w:w="1200" w:type="dxa"/>
            <w:tcBorders>
              <w:top w:val="nil"/>
              <w:left w:val="nil"/>
              <w:bottom w:val="nil"/>
              <w:right w:val="nil"/>
            </w:tcBorders>
            <w:shd w:val="clear" w:color="auto" w:fill="auto"/>
            <w:noWrap/>
            <w:vAlign w:val="center"/>
            <w:hideMark/>
          </w:tcPr>
          <w:p w14:paraId="1F9114E6"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1,3750</w:t>
            </w:r>
          </w:p>
        </w:tc>
        <w:tc>
          <w:tcPr>
            <w:tcW w:w="1200" w:type="dxa"/>
            <w:tcBorders>
              <w:top w:val="nil"/>
              <w:left w:val="nil"/>
              <w:bottom w:val="nil"/>
              <w:right w:val="nil"/>
            </w:tcBorders>
            <w:shd w:val="clear" w:color="auto" w:fill="auto"/>
            <w:noWrap/>
            <w:vAlign w:val="center"/>
            <w:hideMark/>
          </w:tcPr>
          <w:p w14:paraId="1BDB8C08"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1,7500</w:t>
            </w:r>
          </w:p>
        </w:tc>
        <w:tc>
          <w:tcPr>
            <w:tcW w:w="1200" w:type="dxa"/>
            <w:tcBorders>
              <w:top w:val="nil"/>
              <w:left w:val="nil"/>
              <w:bottom w:val="nil"/>
              <w:right w:val="nil"/>
            </w:tcBorders>
            <w:shd w:val="clear" w:color="auto" w:fill="auto"/>
            <w:noWrap/>
            <w:vAlign w:val="center"/>
            <w:hideMark/>
          </w:tcPr>
          <w:p w14:paraId="5097C587"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2,1250</w:t>
            </w:r>
          </w:p>
        </w:tc>
        <w:tc>
          <w:tcPr>
            <w:tcW w:w="1200" w:type="dxa"/>
            <w:tcBorders>
              <w:top w:val="nil"/>
              <w:left w:val="nil"/>
              <w:bottom w:val="nil"/>
              <w:right w:val="nil"/>
            </w:tcBorders>
            <w:shd w:val="clear" w:color="auto" w:fill="auto"/>
            <w:noWrap/>
            <w:vAlign w:val="center"/>
            <w:hideMark/>
          </w:tcPr>
          <w:p w14:paraId="6981B5D7"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2,5000</w:t>
            </w:r>
          </w:p>
        </w:tc>
        <w:tc>
          <w:tcPr>
            <w:tcW w:w="1200" w:type="dxa"/>
            <w:tcBorders>
              <w:top w:val="nil"/>
              <w:left w:val="nil"/>
              <w:bottom w:val="nil"/>
              <w:right w:val="nil"/>
            </w:tcBorders>
            <w:shd w:val="clear" w:color="auto" w:fill="auto"/>
            <w:noWrap/>
            <w:vAlign w:val="center"/>
            <w:hideMark/>
          </w:tcPr>
          <w:p w14:paraId="3029E53A"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2,8750</w:t>
            </w:r>
          </w:p>
        </w:tc>
        <w:tc>
          <w:tcPr>
            <w:tcW w:w="1200" w:type="dxa"/>
            <w:tcBorders>
              <w:top w:val="nil"/>
              <w:left w:val="nil"/>
              <w:bottom w:val="nil"/>
              <w:right w:val="nil"/>
            </w:tcBorders>
            <w:shd w:val="clear" w:color="auto" w:fill="auto"/>
            <w:noWrap/>
            <w:vAlign w:val="center"/>
            <w:hideMark/>
          </w:tcPr>
          <w:p w14:paraId="524BC008"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3,2500</w:t>
            </w:r>
          </w:p>
        </w:tc>
        <w:tc>
          <w:tcPr>
            <w:tcW w:w="880" w:type="dxa"/>
            <w:tcBorders>
              <w:top w:val="nil"/>
              <w:left w:val="nil"/>
              <w:bottom w:val="nil"/>
              <w:right w:val="nil"/>
            </w:tcBorders>
            <w:shd w:val="clear" w:color="auto" w:fill="auto"/>
            <w:noWrap/>
            <w:vAlign w:val="center"/>
            <w:hideMark/>
          </w:tcPr>
          <w:p w14:paraId="3F12C434"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3,6250</w:t>
            </w:r>
          </w:p>
        </w:tc>
      </w:tr>
      <w:tr w:rsidR="0047217F" w:rsidRPr="007E11A2" w14:paraId="01A33276" w14:textId="77777777" w:rsidTr="00D015A3">
        <w:trPr>
          <w:trHeight w:val="510"/>
        </w:trPr>
        <w:tc>
          <w:tcPr>
            <w:tcW w:w="1134" w:type="dxa"/>
            <w:tcBorders>
              <w:top w:val="nil"/>
              <w:left w:val="nil"/>
              <w:bottom w:val="nil"/>
              <w:right w:val="nil"/>
            </w:tcBorders>
            <w:shd w:val="clear" w:color="auto" w:fill="auto"/>
            <w:vAlign w:val="center"/>
            <w:hideMark/>
          </w:tcPr>
          <w:p w14:paraId="1EE62A4E"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Vmax2</w:t>
            </w:r>
          </w:p>
        </w:tc>
        <w:tc>
          <w:tcPr>
            <w:tcW w:w="1200" w:type="dxa"/>
            <w:tcBorders>
              <w:top w:val="nil"/>
              <w:left w:val="nil"/>
              <w:bottom w:val="nil"/>
              <w:right w:val="nil"/>
            </w:tcBorders>
            <w:shd w:val="clear" w:color="auto" w:fill="auto"/>
            <w:noWrap/>
            <w:vAlign w:val="center"/>
            <w:hideMark/>
          </w:tcPr>
          <w:p w14:paraId="7EF1BC36"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0,0275</w:t>
            </w:r>
          </w:p>
        </w:tc>
        <w:tc>
          <w:tcPr>
            <w:tcW w:w="1200" w:type="dxa"/>
            <w:tcBorders>
              <w:top w:val="nil"/>
              <w:left w:val="nil"/>
              <w:bottom w:val="nil"/>
              <w:right w:val="nil"/>
            </w:tcBorders>
            <w:shd w:val="clear" w:color="auto" w:fill="auto"/>
            <w:noWrap/>
            <w:vAlign w:val="center"/>
            <w:hideMark/>
          </w:tcPr>
          <w:p w14:paraId="1ACE6792"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0,0350</w:t>
            </w:r>
          </w:p>
        </w:tc>
        <w:tc>
          <w:tcPr>
            <w:tcW w:w="1200" w:type="dxa"/>
            <w:tcBorders>
              <w:top w:val="nil"/>
              <w:left w:val="nil"/>
              <w:bottom w:val="nil"/>
              <w:right w:val="nil"/>
            </w:tcBorders>
            <w:shd w:val="clear" w:color="auto" w:fill="auto"/>
            <w:noWrap/>
            <w:vAlign w:val="center"/>
            <w:hideMark/>
          </w:tcPr>
          <w:p w14:paraId="7B67FA91"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0,0425</w:t>
            </w:r>
          </w:p>
        </w:tc>
        <w:tc>
          <w:tcPr>
            <w:tcW w:w="1200" w:type="dxa"/>
            <w:tcBorders>
              <w:top w:val="nil"/>
              <w:left w:val="nil"/>
              <w:bottom w:val="nil"/>
              <w:right w:val="nil"/>
            </w:tcBorders>
            <w:shd w:val="clear" w:color="auto" w:fill="auto"/>
            <w:noWrap/>
            <w:vAlign w:val="center"/>
            <w:hideMark/>
          </w:tcPr>
          <w:p w14:paraId="5F048529"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0,0500</w:t>
            </w:r>
          </w:p>
        </w:tc>
        <w:tc>
          <w:tcPr>
            <w:tcW w:w="1200" w:type="dxa"/>
            <w:tcBorders>
              <w:top w:val="nil"/>
              <w:left w:val="nil"/>
              <w:bottom w:val="nil"/>
              <w:right w:val="nil"/>
            </w:tcBorders>
            <w:shd w:val="clear" w:color="auto" w:fill="auto"/>
            <w:noWrap/>
            <w:vAlign w:val="center"/>
            <w:hideMark/>
          </w:tcPr>
          <w:p w14:paraId="4B7552BB"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0,0575</w:t>
            </w:r>
          </w:p>
        </w:tc>
        <w:tc>
          <w:tcPr>
            <w:tcW w:w="1200" w:type="dxa"/>
            <w:tcBorders>
              <w:top w:val="nil"/>
              <w:left w:val="nil"/>
              <w:bottom w:val="nil"/>
              <w:right w:val="nil"/>
            </w:tcBorders>
            <w:shd w:val="clear" w:color="auto" w:fill="auto"/>
            <w:noWrap/>
            <w:vAlign w:val="center"/>
            <w:hideMark/>
          </w:tcPr>
          <w:p w14:paraId="6EF3ABCB"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0,0650</w:t>
            </w:r>
          </w:p>
        </w:tc>
        <w:tc>
          <w:tcPr>
            <w:tcW w:w="880" w:type="dxa"/>
            <w:tcBorders>
              <w:top w:val="nil"/>
              <w:left w:val="nil"/>
              <w:bottom w:val="nil"/>
              <w:right w:val="nil"/>
            </w:tcBorders>
            <w:shd w:val="clear" w:color="auto" w:fill="auto"/>
            <w:noWrap/>
            <w:vAlign w:val="center"/>
            <w:hideMark/>
          </w:tcPr>
          <w:p w14:paraId="15127F1D"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0,0725</w:t>
            </w:r>
          </w:p>
        </w:tc>
      </w:tr>
      <w:tr w:rsidR="0047217F" w:rsidRPr="007E11A2" w14:paraId="4B727727" w14:textId="77777777" w:rsidTr="00D015A3">
        <w:trPr>
          <w:trHeight w:val="510"/>
        </w:trPr>
        <w:tc>
          <w:tcPr>
            <w:tcW w:w="1134" w:type="dxa"/>
            <w:tcBorders>
              <w:top w:val="nil"/>
              <w:left w:val="nil"/>
              <w:bottom w:val="nil"/>
              <w:right w:val="nil"/>
            </w:tcBorders>
            <w:shd w:val="clear" w:color="auto" w:fill="auto"/>
            <w:vAlign w:val="center"/>
            <w:hideMark/>
          </w:tcPr>
          <w:p w14:paraId="6CD391CF"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ELmaxR</w:t>
            </w:r>
          </w:p>
        </w:tc>
        <w:tc>
          <w:tcPr>
            <w:tcW w:w="1200" w:type="dxa"/>
            <w:tcBorders>
              <w:top w:val="nil"/>
              <w:left w:val="nil"/>
              <w:bottom w:val="nil"/>
              <w:right w:val="nil"/>
            </w:tcBorders>
            <w:shd w:val="clear" w:color="auto" w:fill="auto"/>
            <w:noWrap/>
            <w:vAlign w:val="center"/>
            <w:hideMark/>
          </w:tcPr>
          <w:p w14:paraId="0B8DB434"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0,0561</w:t>
            </w:r>
          </w:p>
        </w:tc>
        <w:tc>
          <w:tcPr>
            <w:tcW w:w="1200" w:type="dxa"/>
            <w:tcBorders>
              <w:top w:val="nil"/>
              <w:left w:val="nil"/>
              <w:bottom w:val="nil"/>
              <w:right w:val="nil"/>
            </w:tcBorders>
            <w:shd w:val="clear" w:color="auto" w:fill="auto"/>
            <w:noWrap/>
            <w:vAlign w:val="center"/>
            <w:hideMark/>
          </w:tcPr>
          <w:p w14:paraId="5646F399"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0,0714</w:t>
            </w:r>
          </w:p>
        </w:tc>
        <w:tc>
          <w:tcPr>
            <w:tcW w:w="1200" w:type="dxa"/>
            <w:tcBorders>
              <w:top w:val="nil"/>
              <w:left w:val="nil"/>
              <w:bottom w:val="nil"/>
              <w:right w:val="nil"/>
            </w:tcBorders>
            <w:shd w:val="clear" w:color="auto" w:fill="auto"/>
            <w:noWrap/>
            <w:vAlign w:val="center"/>
            <w:hideMark/>
          </w:tcPr>
          <w:p w14:paraId="7AFC2412"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0,0867</w:t>
            </w:r>
          </w:p>
        </w:tc>
        <w:tc>
          <w:tcPr>
            <w:tcW w:w="1200" w:type="dxa"/>
            <w:tcBorders>
              <w:top w:val="nil"/>
              <w:left w:val="nil"/>
              <w:bottom w:val="nil"/>
              <w:right w:val="nil"/>
            </w:tcBorders>
            <w:shd w:val="clear" w:color="auto" w:fill="auto"/>
            <w:noWrap/>
            <w:vAlign w:val="center"/>
            <w:hideMark/>
          </w:tcPr>
          <w:p w14:paraId="3600D188"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0,1020</w:t>
            </w:r>
          </w:p>
        </w:tc>
        <w:tc>
          <w:tcPr>
            <w:tcW w:w="1200" w:type="dxa"/>
            <w:tcBorders>
              <w:top w:val="nil"/>
              <w:left w:val="nil"/>
              <w:bottom w:val="nil"/>
              <w:right w:val="nil"/>
            </w:tcBorders>
            <w:shd w:val="clear" w:color="auto" w:fill="auto"/>
            <w:noWrap/>
            <w:vAlign w:val="center"/>
            <w:hideMark/>
          </w:tcPr>
          <w:p w14:paraId="58732625"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0,1173</w:t>
            </w:r>
          </w:p>
        </w:tc>
        <w:tc>
          <w:tcPr>
            <w:tcW w:w="1200" w:type="dxa"/>
            <w:tcBorders>
              <w:top w:val="nil"/>
              <w:left w:val="nil"/>
              <w:bottom w:val="nil"/>
              <w:right w:val="nil"/>
            </w:tcBorders>
            <w:shd w:val="clear" w:color="auto" w:fill="auto"/>
            <w:noWrap/>
            <w:vAlign w:val="center"/>
            <w:hideMark/>
          </w:tcPr>
          <w:p w14:paraId="548B4E2E"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0,1326</w:t>
            </w:r>
          </w:p>
        </w:tc>
        <w:tc>
          <w:tcPr>
            <w:tcW w:w="880" w:type="dxa"/>
            <w:tcBorders>
              <w:top w:val="nil"/>
              <w:left w:val="nil"/>
              <w:bottom w:val="nil"/>
              <w:right w:val="nil"/>
            </w:tcBorders>
            <w:shd w:val="clear" w:color="auto" w:fill="auto"/>
            <w:noWrap/>
            <w:vAlign w:val="center"/>
            <w:hideMark/>
          </w:tcPr>
          <w:p w14:paraId="7F431466"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0,1479</w:t>
            </w:r>
          </w:p>
        </w:tc>
      </w:tr>
      <w:tr w:rsidR="0047217F" w:rsidRPr="007E11A2" w14:paraId="3117DA58" w14:textId="77777777" w:rsidTr="00D015A3">
        <w:trPr>
          <w:trHeight w:val="510"/>
        </w:trPr>
        <w:tc>
          <w:tcPr>
            <w:tcW w:w="1134" w:type="dxa"/>
            <w:tcBorders>
              <w:top w:val="nil"/>
              <w:left w:val="nil"/>
              <w:bottom w:val="nil"/>
              <w:right w:val="nil"/>
            </w:tcBorders>
            <w:shd w:val="clear" w:color="auto" w:fill="auto"/>
            <w:vAlign w:val="center"/>
            <w:hideMark/>
          </w:tcPr>
          <w:p w14:paraId="0151F4CE"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Phyllo1</w:t>
            </w:r>
          </w:p>
        </w:tc>
        <w:tc>
          <w:tcPr>
            <w:tcW w:w="1200" w:type="dxa"/>
            <w:tcBorders>
              <w:top w:val="nil"/>
              <w:left w:val="nil"/>
              <w:bottom w:val="nil"/>
              <w:right w:val="nil"/>
            </w:tcBorders>
            <w:shd w:val="clear" w:color="auto" w:fill="auto"/>
            <w:noWrap/>
            <w:vAlign w:val="center"/>
            <w:hideMark/>
          </w:tcPr>
          <w:p w14:paraId="402929F3"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50,750</w:t>
            </w:r>
          </w:p>
        </w:tc>
        <w:tc>
          <w:tcPr>
            <w:tcW w:w="1200" w:type="dxa"/>
            <w:tcBorders>
              <w:top w:val="nil"/>
              <w:left w:val="nil"/>
              <w:bottom w:val="nil"/>
              <w:right w:val="nil"/>
            </w:tcBorders>
            <w:shd w:val="clear" w:color="auto" w:fill="auto"/>
            <w:noWrap/>
            <w:vAlign w:val="center"/>
            <w:hideMark/>
          </w:tcPr>
          <w:p w14:paraId="063B2214"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45,500</w:t>
            </w:r>
          </w:p>
        </w:tc>
        <w:tc>
          <w:tcPr>
            <w:tcW w:w="1200" w:type="dxa"/>
            <w:tcBorders>
              <w:top w:val="nil"/>
              <w:left w:val="nil"/>
              <w:bottom w:val="nil"/>
              <w:right w:val="nil"/>
            </w:tcBorders>
            <w:shd w:val="clear" w:color="auto" w:fill="auto"/>
            <w:noWrap/>
            <w:vAlign w:val="center"/>
            <w:hideMark/>
          </w:tcPr>
          <w:p w14:paraId="25970D31"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40,250</w:t>
            </w:r>
          </w:p>
        </w:tc>
        <w:tc>
          <w:tcPr>
            <w:tcW w:w="1200" w:type="dxa"/>
            <w:tcBorders>
              <w:top w:val="nil"/>
              <w:left w:val="nil"/>
              <w:bottom w:val="nil"/>
              <w:right w:val="nil"/>
            </w:tcBorders>
            <w:shd w:val="clear" w:color="auto" w:fill="auto"/>
            <w:noWrap/>
            <w:vAlign w:val="center"/>
            <w:hideMark/>
          </w:tcPr>
          <w:p w14:paraId="2EE1E5EC"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35,000</w:t>
            </w:r>
          </w:p>
        </w:tc>
        <w:tc>
          <w:tcPr>
            <w:tcW w:w="1200" w:type="dxa"/>
            <w:tcBorders>
              <w:top w:val="nil"/>
              <w:left w:val="nil"/>
              <w:bottom w:val="nil"/>
              <w:right w:val="nil"/>
            </w:tcBorders>
            <w:shd w:val="clear" w:color="auto" w:fill="auto"/>
            <w:noWrap/>
            <w:vAlign w:val="center"/>
            <w:hideMark/>
          </w:tcPr>
          <w:p w14:paraId="2B3E4F66"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29,750</w:t>
            </w:r>
          </w:p>
        </w:tc>
        <w:tc>
          <w:tcPr>
            <w:tcW w:w="1200" w:type="dxa"/>
            <w:tcBorders>
              <w:top w:val="nil"/>
              <w:left w:val="nil"/>
              <w:bottom w:val="nil"/>
              <w:right w:val="nil"/>
            </w:tcBorders>
            <w:shd w:val="clear" w:color="auto" w:fill="auto"/>
            <w:noWrap/>
            <w:vAlign w:val="center"/>
            <w:hideMark/>
          </w:tcPr>
          <w:p w14:paraId="1078CC88"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24,500</w:t>
            </w:r>
          </w:p>
        </w:tc>
        <w:tc>
          <w:tcPr>
            <w:tcW w:w="880" w:type="dxa"/>
            <w:tcBorders>
              <w:top w:val="nil"/>
              <w:left w:val="nil"/>
              <w:bottom w:val="nil"/>
              <w:right w:val="nil"/>
            </w:tcBorders>
            <w:shd w:val="clear" w:color="auto" w:fill="auto"/>
            <w:noWrap/>
            <w:vAlign w:val="center"/>
            <w:hideMark/>
          </w:tcPr>
          <w:p w14:paraId="054B3408"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19,250</w:t>
            </w:r>
          </w:p>
        </w:tc>
      </w:tr>
      <w:tr w:rsidR="0047217F" w:rsidRPr="007E11A2" w14:paraId="63F3484D" w14:textId="77777777" w:rsidTr="00D015A3">
        <w:trPr>
          <w:trHeight w:val="510"/>
        </w:trPr>
        <w:tc>
          <w:tcPr>
            <w:tcW w:w="1134" w:type="dxa"/>
            <w:tcBorders>
              <w:top w:val="nil"/>
              <w:left w:val="nil"/>
              <w:bottom w:val="single" w:sz="4" w:space="0" w:color="auto"/>
              <w:right w:val="nil"/>
            </w:tcBorders>
            <w:shd w:val="clear" w:color="auto" w:fill="auto"/>
            <w:vAlign w:val="center"/>
            <w:hideMark/>
          </w:tcPr>
          <w:p w14:paraId="7B2027B9"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PPtreshh</w:t>
            </w:r>
          </w:p>
        </w:tc>
        <w:tc>
          <w:tcPr>
            <w:tcW w:w="1200" w:type="dxa"/>
            <w:tcBorders>
              <w:top w:val="nil"/>
              <w:left w:val="nil"/>
              <w:bottom w:val="single" w:sz="4" w:space="0" w:color="auto"/>
              <w:right w:val="nil"/>
            </w:tcBorders>
            <w:shd w:val="clear" w:color="auto" w:fill="auto"/>
            <w:noWrap/>
            <w:vAlign w:val="center"/>
            <w:hideMark/>
          </w:tcPr>
          <w:p w14:paraId="1BA0E888"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13,775</w:t>
            </w:r>
          </w:p>
        </w:tc>
        <w:tc>
          <w:tcPr>
            <w:tcW w:w="1200" w:type="dxa"/>
            <w:tcBorders>
              <w:top w:val="nil"/>
              <w:left w:val="nil"/>
              <w:bottom w:val="single" w:sz="4" w:space="0" w:color="auto"/>
              <w:right w:val="nil"/>
            </w:tcBorders>
            <w:shd w:val="clear" w:color="auto" w:fill="auto"/>
            <w:noWrap/>
            <w:vAlign w:val="center"/>
            <w:hideMark/>
          </w:tcPr>
          <w:p w14:paraId="07057ADB"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12,350</w:t>
            </w:r>
          </w:p>
        </w:tc>
        <w:tc>
          <w:tcPr>
            <w:tcW w:w="1200" w:type="dxa"/>
            <w:tcBorders>
              <w:top w:val="nil"/>
              <w:left w:val="nil"/>
              <w:bottom w:val="single" w:sz="4" w:space="0" w:color="auto"/>
              <w:right w:val="nil"/>
            </w:tcBorders>
            <w:shd w:val="clear" w:color="auto" w:fill="auto"/>
            <w:noWrap/>
            <w:vAlign w:val="center"/>
            <w:hideMark/>
          </w:tcPr>
          <w:p w14:paraId="7846E80A"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10,925</w:t>
            </w:r>
          </w:p>
        </w:tc>
        <w:tc>
          <w:tcPr>
            <w:tcW w:w="1200" w:type="dxa"/>
            <w:tcBorders>
              <w:top w:val="nil"/>
              <w:left w:val="nil"/>
              <w:bottom w:val="single" w:sz="4" w:space="0" w:color="auto"/>
              <w:right w:val="nil"/>
            </w:tcBorders>
            <w:shd w:val="clear" w:color="auto" w:fill="auto"/>
            <w:noWrap/>
            <w:vAlign w:val="center"/>
            <w:hideMark/>
          </w:tcPr>
          <w:p w14:paraId="5340C895"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9,500</w:t>
            </w:r>
          </w:p>
        </w:tc>
        <w:tc>
          <w:tcPr>
            <w:tcW w:w="1200" w:type="dxa"/>
            <w:tcBorders>
              <w:top w:val="nil"/>
              <w:left w:val="nil"/>
              <w:bottom w:val="single" w:sz="4" w:space="0" w:color="auto"/>
              <w:right w:val="nil"/>
            </w:tcBorders>
            <w:shd w:val="clear" w:color="auto" w:fill="auto"/>
            <w:noWrap/>
            <w:vAlign w:val="center"/>
            <w:hideMark/>
          </w:tcPr>
          <w:p w14:paraId="775BED31"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8,075</w:t>
            </w:r>
          </w:p>
        </w:tc>
        <w:tc>
          <w:tcPr>
            <w:tcW w:w="1200" w:type="dxa"/>
            <w:tcBorders>
              <w:top w:val="nil"/>
              <w:left w:val="nil"/>
              <w:bottom w:val="single" w:sz="4" w:space="0" w:color="auto"/>
              <w:right w:val="nil"/>
            </w:tcBorders>
            <w:shd w:val="clear" w:color="auto" w:fill="auto"/>
            <w:noWrap/>
            <w:vAlign w:val="center"/>
            <w:hideMark/>
          </w:tcPr>
          <w:p w14:paraId="1CA774AD"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6,650</w:t>
            </w:r>
          </w:p>
        </w:tc>
        <w:tc>
          <w:tcPr>
            <w:tcW w:w="880" w:type="dxa"/>
            <w:tcBorders>
              <w:top w:val="nil"/>
              <w:left w:val="nil"/>
              <w:bottom w:val="single" w:sz="4" w:space="0" w:color="auto"/>
              <w:right w:val="nil"/>
            </w:tcBorders>
            <w:shd w:val="clear" w:color="auto" w:fill="auto"/>
            <w:noWrap/>
            <w:vAlign w:val="center"/>
            <w:hideMark/>
          </w:tcPr>
          <w:p w14:paraId="5F33DEB2" w14:textId="77777777" w:rsidR="0047217F" w:rsidRPr="007E11A2" w:rsidRDefault="0047217F" w:rsidP="00D015A3">
            <w:pPr>
              <w:spacing w:after="0" w:line="360" w:lineRule="auto"/>
              <w:jc w:val="both"/>
              <w:rPr>
                <w:rFonts w:eastAsia="Times New Roman" w:cstheme="minorHAnsi"/>
                <w:color w:val="000000"/>
                <w:sz w:val="24"/>
                <w:szCs w:val="24"/>
                <w:lang w:eastAsia="fr-FR"/>
              </w:rPr>
            </w:pPr>
            <w:r w:rsidRPr="007E11A2">
              <w:rPr>
                <w:rFonts w:eastAsia="Times New Roman" w:cstheme="minorHAnsi"/>
                <w:color w:val="000000"/>
                <w:sz w:val="24"/>
                <w:szCs w:val="24"/>
                <w:lang w:eastAsia="fr-FR"/>
              </w:rPr>
              <w:t>5,225</w:t>
            </w:r>
          </w:p>
        </w:tc>
      </w:tr>
    </w:tbl>
    <w:p w14:paraId="0729928F" w14:textId="77777777" w:rsidR="0047217F" w:rsidRDefault="0047217F" w:rsidP="0047217F">
      <w:pPr>
        <w:rPr>
          <w:rFonts w:cstheme="minorHAnsi"/>
          <w:sz w:val="24"/>
          <w:szCs w:val="24"/>
          <w:lang w:val="en-GB"/>
        </w:rPr>
      </w:pPr>
    </w:p>
    <w:p w14:paraId="60E83098" w14:textId="77777777" w:rsidR="0047217F" w:rsidRDefault="0047217F" w:rsidP="0047217F">
      <w:pPr>
        <w:spacing w:after="0" w:line="360" w:lineRule="auto"/>
        <w:jc w:val="both"/>
        <w:rPr>
          <w:rFonts w:cstheme="minorHAnsi"/>
          <w:sz w:val="24"/>
          <w:szCs w:val="24"/>
          <w:lang w:val="en-GB"/>
        </w:rPr>
      </w:pPr>
    </w:p>
    <w:p w14:paraId="469D1D59" w14:textId="77777777" w:rsidR="0047217F" w:rsidRDefault="0047217F" w:rsidP="0047217F">
      <w:pPr>
        <w:rPr>
          <w:rFonts w:cstheme="minorHAnsi"/>
          <w:sz w:val="24"/>
          <w:szCs w:val="24"/>
          <w:lang w:val="en-GB"/>
        </w:rPr>
      </w:pPr>
    </w:p>
    <w:p w14:paraId="147BA8EA" w14:textId="77777777" w:rsidR="0047217F" w:rsidRDefault="0047217F" w:rsidP="0047217F">
      <w:pPr>
        <w:rPr>
          <w:rFonts w:cstheme="minorHAnsi"/>
          <w:sz w:val="24"/>
          <w:szCs w:val="24"/>
          <w:lang w:val="en-GB"/>
        </w:rPr>
      </w:pPr>
      <w:r>
        <w:rPr>
          <w:rFonts w:cstheme="minorHAnsi"/>
          <w:sz w:val="24"/>
          <w:szCs w:val="24"/>
          <w:lang w:val="en-GB"/>
        </w:rPr>
        <w:br w:type="page"/>
      </w:r>
    </w:p>
    <w:p w14:paraId="670BDAB8" w14:textId="77777777" w:rsidR="0047217F" w:rsidRDefault="0047217F" w:rsidP="0047217F">
      <w:pPr>
        <w:rPr>
          <w:lang w:val="en-GB"/>
        </w:rPr>
      </w:pPr>
      <w:r w:rsidRPr="00B36749">
        <w:rPr>
          <w:b/>
          <w:lang w:val="en-GB"/>
        </w:rPr>
        <w:lastRenderedPageBreak/>
        <w:t>Supplementary Table C</w:t>
      </w:r>
      <w:r>
        <w:rPr>
          <w:lang w:val="en-GB"/>
        </w:rPr>
        <w:t>: Detailed simulation protocol for running the virtual experiment.</w:t>
      </w:r>
    </w:p>
    <w:p w14:paraId="4CD2AA25" w14:textId="77777777" w:rsidR="0047217F" w:rsidRDefault="0047217F" w:rsidP="0047217F">
      <w:pPr>
        <w:rPr>
          <w:lang w:val="en-GB"/>
        </w:rPr>
      </w:pPr>
    </w:p>
    <w:tbl>
      <w:tblPr>
        <w:tblStyle w:val="TableGrid"/>
        <w:tblW w:w="0" w:type="auto"/>
        <w:tblLook w:val="04A0" w:firstRow="1" w:lastRow="0" w:firstColumn="1" w:lastColumn="0" w:noHBand="0" w:noVBand="1"/>
      </w:tblPr>
      <w:tblGrid>
        <w:gridCol w:w="1555"/>
        <w:gridCol w:w="7507"/>
      </w:tblGrid>
      <w:tr w:rsidR="0047217F" w:rsidRPr="005F3511" w14:paraId="0FDD77A4" w14:textId="77777777" w:rsidTr="00D015A3">
        <w:tc>
          <w:tcPr>
            <w:tcW w:w="1555" w:type="dxa"/>
          </w:tcPr>
          <w:p w14:paraId="48D63D76" w14:textId="77777777" w:rsidR="0047217F" w:rsidRPr="0045198D" w:rsidRDefault="0047217F" w:rsidP="00D015A3">
            <w:pPr>
              <w:rPr>
                <w:i/>
                <w:lang w:val="en-GB"/>
              </w:rPr>
            </w:pPr>
            <w:r w:rsidRPr="0045198D">
              <w:rPr>
                <w:i/>
                <w:lang w:val="en-GB"/>
              </w:rPr>
              <w:t xml:space="preserve">Definition of the </w:t>
            </w:r>
            <w:r>
              <w:rPr>
                <w:i/>
                <w:lang w:val="en-GB"/>
              </w:rPr>
              <w:t xml:space="preserve">63 </w:t>
            </w:r>
            <w:r w:rsidRPr="0045198D">
              <w:rPr>
                <w:i/>
                <w:lang w:val="en-GB"/>
              </w:rPr>
              <w:t>plant communities</w:t>
            </w:r>
          </w:p>
          <w:p w14:paraId="5E00A08C" w14:textId="77777777" w:rsidR="0047217F" w:rsidRDefault="0047217F" w:rsidP="00D015A3">
            <w:pPr>
              <w:rPr>
                <w:lang w:val="en-GB"/>
              </w:rPr>
            </w:pPr>
          </w:p>
        </w:tc>
        <w:tc>
          <w:tcPr>
            <w:tcW w:w="7507" w:type="dxa"/>
          </w:tcPr>
          <w:p w14:paraId="591BFC0A" w14:textId="77777777" w:rsidR="0047217F" w:rsidRPr="00ED2F83" w:rsidRDefault="0047217F" w:rsidP="00D015A3">
            <w:pPr>
              <w:spacing w:line="360" w:lineRule="auto"/>
              <w:jc w:val="both"/>
              <w:rPr>
                <w:rFonts w:cstheme="minorHAnsi"/>
                <w:sz w:val="22"/>
                <w:szCs w:val="22"/>
                <w:lang w:val="en-GB"/>
              </w:rPr>
            </w:pPr>
            <w:r w:rsidRPr="00ED2F83">
              <w:rPr>
                <w:rFonts w:cstheme="minorHAnsi"/>
                <w:sz w:val="22"/>
                <w:szCs w:val="22"/>
                <w:lang w:val="en-GB"/>
              </w:rPr>
              <w:t>- A series of 63 virtual binary mixtures was generated combining a reference species (hereafter called Sp1 for species 1, corresponding to the G- morphotype described in Louarn and Faverjon, 2018) and a second species (Sp2) defined by modifying the values of a series of one to six parameters compared to Sp1 (</w:t>
            </w:r>
            <w:r w:rsidRPr="00ED2F83">
              <w:rPr>
                <w:rFonts w:cstheme="minorHAnsi"/>
                <w:color w:val="4472C4" w:themeColor="accent1"/>
                <w:sz w:val="22"/>
                <w:szCs w:val="22"/>
                <w:lang w:val="en-GB"/>
              </w:rPr>
              <w:t>Figure 1</w:t>
            </w:r>
            <w:r w:rsidRPr="00ED2F83">
              <w:rPr>
                <w:rFonts w:cstheme="minorHAnsi"/>
                <w:sz w:val="22"/>
                <w:szCs w:val="22"/>
                <w:lang w:val="en-GB"/>
              </w:rPr>
              <w:t>).</w:t>
            </w:r>
          </w:p>
          <w:p w14:paraId="21A0FC07" w14:textId="77777777" w:rsidR="0047217F" w:rsidRPr="00ED2F83" w:rsidRDefault="0047217F" w:rsidP="00D015A3">
            <w:pPr>
              <w:spacing w:line="360" w:lineRule="auto"/>
              <w:jc w:val="both"/>
              <w:rPr>
                <w:rFonts w:cstheme="minorHAnsi"/>
                <w:sz w:val="22"/>
                <w:szCs w:val="22"/>
                <w:lang w:val="en-GB"/>
              </w:rPr>
            </w:pPr>
            <w:r w:rsidRPr="00ED2F83">
              <w:rPr>
                <w:rFonts w:cstheme="minorHAnsi"/>
                <w:sz w:val="22"/>
                <w:szCs w:val="22"/>
                <w:lang w:val="en-GB"/>
              </w:rPr>
              <w:t>- For the boundaries of within-species variation, a maximal standard deviation for each plant parameter (</w:t>
            </w:r>
            <w:r w:rsidRPr="00ED2F83">
              <w:rPr>
                <w:rFonts w:cstheme="minorHAnsi"/>
                <w:i/>
                <w:sz w:val="22"/>
                <w:szCs w:val="22"/>
                <w:lang w:val="en-GB"/>
              </w:rPr>
              <w:sym w:font="Symbol" w:char="F073"/>
            </w:r>
            <w:r w:rsidRPr="00ED2F83">
              <w:rPr>
                <w:rFonts w:cstheme="minorHAnsi"/>
                <w:i/>
                <w:sz w:val="22"/>
                <w:szCs w:val="22"/>
                <w:vertAlign w:val="subscript"/>
                <w:lang w:val="en-GB"/>
              </w:rPr>
              <w:t>max</w:t>
            </w:r>
            <w:r w:rsidRPr="00ED2F83">
              <w:rPr>
                <w:rFonts w:cstheme="minorHAnsi"/>
                <w:sz w:val="22"/>
                <w:szCs w:val="22"/>
                <w:lang w:val="en-GB"/>
              </w:rPr>
              <w:t xml:space="preserve">) was defined according to the mean parameter values of the reference calibration (G- morphotype, Louarn and Faverjon, 2018) and the highest possible level of CV recorded in the literature review reported in </w:t>
            </w:r>
            <w:r w:rsidRPr="00ED2F83">
              <w:rPr>
                <w:rFonts w:cstheme="minorHAnsi"/>
                <w:color w:val="0070C0"/>
                <w:sz w:val="22"/>
                <w:szCs w:val="22"/>
                <w:lang w:val="en-GB"/>
              </w:rPr>
              <w:t>Supplementary Table A</w:t>
            </w:r>
            <w:r w:rsidRPr="00ED2F83">
              <w:rPr>
                <w:rFonts w:cstheme="minorHAnsi"/>
                <w:sz w:val="22"/>
                <w:szCs w:val="22"/>
                <w:lang w:val="en-GB"/>
              </w:rPr>
              <w:t xml:space="preserve"> (</w:t>
            </w:r>
            <w:r w:rsidRPr="00ED2F83">
              <w:rPr>
                <w:rFonts w:cstheme="minorHAnsi"/>
                <w:i/>
                <w:sz w:val="22"/>
                <w:szCs w:val="22"/>
                <w:lang w:val="en-GB"/>
              </w:rPr>
              <w:sym w:font="Symbol" w:char="F073"/>
            </w:r>
            <w:r w:rsidRPr="00ED2F83">
              <w:rPr>
                <w:rFonts w:cstheme="minorHAnsi"/>
                <w:i/>
                <w:sz w:val="22"/>
                <w:szCs w:val="22"/>
                <w:vertAlign w:val="subscript"/>
                <w:lang w:val="en-GB"/>
              </w:rPr>
              <w:t>max</w:t>
            </w:r>
            <w:r w:rsidRPr="00ED2F83">
              <w:rPr>
                <w:rFonts w:cstheme="minorHAnsi"/>
                <w:sz w:val="22"/>
                <w:szCs w:val="22"/>
                <w:lang w:val="en-GB"/>
              </w:rPr>
              <w:t xml:space="preserve"> = µSp1*0.3). </w:t>
            </w:r>
          </w:p>
          <w:p w14:paraId="37F15DB4" w14:textId="77777777" w:rsidR="0047217F" w:rsidRPr="00ED2F83" w:rsidRDefault="0047217F" w:rsidP="00D015A3">
            <w:pPr>
              <w:spacing w:line="360" w:lineRule="auto"/>
              <w:jc w:val="both"/>
              <w:rPr>
                <w:rFonts w:cstheme="minorHAnsi"/>
                <w:sz w:val="22"/>
                <w:szCs w:val="22"/>
                <w:lang w:val="en-GB"/>
              </w:rPr>
            </w:pPr>
            <w:r w:rsidRPr="00ED2F83">
              <w:rPr>
                <w:rFonts w:cstheme="minorHAnsi"/>
                <w:sz w:val="22"/>
                <w:szCs w:val="22"/>
                <w:lang w:val="en-GB"/>
              </w:rPr>
              <w:t xml:space="preserve">- For between-species variability, we chose the between species difference in a mixture as a multiple </w:t>
            </w:r>
            <w:r w:rsidRPr="00ED2F83">
              <w:rPr>
                <w:rFonts w:cstheme="minorHAnsi"/>
                <w:i/>
                <w:sz w:val="22"/>
                <w:szCs w:val="22"/>
                <w:lang w:val="en-GB"/>
              </w:rPr>
              <w:sym w:font="Symbol" w:char="F073"/>
            </w:r>
            <w:r w:rsidRPr="00ED2F83">
              <w:rPr>
                <w:rFonts w:cstheme="minorHAnsi"/>
                <w:i/>
                <w:sz w:val="22"/>
                <w:szCs w:val="22"/>
                <w:vertAlign w:val="subscript"/>
                <w:lang w:val="en-GB"/>
              </w:rPr>
              <w:t>max</w:t>
            </w:r>
            <w:r w:rsidRPr="00ED2F83">
              <w:rPr>
                <w:rFonts w:cstheme="minorHAnsi"/>
                <w:sz w:val="22"/>
                <w:szCs w:val="22"/>
                <w:lang w:val="en-GB"/>
              </w:rPr>
              <w:t>. Seven possible levels of</w:t>
            </w:r>
            <w:r w:rsidRPr="00ED2F83">
              <w:rPr>
                <w:sz w:val="22"/>
                <w:szCs w:val="22"/>
                <w:lang w:val="en-GB"/>
              </w:rPr>
              <w:t xml:space="preserve"> </w:t>
            </w:r>
            <w:r w:rsidRPr="00ED2F83">
              <w:rPr>
                <w:rFonts w:cstheme="minorHAnsi"/>
                <w:sz w:val="22"/>
                <w:szCs w:val="22"/>
                <w:lang w:val="en-GB"/>
              </w:rPr>
              <w:t>mean trait divergence (</w:t>
            </w:r>
            <w:r w:rsidRPr="00ED2F83">
              <w:rPr>
                <w:rFonts w:cstheme="minorHAnsi"/>
                <w:sz w:val="22"/>
                <w:szCs w:val="22"/>
                <w:lang w:val="en-GB"/>
              </w:rPr>
              <w:sym w:font="Symbol" w:char="F044"/>
            </w:r>
            <w:r w:rsidRPr="00ED2F83">
              <w:rPr>
                <w:rFonts w:cstheme="minorHAnsi"/>
                <w:sz w:val="22"/>
                <w:szCs w:val="22"/>
                <w:lang w:val="en-GB"/>
              </w:rPr>
              <w:t>) were defined for each parameter, ranging from -1.5*</w:t>
            </w:r>
            <w:r w:rsidRPr="00ED2F83">
              <w:rPr>
                <w:rFonts w:cstheme="minorHAnsi"/>
                <w:i/>
                <w:sz w:val="22"/>
                <w:szCs w:val="22"/>
                <w:lang w:val="en-GB"/>
              </w:rPr>
              <w:sym w:font="Symbol" w:char="F073"/>
            </w:r>
            <w:r w:rsidRPr="00ED2F83">
              <w:rPr>
                <w:rFonts w:cstheme="minorHAnsi"/>
                <w:i/>
                <w:sz w:val="22"/>
                <w:szCs w:val="22"/>
                <w:vertAlign w:val="subscript"/>
                <w:lang w:val="en-GB"/>
              </w:rPr>
              <w:t>max</w:t>
            </w:r>
            <w:r w:rsidRPr="00ED2F83">
              <w:rPr>
                <w:rFonts w:cstheme="minorHAnsi"/>
                <w:sz w:val="22"/>
                <w:szCs w:val="22"/>
                <w:lang w:val="en-GB"/>
              </w:rPr>
              <w:t xml:space="preserve"> to +1.5*</w:t>
            </w:r>
            <w:r w:rsidRPr="00ED2F83">
              <w:rPr>
                <w:rFonts w:cstheme="minorHAnsi"/>
                <w:i/>
                <w:sz w:val="22"/>
                <w:szCs w:val="22"/>
                <w:lang w:val="en-GB"/>
              </w:rPr>
              <w:sym w:font="Symbol" w:char="F073"/>
            </w:r>
            <w:r w:rsidRPr="00ED2F83">
              <w:rPr>
                <w:rFonts w:cstheme="minorHAnsi"/>
                <w:i/>
                <w:sz w:val="22"/>
                <w:szCs w:val="22"/>
                <w:vertAlign w:val="subscript"/>
                <w:lang w:val="en-GB"/>
              </w:rPr>
              <w:t>max</w:t>
            </w:r>
            <w:r w:rsidRPr="00ED2F83">
              <w:rPr>
                <w:rFonts w:cstheme="minorHAnsi"/>
                <w:sz w:val="22"/>
                <w:szCs w:val="22"/>
                <w:lang w:val="en-GB"/>
              </w:rPr>
              <w:t xml:space="preserve"> (</w:t>
            </w:r>
            <w:r w:rsidRPr="00ED2F83">
              <w:rPr>
                <w:rFonts w:cstheme="minorHAnsi"/>
                <w:color w:val="4472C4" w:themeColor="accent1"/>
                <w:sz w:val="22"/>
                <w:szCs w:val="22"/>
                <w:lang w:val="en-GB"/>
              </w:rPr>
              <w:t>Figure 1</w:t>
            </w:r>
            <w:r w:rsidRPr="00ED2F83">
              <w:rPr>
                <w:rFonts w:cstheme="minorHAnsi"/>
                <w:sz w:val="22"/>
                <w:szCs w:val="22"/>
                <w:lang w:val="en-GB"/>
              </w:rPr>
              <w:t xml:space="preserve">; </w:t>
            </w:r>
            <w:r w:rsidRPr="00ED2F83">
              <w:rPr>
                <w:rFonts w:cstheme="minorHAnsi"/>
                <w:color w:val="4472C4" w:themeColor="accent1"/>
                <w:sz w:val="22"/>
                <w:szCs w:val="22"/>
                <w:lang w:val="en-GB"/>
              </w:rPr>
              <w:t>Fig. Sup B-a</w:t>
            </w:r>
            <w:r w:rsidRPr="00ED2F83">
              <w:rPr>
                <w:rFonts w:cstheme="minorHAnsi"/>
                <w:sz w:val="22"/>
                <w:szCs w:val="22"/>
                <w:lang w:val="en-GB"/>
              </w:rPr>
              <w:t xml:space="preserve">). The median case of 0 </w:t>
            </w:r>
            <w:r w:rsidRPr="00ED2F83">
              <w:rPr>
                <w:rFonts w:cstheme="minorHAnsi"/>
                <w:i/>
                <w:sz w:val="22"/>
                <w:szCs w:val="22"/>
                <w:lang w:val="en-GB"/>
              </w:rPr>
              <w:sym w:font="Symbol" w:char="F073"/>
            </w:r>
            <w:r w:rsidRPr="00ED2F83">
              <w:rPr>
                <w:rFonts w:cstheme="minorHAnsi"/>
                <w:i/>
                <w:sz w:val="22"/>
                <w:szCs w:val="22"/>
                <w:vertAlign w:val="subscript"/>
                <w:lang w:val="en-GB"/>
              </w:rPr>
              <w:t>max</w:t>
            </w:r>
            <w:r w:rsidRPr="00ED2F83">
              <w:rPr>
                <w:rFonts w:cstheme="minorHAnsi"/>
                <w:sz w:val="22"/>
                <w:szCs w:val="22"/>
                <w:lang w:val="en-GB"/>
              </w:rPr>
              <w:t xml:space="preserve"> (</w:t>
            </w:r>
            <w:r w:rsidRPr="00ED2F83">
              <w:rPr>
                <w:rFonts w:cstheme="minorHAnsi"/>
                <w:sz w:val="22"/>
                <w:szCs w:val="22"/>
                <w:lang w:val="en-GB"/>
              </w:rPr>
              <w:sym w:font="Symbol" w:char="F044"/>
            </w:r>
            <w:r w:rsidRPr="00ED2F83">
              <w:rPr>
                <w:rFonts w:cstheme="minorHAnsi"/>
                <w:sz w:val="22"/>
                <w:szCs w:val="22"/>
                <w:lang w:val="en-GB"/>
              </w:rPr>
              <w:t>=0) represented a particular case, which is not properly an intercrop (more a mixture of two varieties from the same species, as mean trait values were identical), but which served as a useful reference (i.e. null model) to disentangle the effects mean trait divergence and IV on model outputs.</w:t>
            </w:r>
          </w:p>
          <w:p w14:paraId="41A48EF8" w14:textId="77777777" w:rsidR="0047217F" w:rsidRPr="00ED2F83" w:rsidRDefault="0047217F" w:rsidP="00D015A3">
            <w:pPr>
              <w:spacing w:line="360" w:lineRule="auto"/>
              <w:jc w:val="both"/>
              <w:rPr>
                <w:rFonts w:cstheme="minorHAnsi"/>
                <w:sz w:val="22"/>
                <w:szCs w:val="22"/>
                <w:lang w:val="en-GB"/>
              </w:rPr>
            </w:pPr>
            <w:r w:rsidRPr="00ED2F83">
              <w:rPr>
                <w:rFonts w:cstheme="minorHAnsi"/>
                <w:sz w:val="22"/>
                <w:szCs w:val="22"/>
                <w:lang w:val="en-GB"/>
              </w:rPr>
              <w:t>- Six parameters were selected in this study to build plant communities with contrasting levels of competition between species. They were identified from a sensitivity analysis previously published on the model using the Sp1 parametrisation (Louarn et al., 2020). They consisted in three parameters identified as having a marked influence on light competition (namely L</w:t>
            </w:r>
            <w:r w:rsidRPr="00ED2F83">
              <w:rPr>
                <w:rFonts w:cstheme="minorHAnsi"/>
                <w:sz w:val="22"/>
                <w:szCs w:val="22"/>
                <w:vertAlign w:val="subscript"/>
                <w:lang w:val="en-GB"/>
              </w:rPr>
              <w:t>max</w:t>
            </w:r>
            <w:r w:rsidRPr="00ED2F83">
              <w:rPr>
                <w:rFonts w:cstheme="minorHAnsi"/>
                <w:sz w:val="22"/>
                <w:szCs w:val="22"/>
                <w:lang w:val="en-GB"/>
              </w:rPr>
              <w:t>L, L</w:t>
            </w:r>
            <w:r w:rsidRPr="00ED2F83">
              <w:rPr>
                <w:rFonts w:cstheme="minorHAnsi"/>
                <w:sz w:val="22"/>
                <w:szCs w:val="22"/>
                <w:vertAlign w:val="subscript"/>
                <w:lang w:val="en-GB"/>
              </w:rPr>
              <w:t>max</w:t>
            </w:r>
            <w:r w:rsidRPr="00ED2F83">
              <w:rPr>
                <w:rFonts w:cstheme="minorHAnsi"/>
                <w:sz w:val="22"/>
                <w:szCs w:val="22"/>
                <w:lang w:val="en-GB"/>
              </w:rPr>
              <w:t>In and Phyllo</w:t>
            </w:r>
            <w:r w:rsidRPr="00ED2F83">
              <w:rPr>
                <w:rFonts w:cstheme="minorHAnsi"/>
                <w:sz w:val="22"/>
                <w:szCs w:val="22"/>
                <w:vertAlign w:val="subscript"/>
                <w:lang w:val="en-GB"/>
              </w:rPr>
              <w:t>1</w:t>
            </w:r>
            <w:r w:rsidRPr="00ED2F83">
              <w:rPr>
                <w:rFonts w:cstheme="minorHAnsi"/>
                <w:sz w:val="22"/>
                <w:szCs w:val="22"/>
                <w:lang w:val="en-GB"/>
              </w:rPr>
              <w:t xml:space="preserve"> standing for the maximal leaf length, maximal internode length and maximal phyllochron of primary shoot axes, respectively) and three parameters with a marked influence on soil mineral N competition (namely Vmax</w:t>
            </w:r>
            <w:r w:rsidRPr="00ED2F83">
              <w:rPr>
                <w:rFonts w:cstheme="minorHAnsi"/>
                <w:sz w:val="22"/>
                <w:szCs w:val="22"/>
                <w:vertAlign w:val="subscript"/>
                <w:lang w:val="en-GB"/>
              </w:rPr>
              <w:t>2</w:t>
            </w:r>
            <w:r w:rsidRPr="00ED2F83">
              <w:rPr>
                <w:rFonts w:cstheme="minorHAnsi"/>
                <w:sz w:val="22"/>
                <w:szCs w:val="22"/>
                <w:lang w:val="en-GB"/>
              </w:rPr>
              <w:t>, EL</w:t>
            </w:r>
            <w:r w:rsidRPr="00ED2F83">
              <w:rPr>
                <w:rFonts w:cstheme="minorHAnsi"/>
                <w:sz w:val="22"/>
                <w:szCs w:val="22"/>
                <w:vertAlign w:val="subscript"/>
                <w:lang w:val="en-GB"/>
              </w:rPr>
              <w:t>max</w:t>
            </w:r>
            <w:r w:rsidRPr="00ED2F83">
              <w:rPr>
                <w:rFonts w:cstheme="minorHAnsi"/>
                <w:sz w:val="22"/>
                <w:szCs w:val="22"/>
                <w:lang w:val="en-GB"/>
              </w:rPr>
              <w:t>R and PPtresh</w:t>
            </w:r>
            <w:r w:rsidRPr="00ED2F83">
              <w:rPr>
                <w:rFonts w:cstheme="minorHAnsi"/>
                <w:sz w:val="22"/>
                <w:szCs w:val="22"/>
                <w:vertAlign w:val="subscript"/>
                <w:lang w:val="en-GB"/>
              </w:rPr>
              <w:t>H</w:t>
            </w:r>
            <w:r w:rsidRPr="00ED2F83">
              <w:rPr>
                <w:rFonts w:cstheme="minorHAnsi"/>
                <w:sz w:val="22"/>
                <w:szCs w:val="22"/>
                <w:lang w:val="en-GB"/>
              </w:rPr>
              <w:t xml:space="preserve"> standing for the maximum rate of absorption achieved by LATS transporters, the elongation rate of roots at maximal apex diameter and the photoperiod threshold required to start inducing a reduction in plant development, respectively). All parameter differences did not act in the same direction to influence the competition between species (i.e. some increasing parameter values have a positive effect on competitive ability, while others have a negative effect). In order to keep a simple interpretation of model outputs in terms of resource partitioning between species with a limited simulation design, two conventions were defined to select among the possible binary mixture tested: </w:t>
            </w:r>
          </w:p>
          <w:p w14:paraId="610D8BFF" w14:textId="77777777" w:rsidR="0047217F" w:rsidRPr="00ED2F83" w:rsidRDefault="0047217F" w:rsidP="00D015A3">
            <w:pPr>
              <w:spacing w:line="360" w:lineRule="auto"/>
              <w:jc w:val="both"/>
              <w:rPr>
                <w:rFonts w:cstheme="minorHAnsi"/>
                <w:sz w:val="22"/>
                <w:szCs w:val="22"/>
                <w:lang w:val="en-GB"/>
              </w:rPr>
            </w:pPr>
            <w:r w:rsidRPr="00ED2F83">
              <w:rPr>
                <w:rFonts w:cstheme="minorHAnsi"/>
                <w:sz w:val="22"/>
                <w:szCs w:val="22"/>
                <w:lang w:val="en-GB"/>
              </w:rPr>
              <w:lastRenderedPageBreak/>
              <w:t xml:space="preserve">     * The first was to apply increasing </w:t>
            </w:r>
            <w:r w:rsidRPr="00ED2F83">
              <w:rPr>
                <w:rFonts w:cstheme="minorHAnsi"/>
                <w:sz w:val="22"/>
                <w:szCs w:val="22"/>
                <w:lang w:val="en-GB"/>
              </w:rPr>
              <w:sym w:font="Symbol" w:char="F044"/>
            </w:r>
            <w:r w:rsidRPr="00ED2F83">
              <w:rPr>
                <w:rFonts w:cstheme="minorHAnsi"/>
                <w:sz w:val="22"/>
                <w:szCs w:val="22"/>
                <w:lang w:val="en-GB"/>
              </w:rPr>
              <w:t xml:space="preserve"> for each parameter according to one species that was favoured in the acquisition of a given resource, </w:t>
            </w:r>
          </w:p>
          <w:p w14:paraId="5FC08F8D" w14:textId="77777777" w:rsidR="0047217F" w:rsidRPr="00ED2F83" w:rsidRDefault="0047217F" w:rsidP="00D015A3">
            <w:pPr>
              <w:spacing w:line="360" w:lineRule="auto"/>
              <w:jc w:val="both"/>
              <w:rPr>
                <w:rFonts w:cstheme="minorHAnsi"/>
                <w:sz w:val="22"/>
                <w:szCs w:val="22"/>
                <w:lang w:val="en-GB"/>
              </w:rPr>
            </w:pPr>
            <w:r w:rsidRPr="00ED2F83">
              <w:rPr>
                <w:rFonts w:cstheme="minorHAnsi"/>
                <w:sz w:val="22"/>
                <w:szCs w:val="22"/>
                <w:lang w:val="en-GB"/>
              </w:rPr>
              <w:t xml:space="preserve">     * The second was to differentiate the competitive ability of Sp1 and Sp2 for the two contested resources. </w:t>
            </w:r>
          </w:p>
          <w:p w14:paraId="794FECDC" w14:textId="77777777" w:rsidR="0047217F" w:rsidRPr="00ED2F83" w:rsidRDefault="0047217F" w:rsidP="00D015A3">
            <w:pPr>
              <w:spacing w:line="360" w:lineRule="auto"/>
              <w:jc w:val="both"/>
              <w:rPr>
                <w:rFonts w:cstheme="minorHAnsi"/>
                <w:sz w:val="22"/>
                <w:szCs w:val="22"/>
                <w:lang w:val="en-GB"/>
              </w:rPr>
            </w:pPr>
            <w:r w:rsidRPr="00ED2F83">
              <w:rPr>
                <w:rFonts w:cstheme="minorHAnsi"/>
                <w:sz w:val="22"/>
                <w:szCs w:val="22"/>
                <w:lang w:val="en-GB"/>
              </w:rPr>
              <w:t xml:space="preserve">As a consequence, the gradients of increasing </w:t>
            </w:r>
            <w:r w:rsidRPr="00ED2F83">
              <w:rPr>
                <w:rFonts w:cstheme="minorHAnsi"/>
                <w:sz w:val="22"/>
                <w:szCs w:val="22"/>
                <w:lang w:val="en-GB"/>
              </w:rPr>
              <w:sym w:font="Symbol" w:char="F044"/>
            </w:r>
            <w:r w:rsidRPr="00ED2F83">
              <w:rPr>
                <w:rFonts w:cstheme="minorHAnsi"/>
                <w:sz w:val="22"/>
                <w:szCs w:val="22"/>
                <w:lang w:val="en-GB"/>
              </w:rPr>
              <w:t xml:space="preserve"> values were defined to favour the competitive ability of Sp1 with respect to Sp2 for the three parameters chosen for their effect on light competition (L</w:t>
            </w:r>
            <w:r w:rsidRPr="00ED2F83">
              <w:rPr>
                <w:rFonts w:cstheme="minorHAnsi"/>
                <w:sz w:val="22"/>
                <w:szCs w:val="22"/>
                <w:vertAlign w:val="subscript"/>
                <w:lang w:val="en-GB"/>
              </w:rPr>
              <w:t>max</w:t>
            </w:r>
            <w:r w:rsidRPr="00ED2F83">
              <w:rPr>
                <w:rFonts w:cstheme="minorHAnsi"/>
                <w:sz w:val="22"/>
                <w:szCs w:val="22"/>
                <w:lang w:val="en-GB"/>
              </w:rPr>
              <w:t>L, L</w:t>
            </w:r>
            <w:r w:rsidRPr="00ED2F83">
              <w:rPr>
                <w:rFonts w:cstheme="minorHAnsi"/>
                <w:sz w:val="22"/>
                <w:szCs w:val="22"/>
                <w:vertAlign w:val="subscript"/>
                <w:lang w:val="en-GB"/>
              </w:rPr>
              <w:t>max</w:t>
            </w:r>
            <w:r w:rsidRPr="00ED2F83">
              <w:rPr>
                <w:rFonts w:cstheme="minorHAnsi"/>
                <w:sz w:val="22"/>
                <w:szCs w:val="22"/>
                <w:lang w:val="en-GB"/>
              </w:rPr>
              <w:t>In and Phyllo</w:t>
            </w:r>
            <w:r w:rsidRPr="00ED2F83">
              <w:rPr>
                <w:rFonts w:cstheme="minorHAnsi"/>
                <w:sz w:val="22"/>
                <w:szCs w:val="22"/>
                <w:vertAlign w:val="subscript"/>
                <w:lang w:val="en-GB"/>
              </w:rPr>
              <w:t>1</w:t>
            </w:r>
            <w:r w:rsidRPr="00ED2F83">
              <w:rPr>
                <w:rFonts w:cstheme="minorHAnsi"/>
                <w:sz w:val="22"/>
                <w:szCs w:val="22"/>
                <w:lang w:val="en-GB"/>
              </w:rPr>
              <w:t>). Similarly, the gradients of increasing delta values was defined to favour Sp2 over Sp1 for the three parameters directly affecting N competition (Vmax</w:t>
            </w:r>
            <w:r w:rsidRPr="00ED2F83">
              <w:rPr>
                <w:rFonts w:cstheme="minorHAnsi"/>
                <w:sz w:val="22"/>
                <w:szCs w:val="22"/>
                <w:vertAlign w:val="subscript"/>
                <w:lang w:val="en-GB"/>
              </w:rPr>
              <w:t>2</w:t>
            </w:r>
            <w:r w:rsidRPr="00ED2F83">
              <w:rPr>
                <w:rFonts w:cstheme="minorHAnsi"/>
                <w:sz w:val="22"/>
                <w:szCs w:val="22"/>
                <w:lang w:val="en-GB"/>
              </w:rPr>
              <w:t>, EL</w:t>
            </w:r>
            <w:r w:rsidRPr="00ED2F83">
              <w:rPr>
                <w:rFonts w:cstheme="minorHAnsi"/>
                <w:sz w:val="22"/>
                <w:szCs w:val="22"/>
                <w:vertAlign w:val="subscript"/>
                <w:lang w:val="en-GB"/>
              </w:rPr>
              <w:t>max</w:t>
            </w:r>
            <w:r w:rsidRPr="00ED2F83">
              <w:rPr>
                <w:rFonts w:cstheme="minorHAnsi"/>
                <w:sz w:val="22"/>
                <w:szCs w:val="22"/>
                <w:lang w:val="en-GB"/>
              </w:rPr>
              <w:t>R and PPtresh</w:t>
            </w:r>
            <w:r w:rsidRPr="00ED2F83">
              <w:rPr>
                <w:rFonts w:cstheme="minorHAnsi"/>
                <w:sz w:val="22"/>
                <w:szCs w:val="22"/>
                <w:vertAlign w:val="subscript"/>
                <w:lang w:val="en-GB"/>
              </w:rPr>
              <w:t>H</w:t>
            </w:r>
            <w:r w:rsidRPr="00ED2F83">
              <w:rPr>
                <w:rFonts w:cstheme="minorHAnsi"/>
                <w:sz w:val="22"/>
                <w:szCs w:val="22"/>
                <w:lang w:val="en-GB"/>
              </w:rPr>
              <w:t xml:space="preserve">). </w:t>
            </w:r>
          </w:p>
          <w:p w14:paraId="0A3EAF8F" w14:textId="77777777" w:rsidR="0047217F" w:rsidRPr="00ED2F83" w:rsidRDefault="0047217F" w:rsidP="00D015A3">
            <w:pPr>
              <w:spacing w:line="360" w:lineRule="auto"/>
              <w:jc w:val="both"/>
              <w:rPr>
                <w:rFonts w:cstheme="minorHAnsi"/>
                <w:sz w:val="22"/>
                <w:szCs w:val="22"/>
                <w:lang w:val="en-GB"/>
              </w:rPr>
            </w:pPr>
            <w:r w:rsidRPr="00ED2F83">
              <w:rPr>
                <w:rFonts w:cstheme="minorHAnsi"/>
                <w:sz w:val="22"/>
                <w:szCs w:val="22"/>
                <w:lang w:val="en-GB"/>
              </w:rPr>
              <w:t>- Finally, the community tested could also differ in terms of the number of parameters (or ‘traits’) for which the two species differed (</w:t>
            </w:r>
            <w:r w:rsidRPr="00ED2F83">
              <w:rPr>
                <w:rFonts w:cstheme="minorHAnsi"/>
                <w:color w:val="4472C4" w:themeColor="accent1"/>
                <w:sz w:val="22"/>
                <w:szCs w:val="22"/>
                <w:lang w:val="en-GB"/>
              </w:rPr>
              <w:t>Figure 1</w:t>
            </w:r>
            <w:r w:rsidRPr="00ED2F83">
              <w:rPr>
                <w:rFonts w:cstheme="minorHAnsi"/>
                <w:sz w:val="22"/>
                <w:szCs w:val="22"/>
                <w:lang w:val="en-GB"/>
              </w:rPr>
              <w:t xml:space="preserve">). Communities with species differing by 1, 3 or 6 trait values were tested (T1, T3 and T6). Not all possible combinations were included for T3. Non-random combinations of traits were chosen to produce regular gradients of competitive advantage for either light or N acquisition with increasing </w:t>
            </w:r>
            <w:r w:rsidRPr="00ED2F83">
              <w:rPr>
                <w:rFonts w:cstheme="minorHAnsi"/>
                <w:sz w:val="22"/>
                <w:szCs w:val="22"/>
                <w:lang w:val="en-GB"/>
              </w:rPr>
              <w:sym w:font="Symbol" w:char="F044"/>
            </w:r>
            <w:r w:rsidRPr="00ED2F83">
              <w:rPr>
                <w:rFonts w:cstheme="minorHAnsi"/>
                <w:sz w:val="22"/>
                <w:szCs w:val="22"/>
                <w:lang w:val="en-GB"/>
              </w:rPr>
              <w:t xml:space="preserve"> values. Thus, for T3, two situations accounting for the three light competition parameters (T3L) and the three N competition parameters (T3N) grouped together were selected. This resulted in nine possible trait combinations that defined a range of 63 virtual plant communities (i.e. (6*T1 + T3L +T3N +T6) * 7</w:t>
            </w:r>
            <w:r w:rsidRPr="00ED2F83">
              <w:rPr>
                <w:rFonts w:cstheme="minorHAnsi"/>
                <w:sz w:val="22"/>
                <w:szCs w:val="22"/>
                <w:lang w:val="en-GB"/>
              </w:rPr>
              <w:sym w:font="Symbol" w:char="F044"/>
            </w:r>
            <w:r w:rsidRPr="00ED2F83">
              <w:rPr>
                <w:rFonts w:cstheme="minorHAnsi"/>
                <w:sz w:val="22"/>
                <w:szCs w:val="22"/>
                <w:lang w:val="en-GB"/>
              </w:rPr>
              <w:t xml:space="preserve">). These scenarios included a series of nine situations at </w:t>
            </w:r>
            <w:r w:rsidRPr="00ED2F83">
              <w:rPr>
                <w:rFonts w:cstheme="minorHAnsi"/>
                <w:sz w:val="22"/>
                <w:szCs w:val="22"/>
                <w:lang w:val="en-GB"/>
              </w:rPr>
              <w:sym w:font="Symbol" w:char="F044"/>
            </w:r>
            <w:r w:rsidRPr="00ED2F83">
              <w:rPr>
                <w:rFonts w:cstheme="minorHAnsi"/>
                <w:sz w:val="22"/>
                <w:szCs w:val="22"/>
                <w:lang w:val="en-GB"/>
              </w:rPr>
              <w:t xml:space="preserve"> equals zero (i.e. no trait divergence between the mixed species) that corresponded to null models of interspecific competition for each of the T1 to T6 treatments. In these controls, the expected outcome of the competition between the two species was theoretically known (i.e. total yield equals the yield of a pure Sp1 stand; species proportion remains equal to sowing proportions).</w:t>
            </w:r>
          </w:p>
          <w:p w14:paraId="21E1A956" w14:textId="77777777" w:rsidR="0047217F" w:rsidRPr="00ED2F83" w:rsidRDefault="0047217F" w:rsidP="00D015A3">
            <w:pPr>
              <w:spacing w:line="360" w:lineRule="auto"/>
              <w:jc w:val="both"/>
              <w:rPr>
                <w:rFonts w:cstheme="minorHAnsi"/>
                <w:sz w:val="22"/>
                <w:szCs w:val="22"/>
                <w:lang w:val="en-GB"/>
              </w:rPr>
            </w:pPr>
            <w:r w:rsidRPr="00ED2F83">
              <w:rPr>
                <w:rFonts w:cstheme="minorHAnsi"/>
                <w:sz w:val="22"/>
                <w:szCs w:val="22"/>
                <w:lang w:val="en-GB"/>
              </w:rPr>
              <w:t xml:space="preserve">- </w:t>
            </w:r>
            <w:r w:rsidRPr="00ED2F83">
              <w:rPr>
                <w:rFonts w:cstheme="minorHAnsi"/>
                <w:color w:val="4472C4" w:themeColor="accent1"/>
                <w:sz w:val="22"/>
                <w:szCs w:val="22"/>
                <w:lang w:val="en-GB"/>
              </w:rPr>
              <w:t xml:space="preserve">Supplementary Table B </w:t>
            </w:r>
            <w:r w:rsidRPr="00ED2F83">
              <w:rPr>
                <w:rFonts w:cstheme="minorHAnsi"/>
                <w:sz w:val="22"/>
                <w:szCs w:val="22"/>
                <w:lang w:val="en-GB"/>
              </w:rPr>
              <w:t>summarises the different parameter values achieved by Sp2 under the different scenarios tested.</w:t>
            </w:r>
          </w:p>
          <w:p w14:paraId="692A1E68" w14:textId="77777777" w:rsidR="0047217F" w:rsidRDefault="0047217F" w:rsidP="00D015A3">
            <w:pPr>
              <w:rPr>
                <w:lang w:val="en-GB"/>
              </w:rPr>
            </w:pPr>
          </w:p>
        </w:tc>
      </w:tr>
      <w:tr w:rsidR="0047217F" w:rsidRPr="005F3511" w14:paraId="0E91A4CE" w14:textId="77777777" w:rsidTr="00D015A3">
        <w:tc>
          <w:tcPr>
            <w:tcW w:w="1555" w:type="dxa"/>
          </w:tcPr>
          <w:p w14:paraId="3E438BB8" w14:textId="77777777" w:rsidR="0047217F" w:rsidRDefault="0047217F" w:rsidP="00D015A3">
            <w:pPr>
              <w:rPr>
                <w:i/>
                <w:lang w:val="en-GB"/>
              </w:rPr>
            </w:pPr>
            <w:r>
              <w:rPr>
                <w:i/>
                <w:lang w:val="en-GB"/>
              </w:rPr>
              <w:lastRenderedPageBreak/>
              <w:t>Levels of IV studied</w:t>
            </w:r>
          </w:p>
          <w:p w14:paraId="4053F413" w14:textId="77777777" w:rsidR="0047217F" w:rsidRDefault="0047217F" w:rsidP="00D015A3">
            <w:pPr>
              <w:rPr>
                <w:lang w:val="en-GB"/>
              </w:rPr>
            </w:pPr>
          </w:p>
        </w:tc>
        <w:tc>
          <w:tcPr>
            <w:tcW w:w="7507" w:type="dxa"/>
          </w:tcPr>
          <w:p w14:paraId="6FC75BC2" w14:textId="77777777" w:rsidR="0047217F" w:rsidRPr="00E0235B" w:rsidRDefault="0047217F" w:rsidP="00D015A3">
            <w:pPr>
              <w:spacing w:line="360" w:lineRule="auto"/>
              <w:jc w:val="both"/>
              <w:rPr>
                <w:rFonts w:cstheme="minorHAnsi"/>
                <w:sz w:val="22"/>
                <w:szCs w:val="22"/>
                <w:lang w:val="en-GB"/>
              </w:rPr>
            </w:pPr>
            <w:r w:rsidRPr="00E0235B">
              <w:rPr>
                <w:rFonts w:cstheme="minorHAnsi"/>
                <w:sz w:val="22"/>
                <w:szCs w:val="22"/>
                <w:lang w:val="en-GB"/>
              </w:rPr>
              <w:t>- In order to assess the impact of within-population parameter variation on interspecific competition, simulations with all 63 plant mixtures were run by testing the impact of the three possible levels of IV: a very low (CV=0.001), moderate (CV=0.15) and high (CV=0.30) level of intraspecific variation (</w:t>
            </w:r>
            <w:r w:rsidRPr="00E0235B">
              <w:rPr>
                <w:rFonts w:cstheme="minorHAnsi"/>
                <w:color w:val="4472C4" w:themeColor="accent1"/>
                <w:sz w:val="22"/>
                <w:szCs w:val="22"/>
                <w:lang w:val="en-GB"/>
              </w:rPr>
              <w:t>Figure 1</w:t>
            </w:r>
            <w:r w:rsidRPr="00E0235B">
              <w:rPr>
                <w:rFonts w:cstheme="minorHAnsi"/>
                <w:sz w:val="22"/>
                <w:szCs w:val="22"/>
                <w:lang w:val="en-GB"/>
              </w:rPr>
              <w:t>). In each community, CV inputs were only applied to the parameter involved in the mean trait divergence between species, with the same CV value applied to all parameters.</w:t>
            </w:r>
          </w:p>
          <w:p w14:paraId="4E182008" w14:textId="77777777" w:rsidR="0047217F" w:rsidRDefault="0047217F" w:rsidP="00D015A3">
            <w:pPr>
              <w:rPr>
                <w:lang w:val="en-GB"/>
              </w:rPr>
            </w:pPr>
          </w:p>
        </w:tc>
      </w:tr>
      <w:tr w:rsidR="0047217F" w:rsidRPr="005F3511" w14:paraId="1A596A21" w14:textId="77777777" w:rsidTr="00D015A3">
        <w:tc>
          <w:tcPr>
            <w:tcW w:w="1555" w:type="dxa"/>
          </w:tcPr>
          <w:p w14:paraId="046C3AC5" w14:textId="77777777" w:rsidR="0047217F" w:rsidRDefault="0047217F" w:rsidP="00D015A3">
            <w:pPr>
              <w:rPr>
                <w:i/>
                <w:lang w:val="en-GB"/>
              </w:rPr>
            </w:pPr>
            <w:r w:rsidRPr="0045198D">
              <w:rPr>
                <w:i/>
                <w:lang w:val="en-GB"/>
              </w:rPr>
              <w:t xml:space="preserve">Initial </w:t>
            </w:r>
            <w:r>
              <w:rPr>
                <w:i/>
                <w:lang w:val="en-GB"/>
              </w:rPr>
              <w:t>c</w:t>
            </w:r>
            <w:r w:rsidRPr="0045198D">
              <w:rPr>
                <w:i/>
                <w:lang w:val="en-GB"/>
              </w:rPr>
              <w:t>onditions</w:t>
            </w:r>
          </w:p>
          <w:p w14:paraId="4717596E" w14:textId="77777777" w:rsidR="0047217F" w:rsidRDefault="0047217F" w:rsidP="00D015A3">
            <w:pPr>
              <w:rPr>
                <w:lang w:val="en-GB"/>
              </w:rPr>
            </w:pPr>
          </w:p>
        </w:tc>
        <w:tc>
          <w:tcPr>
            <w:tcW w:w="7507" w:type="dxa"/>
          </w:tcPr>
          <w:p w14:paraId="65CE9DD6" w14:textId="77777777" w:rsidR="0047217F" w:rsidRDefault="0047217F" w:rsidP="00D015A3">
            <w:pPr>
              <w:spacing w:line="360" w:lineRule="auto"/>
              <w:jc w:val="both"/>
              <w:rPr>
                <w:lang w:val="en-GB"/>
              </w:rPr>
            </w:pPr>
            <w:r w:rsidRPr="00142B04">
              <w:rPr>
                <w:lang w:val="en-GB"/>
              </w:rPr>
              <w:t>-</w:t>
            </w:r>
            <w:r>
              <w:rPr>
                <w:lang w:val="en-GB"/>
              </w:rPr>
              <w:t xml:space="preserve"> </w:t>
            </w:r>
            <w:r w:rsidRPr="00142B04">
              <w:rPr>
                <w:lang w:val="en-GB"/>
              </w:rPr>
              <w:t>The simulations were run assuming dense stands of plants (</w:t>
            </w:r>
            <w:r>
              <w:rPr>
                <w:lang w:val="en-GB"/>
              </w:rPr>
              <w:t xml:space="preserve">16x16 = </w:t>
            </w:r>
            <w:r w:rsidRPr="00142B04">
              <w:rPr>
                <w:lang w:val="en-GB"/>
              </w:rPr>
              <w:t>256 plants at 400 plants m</w:t>
            </w:r>
            <w:r w:rsidRPr="00ED201B">
              <w:rPr>
                <w:vertAlign w:val="superscript"/>
                <w:lang w:val="en-GB"/>
              </w:rPr>
              <w:t>-2</w:t>
            </w:r>
            <w:r w:rsidRPr="00142B04">
              <w:rPr>
                <w:lang w:val="en-GB"/>
              </w:rPr>
              <w:t xml:space="preserve">) with a regular spacing </w:t>
            </w:r>
            <w:r>
              <w:rPr>
                <w:lang w:val="en-GB"/>
              </w:rPr>
              <w:t xml:space="preserve">and distribution </w:t>
            </w:r>
            <w:r w:rsidRPr="00142B04">
              <w:rPr>
                <w:lang w:val="en-GB"/>
              </w:rPr>
              <w:t xml:space="preserve">of species according to a checkerboard arrangement. </w:t>
            </w:r>
          </w:p>
          <w:p w14:paraId="428A0285" w14:textId="77777777" w:rsidR="0047217F" w:rsidRDefault="0047217F" w:rsidP="00D015A3">
            <w:pPr>
              <w:spacing w:line="360" w:lineRule="auto"/>
              <w:jc w:val="both"/>
              <w:rPr>
                <w:lang w:val="en-GB"/>
              </w:rPr>
            </w:pPr>
            <w:r>
              <w:rPr>
                <w:lang w:val="en-GB"/>
              </w:rPr>
              <w:lastRenderedPageBreak/>
              <w:t xml:space="preserve">- </w:t>
            </w:r>
            <w:r w:rsidRPr="00142B04">
              <w:rPr>
                <w:lang w:val="en-GB"/>
              </w:rPr>
              <w:t>The plot location was typical of Western European temperate grasslands (Lusignan, France, 46.26°N, 0.11°E)</w:t>
            </w:r>
            <w:r>
              <w:rPr>
                <w:lang w:val="en-GB"/>
              </w:rPr>
              <w:t>.</w:t>
            </w:r>
            <w:r w:rsidRPr="00142B04">
              <w:rPr>
                <w:lang w:val="en-GB"/>
              </w:rPr>
              <w:t xml:space="preserve"> </w:t>
            </w:r>
            <w:r>
              <w:rPr>
                <w:lang w:val="en-GB"/>
              </w:rPr>
              <w:t>T</w:t>
            </w:r>
            <w:r w:rsidRPr="00142B04">
              <w:rPr>
                <w:lang w:val="en-GB"/>
              </w:rPr>
              <w:t xml:space="preserve">he edaphic conditions </w:t>
            </w:r>
            <w:r w:rsidRPr="00ED201B">
              <w:rPr>
                <w:lang w:val="en-GB"/>
              </w:rPr>
              <w:t xml:space="preserve">at this site </w:t>
            </w:r>
            <w:r w:rsidRPr="00142B04">
              <w:rPr>
                <w:lang w:val="en-GB"/>
              </w:rPr>
              <w:t xml:space="preserve">corresponded to </w:t>
            </w:r>
            <w:r w:rsidRPr="00ED201B">
              <w:rPr>
                <w:lang w:val="en-GB"/>
              </w:rPr>
              <w:t>a Dystric Cambisol (IUSS Working Group WRB 2006) with silty-loamy texture in the surface and clay in the subsoil horizons. A soil calibration available for this site was used, which corresponded to a 1.5-meter deep soil with 268 mm available water at field capacity, and 1.1 g organic N.kg-1 in the upper soil layer.</w:t>
            </w:r>
            <w:r w:rsidRPr="00142B04">
              <w:rPr>
                <w:lang w:val="en-GB"/>
              </w:rPr>
              <w:t xml:space="preserve"> Under low to moderate N fertilisation, this soil generally produces N-limiting growing conditions for non-fixing grassland species, even when grown in mixtures (Louarn et al., 2015). </w:t>
            </w:r>
          </w:p>
          <w:p w14:paraId="438F71BF" w14:textId="77777777" w:rsidR="0047217F" w:rsidRDefault="0047217F" w:rsidP="00D015A3">
            <w:pPr>
              <w:spacing w:line="360" w:lineRule="auto"/>
              <w:jc w:val="both"/>
              <w:rPr>
                <w:lang w:val="en-GB"/>
              </w:rPr>
            </w:pPr>
            <w:r>
              <w:rPr>
                <w:lang w:val="en-GB"/>
              </w:rPr>
              <w:t xml:space="preserve">- </w:t>
            </w:r>
            <w:r w:rsidRPr="00D40B3A">
              <w:rPr>
                <w:lang w:val="en-GB"/>
              </w:rPr>
              <w:t xml:space="preserve">The date of emergence was assumed to occur on March 1st (DOY 61) </w:t>
            </w:r>
            <w:r>
              <w:rPr>
                <w:lang w:val="en-GB"/>
              </w:rPr>
              <w:t xml:space="preserve">in average. </w:t>
            </w:r>
            <w:r w:rsidRPr="00142B04">
              <w:rPr>
                <w:lang w:val="en-GB"/>
              </w:rPr>
              <w:t>The initial variability of the germination date were set at the same value for all species (standard deviation of 3 degree.days).</w:t>
            </w:r>
          </w:p>
          <w:p w14:paraId="710B8686" w14:textId="77777777" w:rsidR="0047217F" w:rsidRDefault="0047217F" w:rsidP="00D015A3">
            <w:pPr>
              <w:spacing w:line="360" w:lineRule="auto"/>
              <w:jc w:val="both"/>
              <w:rPr>
                <w:lang w:val="en-GB"/>
              </w:rPr>
            </w:pPr>
            <w:r>
              <w:rPr>
                <w:lang w:val="en-GB"/>
              </w:rPr>
              <w:t>-</w:t>
            </w:r>
            <w:r w:rsidRPr="00DA3FCD">
              <w:rPr>
                <w:lang w:val="en-GB"/>
              </w:rPr>
              <w:t xml:space="preserve">The first year of production after stand establishment was </w:t>
            </w:r>
            <w:r>
              <w:rPr>
                <w:lang w:val="en-GB"/>
              </w:rPr>
              <w:t xml:space="preserve">simulated and </w:t>
            </w:r>
            <w:r w:rsidRPr="00DA3FCD">
              <w:rPr>
                <w:lang w:val="en-GB"/>
              </w:rPr>
              <w:t>analysed during this study.</w:t>
            </w:r>
          </w:p>
          <w:p w14:paraId="6234B039" w14:textId="77777777" w:rsidR="0047217F" w:rsidRDefault="0047217F" w:rsidP="00D015A3">
            <w:pPr>
              <w:rPr>
                <w:lang w:val="en-GB"/>
              </w:rPr>
            </w:pPr>
          </w:p>
        </w:tc>
      </w:tr>
      <w:tr w:rsidR="0047217F" w:rsidRPr="005F3511" w14:paraId="0763CF62" w14:textId="77777777" w:rsidTr="00D015A3">
        <w:tc>
          <w:tcPr>
            <w:tcW w:w="1555" w:type="dxa"/>
          </w:tcPr>
          <w:p w14:paraId="73492B48" w14:textId="77777777" w:rsidR="0047217F" w:rsidRDefault="0047217F" w:rsidP="00D015A3">
            <w:pPr>
              <w:rPr>
                <w:i/>
                <w:lang w:val="en-GB"/>
              </w:rPr>
            </w:pPr>
            <w:r>
              <w:rPr>
                <w:i/>
                <w:lang w:val="en-GB"/>
              </w:rPr>
              <w:lastRenderedPageBreak/>
              <w:t>Environmental c</w:t>
            </w:r>
            <w:r w:rsidRPr="0045198D">
              <w:rPr>
                <w:i/>
                <w:lang w:val="en-GB"/>
              </w:rPr>
              <w:t>onditions</w:t>
            </w:r>
          </w:p>
          <w:p w14:paraId="590E6B4E" w14:textId="77777777" w:rsidR="0047217F" w:rsidRDefault="0047217F" w:rsidP="00D015A3">
            <w:pPr>
              <w:rPr>
                <w:lang w:val="en-GB"/>
              </w:rPr>
            </w:pPr>
          </w:p>
        </w:tc>
        <w:tc>
          <w:tcPr>
            <w:tcW w:w="7507" w:type="dxa"/>
          </w:tcPr>
          <w:p w14:paraId="19377CCF" w14:textId="77777777" w:rsidR="0047217F" w:rsidRDefault="0047217F" w:rsidP="00D015A3">
            <w:pPr>
              <w:spacing w:line="360" w:lineRule="auto"/>
              <w:jc w:val="both"/>
              <w:rPr>
                <w:lang w:val="en-GB"/>
              </w:rPr>
            </w:pPr>
            <w:r w:rsidRPr="00D40B3A">
              <w:rPr>
                <w:lang w:val="en-GB"/>
              </w:rPr>
              <w:t>-</w:t>
            </w:r>
            <w:r>
              <w:rPr>
                <w:lang w:val="en-GB"/>
              </w:rPr>
              <w:t xml:space="preserve"> </w:t>
            </w:r>
            <w:r w:rsidRPr="00D40B3A">
              <w:rPr>
                <w:lang w:val="en-GB"/>
              </w:rPr>
              <w:t>We considered 30-year daily average weather data (1986- 2016) at the plot location as the meteorological inputs for the simulation.</w:t>
            </w:r>
          </w:p>
          <w:p w14:paraId="00BBD324" w14:textId="77777777" w:rsidR="0047217F" w:rsidRDefault="0047217F" w:rsidP="00D015A3">
            <w:pPr>
              <w:spacing w:line="360" w:lineRule="auto"/>
              <w:jc w:val="both"/>
              <w:rPr>
                <w:lang w:val="en-GB"/>
              </w:rPr>
            </w:pPr>
            <w:r w:rsidRPr="00ED2F83">
              <w:rPr>
                <w:lang w:val="en-GB"/>
              </w:rPr>
              <w:t>-</w:t>
            </w:r>
            <w:r>
              <w:rPr>
                <w:lang w:val="en-GB"/>
              </w:rPr>
              <w:t xml:space="preserve"> </w:t>
            </w:r>
            <w:r w:rsidRPr="00ED201B">
              <w:rPr>
                <w:lang w:val="en-GB"/>
              </w:rPr>
              <w:t xml:space="preserve">The RiRi turbid medium model from RATP </w:t>
            </w:r>
            <w:r>
              <w:rPr>
                <w:lang w:val="en-GB"/>
              </w:rPr>
              <w:t>is</w:t>
            </w:r>
            <w:r w:rsidRPr="00ED201B">
              <w:rPr>
                <w:lang w:val="en-GB"/>
              </w:rPr>
              <w:t xml:space="preserve"> used</w:t>
            </w:r>
            <w:r>
              <w:rPr>
                <w:lang w:val="en-GB"/>
              </w:rPr>
              <w:t xml:space="preserve"> in VGL</w:t>
            </w:r>
            <w:r w:rsidRPr="00ED201B">
              <w:rPr>
                <w:lang w:val="en-GB"/>
              </w:rPr>
              <w:t xml:space="preserve"> </w:t>
            </w:r>
            <w:r>
              <w:rPr>
                <w:lang w:val="en-GB"/>
              </w:rPr>
              <w:t xml:space="preserve">to compute light interception by individual plants </w:t>
            </w:r>
            <w:r w:rsidRPr="00ED201B">
              <w:rPr>
                <w:lang w:val="en-GB"/>
              </w:rPr>
              <w:t>(Sinoquet et al., 2001</w:t>
            </w:r>
            <w:r>
              <w:rPr>
                <w:lang w:val="en-GB"/>
              </w:rPr>
              <w:t xml:space="preserve">; </w:t>
            </w:r>
            <w:r w:rsidRPr="00ED2F83">
              <w:rPr>
                <w:color w:val="4472C4" w:themeColor="accent1"/>
                <w:lang w:val="en-GB"/>
              </w:rPr>
              <w:t>Figure Sup. A</w:t>
            </w:r>
            <w:r w:rsidRPr="00ED201B">
              <w:rPr>
                <w:lang w:val="en-GB"/>
              </w:rPr>
              <w:t xml:space="preserve">). </w:t>
            </w:r>
            <w:r>
              <w:rPr>
                <w:lang w:val="en-GB"/>
              </w:rPr>
              <w:t>T</w:t>
            </w:r>
            <w:r w:rsidRPr="00ED201B">
              <w:rPr>
                <w:lang w:val="en-GB"/>
              </w:rPr>
              <w:t>his model requires daily meteorological data, and a</w:t>
            </w:r>
            <w:r>
              <w:rPr>
                <w:lang w:val="en-GB"/>
              </w:rPr>
              <w:t xml:space="preserve"> </w:t>
            </w:r>
            <w:r w:rsidRPr="00ED201B">
              <w:rPr>
                <w:lang w:val="en-GB"/>
              </w:rPr>
              <w:t xml:space="preserve">discretized representation of leaf area density distribution and leaf angle distribution into a 3D grid for each plant to be run. </w:t>
            </w:r>
            <w:r>
              <w:rPr>
                <w:lang w:val="en-GB"/>
              </w:rPr>
              <w:t xml:space="preserve">As in </w:t>
            </w:r>
            <w:r w:rsidRPr="00142B04">
              <w:rPr>
                <w:lang w:val="en-GB"/>
              </w:rPr>
              <w:t>Louarn and Faverjon (2018)</w:t>
            </w:r>
            <w:r>
              <w:rPr>
                <w:lang w:val="en-GB"/>
              </w:rPr>
              <w:t>, a</w:t>
            </w:r>
            <w:r w:rsidRPr="00ED201B">
              <w:rPr>
                <w:lang w:val="en-GB"/>
              </w:rPr>
              <w:t xml:space="preserve"> voxel size of 4x4x2 cm and a sky discretization following a Den-dusk’s TURTLE with 6 directions </w:t>
            </w:r>
            <w:r>
              <w:rPr>
                <w:lang w:val="en-GB"/>
              </w:rPr>
              <w:t>were</w:t>
            </w:r>
            <w:r w:rsidRPr="00ED201B">
              <w:rPr>
                <w:lang w:val="en-GB"/>
              </w:rPr>
              <w:t xml:space="preserve"> </w:t>
            </w:r>
            <w:r>
              <w:rPr>
                <w:lang w:val="en-GB"/>
              </w:rPr>
              <w:t>us</w:t>
            </w:r>
            <w:r w:rsidRPr="00ED201B">
              <w:rPr>
                <w:lang w:val="en-GB"/>
              </w:rPr>
              <w:t>ed</w:t>
            </w:r>
            <w:r>
              <w:rPr>
                <w:lang w:val="en-GB"/>
              </w:rPr>
              <w:t xml:space="preserve"> </w:t>
            </w:r>
          </w:p>
          <w:p w14:paraId="409FB98F" w14:textId="77777777" w:rsidR="0047217F" w:rsidRDefault="0047217F" w:rsidP="00D015A3">
            <w:pPr>
              <w:spacing w:line="360" w:lineRule="auto"/>
              <w:jc w:val="both"/>
              <w:rPr>
                <w:lang w:val="en-GB"/>
              </w:rPr>
            </w:pPr>
            <w:r>
              <w:rPr>
                <w:lang w:val="en-GB"/>
              </w:rPr>
              <w:t>- The</w:t>
            </w:r>
            <w:r w:rsidRPr="00E0235B">
              <w:rPr>
                <w:lang w:val="en-GB"/>
              </w:rPr>
              <w:t xml:space="preserve"> 3D</w:t>
            </w:r>
            <w:r>
              <w:rPr>
                <w:lang w:val="en-GB"/>
              </w:rPr>
              <w:t>S</w:t>
            </w:r>
            <w:r w:rsidRPr="00E0235B">
              <w:rPr>
                <w:lang w:val="en-GB"/>
              </w:rPr>
              <w:t xml:space="preserve"> soil model</w:t>
            </w:r>
            <w:r>
              <w:rPr>
                <w:lang w:val="en-GB"/>
              </w:rPr>
              <w:t xml:space="preserve"> is used</w:t>
            </w:r>
            <w:r w:rsidRPr="00E0235B">
              <w:rPr>
                <w:lang w:val="en-GB"/>
              </w:rPr>
              <w:t xml:space="preserve"> </w:t>
            </w:r>
            <w:r>
              <w:rPr>
                <w:lang w:val="en-GB"/>
              </w:rPr>
              <w:t xml:space="preserve">in VGL </w:t>
            </w:r>
            <w:r w:rsidRPr="00E0235B">
              <w:rPr>
                <w:lang w:val="en-GB"/>
              </w:rPr>
              <w:t xml:space="preserve">to compute </w:t>
            </w:r>
            <w:r>
              <w:rPr>
                <w:lang w:val="en-GB"/>
              </w:rPr>
              <w:t xml:space="preserve">daily </w:t>
            </w:r>
            <w:r w:rsidRPr="00E0235B">
              <w:rPr>
                <w:lang w:val="en-GB"/>
              </w:rPr>
              <w:t xml:space="preserve">water and mineral N uptakes </w:t>
            </w:r>
            <w:r>
              <w:rPr>
                <w:lang w:val="en-GB"/>
              </w:rPr>
              <w:t xml:space="preserve">by individual plants </w:t>
            </w:r>
            <w:r w:rsidRPr="00E0235B">
              <w:rPr>
                <w:lang w:val="en-GB"/>
              </w:rPr>
              <w:t>(Louarn et al., 2016</w:t>
            </w:r>
            <w:r>
              <w:rPr>
                <w:lang w:val="en-GB"/>
              </w:rPr>
              <w:t xml:space="preserve">; </w:t>
            </w:r>
            <w:r w:rsidRPr="00ED2F83">
              <w:rPr>
                <w:color w:val="4472C4" w:themeColor="accent1"/>
                <w:lang w:val="en-GB"/>
              </w:rPr>
              <w:t>Figure Sup. A</w:t>
            </w:r>
            <w:r w:rsidRPr="00E0235B">
              <w:rPr>
                <w:lang w:val="en-GB"/>
              </w:rPr>
              <w:t xml:space="preserve">). As for light, </w:t>
            </w:r>
            <w:r>
              <w:rPr>
                <w:lang w:val="en-GB"/>
              </w:rPr>
              <w:t xml:space="preserve">a 3D grid with voxels of </w:t>
            </w:r>
            <w:r w:rsidRPr="00ED201B">
              <w:rPr>
                <w:lang w:val="en-GB"/>
              </w:rPr>
              <w:t>4x4x2 cm</w:t>
            </w:r>
            <w:r>
              <w:rPr>
                <w:lang w:val="en-GB"/>
              </w:rPr>
              <w:t xml:space="preserve"> was used. </w:t>
            </w:r>
          </w:p>
          <w:p w14:paraId="4A9E869B" w14:textId="77777777" w:rsidR="0047217F" w:rsidRDefault="0047217F" w:rsidP="00D015A3">
            <w:pPr>
              <w:spacing w:line="360" w:lineRule="auto"/>
              <w:jc w:val="both"/>
              <w:rPr>
                <w:lang w:val="en-GB"/>
              </w:rPr>
            </w:pPr>
            <w:r>
              <w:rPr>
                <w:lang w:val="en-GB"/>
              </w:rPr>
              <w:t>- A</w:t>
            </w:r>
            <w:r w:rsidRPr="00E0235B">
              <w:rPr>
                <w:lang w:val="en-GB"/>
              </w:rPr>
              <w:t xml:space="preserve"> toricity of the 3D grid</w:t>
            </w:r>
            <w:r>
              <w:rPr>
                <w:lang w:val="en-GB"/>
              </w:rPr>
              <w:t>s</w:t>
            </w:r>
            <w:r w:rsidRPr="00E0235B">
              <w:rPr>
                <w:lang w:val="en-GB"/>
              </w:rPr>
              <w:t xml:space="preserve"> </w:t>
            </w:r>
            <w:r>
              <w:rPr>
                <w:lang w:val="en-GB"/>
              </w:rPr>
              <w:t>wa</w:t>
            </w:r>
            <w:r w:rsidRPr="00E0235B">
              <w:rPr>
                <w:lang w:val="en-GB"/>
              </w:rPr>
              <w:t xml:space="preserve">s assumed </w:t>
            </w:r>
            <w:r>
              <w:rPr>
                <w:lang w:val="en-GB"/>
              </w:rPr>
              <w:t xml:space="preserve">above- and </w:t>
            </w:r>
            <w:r w:rsidRPr="00E0235B">
              <w:rPr>
                <w:lang w:val="en-GB"/>
              </w:rPr>
              <w:t>below-ground to avoid border effects.</w:t>
            </w:r>
          </w:p>
          <w:p w14:paraId="3E9EBD94" w14:textId="77777777" w:rsidR="0047217F" w:rsidRDefault="0047217F" w:rsidP="00D015A3">
            <w:pPr>
              <w:spacing w:line="360" w:lineRule="auto"/>
              <w:jc w:val="both"/>
              <w:rPr>
                <w:lang w:val="en-GB"/>
              </w:rPr>
            </w:pPr>
            <w:r>
              <w:rPr>
                <w:lang w:val="en-GB"/>
              </w:rPr>
              <w:t xml:space="preserve">- Two different series of simulations were run: a first soil environment was designed to favour </w:t>
            </w:r>
            <w:r w:rsidRPr="00142B04">
              <w:rPr>
                <w:lang w:val="en-GB"/>
              </w:rPr>
              <w:t>high N competition</w:t>
            </w:r>
            <w:r>
              <w:rPr>
                <w:lang w:val="en-GB"/>
              </w:rPr>
              <w:t xml:space="preserve"> and was run </w:t>
            </w:r>
            <w:r w:rsidRPr="00142B04">
              <w:rPr>
                <w:lang w:val="en-GB"/>
              </w:rPr>
              <w:t>under low soil N availability (0N, no fertilisation</w:t>
            </w:r>
            <w:r>
              <w:rPr>
                <w:lang w:val="en-GB"/>
              </w:rPr>
              <w:t xml:space="preserve">). A second condition was designed to ensure </w:t>
            </w:r>
            <w:r w:rsidRPr="00142B04">
              <w:rPr>
                <w:lang w:val="en-GB"/>
              </w:rPr>
              <w:t xml:space="preserve">high soil N availability </w:t>
            </w:r>
            <w:r>
              <w:rPr>
                <w:lang w:val="en-GB"/>
              </w:rPr>
              <w:t>and generate</w:t>
            </w:r>
            <w:r w:rsidRPr="00142B04">
              <w:rPr>
                <w:lang w:val="en-GB"/>
              </w:rPr>
              <w:t xml:space="preserve"> high light competition (N+, mineral N fertilisation set at 400 kg N ha</w:t>
            </w:r>
            <w:r w:rsidRPr="00E30DB9">
              <w:rPr>
                <w:vertAlign w:val="superscript"/>
                <w:lang w:val="en-GB"/>
              </w:rPr>
              <w:t>-1</w:t>
            </w:r>
            <w:r>
              <w:rPr>
                <w:lang w:val="en-GB"/>
              </w:rPr>
              <w:t>).</w:t>
            </w:r>
          </w:p>
          <w:p w14:paraId="6ADBA55D" w14:textId="77777777" w:rsidR="0047217F" w:rsidRDefault="0047217F" w:rsidP="00D015A3">
            <w:pPr>
              <w:spacing w:line="360" w:lineRule="auto"/>
              <w:jc w:val="both"/>
              <w:rPr>
                <w:lang w:val="en-GB"/>
              </w:rPr>
            </w:pPr>
          </w:p>
        </w:tc>
      </w:tr>
      <w:tr w:rsidR="0047217F" w:rsidRPr="005F3511" w14:paraId="7D0C968B" w14:textId="77777777" w:rsidTr="00D015A3">
        <w:tc>
          <w:tcPr>
            <w:tcW w:w="1555" w:type="dxa"/>
          </w:tcPr>
          <w:p w14:paraId="1B1799FA" w14:textId="77777777" w:rsidR="0047217F" w:rsidRDefault="0047217F" w:rsidP="00D015A3">
            <w:pPr>
              <w:rPr>
                <w:i/>
                <w:lang w:val="en-GB"/>
              </w:rPr>
            </w:pPr>
            <w:r w:rsidRPr="0045198D">
              <w:rPr>
                <w:i/>
                <w:lang w:val="en-GB"/>
              </w:rPr>
              <w:t>Management</w:t>
            </w:r>
          </w:p>
          <w:p w14:paraId="737AC836" w14:textId="77777777" w:rsidR="0047217F" w:rsidRDefault="0047217F" w:rsidP="00D015A3">
            <w:pPr>
              <w:rPr>
                <w:i/>
                <w:lang w:val="en-GB"/>
              </w:rPr>
            </w:pPr>
          </w:p>
        </w:tc>
        <w:tc>
          <w:tcPr>
            <w:tcW w:w="7507" w:type="dxa"/>
          </w:tcPr>
          <w:p w14:paraId="485FA8E4" w14:textId="77777777" w:rsidR="0047217F" w:rsidRDefault="0047217F" w:rsidP="00D015A3">
            <w:pPr>
              <w:spacing w:line="360" w:lineRule="auto"/>
              <w:jc w:val="both"/>
              <w:rPr>
                <w:lang w:val="en-GB"/>
              </w:rPr>
            </w:pPr>
            <w:r w:rsidRPr="00E30DB9">
              <w:rPr>
                <w:lang w:val="en-GB"/>
              </w:rPr>
              <w:t>-</w:t>
            </w:r>
            <w:r>
              <w:rPr>
                <w:lang w:val="en-GB"/>
              </w:rPr>
              <w:t xml:space="preserve"> </w:t>
            </w:r>
            <w:r w:rsidRPr="00E30DB9">
              <w:rPr>
                <w:lang w:val="en-GB"/>
              </w:rPr>
              <w:t xml:space="preserve">In order to avoid competition for water, an irrigation calendar that matched potential evapotranspiration and crop water requirements was applied. </w:t>
            </w:r>
            <w:r>
              <w:rPr>
                <w:lang w:val="en-GB"/>
              </w:rPr>
              <w:t>At total of 330 mm was applied during the 1-year simulation.</w:t>
            </w:r>
          </w:p>
          <w:p w14:paraId="18DF149D" w14:textId="77777777" w:rsidR="0047217F" w:rsidRDefault="0047217F" w:rsidP="00D015A3">
            <w:pPr>
              <w:spacing w:line="360" w:lineRule="auto"/>
              <w:jc w:val="both"/>
              <w:rPr>
                <w:lang w:val="en-GB"/>
              </w:rPr>
            </w:pPr>
            <w:r>
              <w:rPr>
                <w:lang w:val="en-GB"/>
              </w:rPr>
              <w:t xml:space="preserve">- </w:t>
            </w:r>
            <w:r w:rsidRPr="00E30DB9">
              <w:rPr>
                <w:lang w:val="en-GB"/>
              </w:rPr>
              <w:t xml:space="preserve">Four harvests were carried out during the year according to a fixed calendar (days 189, 230, 283 and 335 of the year). </w:t>
            </w:r>
          </w:p>
          <w:p w14:paraId="41268016" w14:textId="77777777" w:rsidR="0047217F" w:rsidRDefault="0047217F" w:rsidP="00D015A3">
            <w:pPr>
              <w:rPr>
                <w:lang w:val="en-GB"/>
              </w:rPr>
            </w:pPr>
          </w:p>
        </w:tc>
      </w:tr>
      <w:tr w:rsidR="0047217F" w:rsidRPr="005F3511" w14:paraId="7FE19918" w14:textId="77777777" w:rsidTr="00D015A3">
        <w:tc>
          <w:tcPr>
            <w:tcW w:w="1555" w:type="dxa"/>
          </w:tcPr>
          <w:p w14:paraId="66F8486E" w14:textId="77777777" w:rsidR="0047217F" w:rsidRPr="0045198D" w:rsidRDefault="0047217F" w:rsidP="00D015A3">
            <w:pPr>
              <w:rPr>
                <w:i/>
                <w:lang w:val="en-GB"/>
              </w:rPr>
            </w:pPr>
            <w:r>
              <w:rPr>
                <w:i/>
                <w:lang w:val="en-GB"/>
              </w:rPr>
              <w:t>Replicates</w:t>
            </w:r>
          </w:p>
        </w:tc>
        <w:tc>
          <w:tcPr>
            <w:tcW w:w="7507" w:type="dxa"/>
          </w:tcPr>
          <w:p w14:paraId="5DFFA091" w14:textId="77777777" w:rsidR="0047217F" w:rsidRPr="00796B11" w:rsidRDefault="0047217F" w:rsidP="00D015A3">
            <w:pPr>
              <w:spacing w:line="360" w:lineRule="auto"/>
              <w:jc w:val="both"/>
              <w:rPr>
                <w:lang w:val="en-GB"/>
              </w:rPr>
            </w:pPr>
            <w:r w:rsidRPr="00796B11">
              <w:rPr>
                <w:lang w:val="en-GB"/>
              </w:rPr>
              <w:t>-</w:t>
            </w:r>
            <w:r>
              <w:rPr>
                <w:lang w:val="en-GB"/>
              </w:rPr>
              <w:t xml:space="preserve"> </w:t>
            </w:r>
            <w:bookmarkStart w:id="1" w:name="_Hlk163132975"/>
            <w:r w:rsidRPr="00796B11">
              <w:rPr>
                <w:lang w:val="en-GB"/>
              </w:rPr>
              <w:t xml:space="preserve">The simulations were repeated nine times for each combination of plant community, within-species diversity and </w:t>
            </w:r>
            <w:r>
              <w:rPr>
                <w:lang w:val="en-GB"/>
              </w:rPr>
              <w:t>environment</w:t>
            </w:r>
            <w:r w:rsidRPr="00796B11">
              <w:rPr>
                <w:lang w:val="en-GB"/>
              </w:rPr>
              <w:t xml:space="preserve"> (N+/0N).</w:t>
            </w:r>
            <w:r>
              <w:rPr>
                <w:lang w:val="en-GB"/>
              </w:rPr>
              <w:t xml:space="preserve"> </w:t>
            </w:r>
            <w:r w:rsidRPr="00B67F1E">
              <w:rPr>
                <w:lang w:val="en-GB"/>
              </w:rPr>
              <w:t>A total of approximately 7000 independent simulations were performed for this study.</w:t>
            </w:r>
            <w:bookmarkEnd w:id="1"/>
          </w:p>
          <w:p w14:paraId="32BFB723" w14:textId="77777777" w:rsidR="0047217F" w:rsidRPr="00DA3FCD" w:rsidRDefault="0047217F" w:rsidP="00D015A3">
            <w:pPr>
              <w:rPr>
                <w:lang w:val="en-GB"/>
              </w:rPr>
            </w:pPr>
          </w:p>
        </w:tc>
      </w:tr>
    </w:tbl>
    <w:p w14:paraId="4E3B261C" w14:textId="5668FA36" w:rsidR="0047217F" w:rsidRDefault="0069387C" w:rsidP="0047217F">
      <w:pPr>
        <w:rPr>
          <w:lang w:val="en-GB"/>
        </w:rPr>
      </w:pPr>
      <w:r w:rsidRPr="00B36749">
        <w:rPr>
          <w:b/>
          <w:lang w:val="en-GB"/>
        </w:rPr>
        <w:lastRenderedPageBreak/>
        <w:t xml:space="preserve">Supplementary Table </w:t>
      </w:r>
      <w:r>
        <w:rPr>
          <w:b/>
          <w:lang w:val="en-GB"/>
        </w:rPr>
        <w:t>D</w:t>
      </w:r>
      <w:r>
        <w:rPr>
          <w:lang w:val="en-GB"/>
        </w:rPr>
        <w:t>: Total biomass production of the pure species (Ypur, in g.m</w:t>
      </w:r>
      <w:r w:rsidRPr="0069387C">
        <w:rPr>
          <w:vertAlign w:val="superscript"/>
          <w:lang w:val="en-GB"/>
        </w:rPr>
        <w:t>-2</w:t>
      </w:r>
      <w:r>
        <w:rPr>
          <w:lang w:val="en-GB"/>
        </w:rPr>
        <w:t>) simulated under high (N+) and low (0N) soil fertility</w:t>
      </w:r>
      <w:r w:rsidR="00B02C69">
        <w:rPr>
          <w:lang w:val="en-GB"/>
        </w:rPr>
        <w:t xml:space="preserve"> </w:t>
      </w:r>
      <w:r w:rsidR="00B02C69" w:rsidRPr="00B02C69">
        <w:rPr>
          <w:lang w:val="en-GB"/>
        </w:rPr>
        <w:t>(CV=0.001).</w:t>
      </w:r>
      <w:r>
        <w:rPr>
          <w:lang w:val="en-GB"/>
        </w:rPr>
        <w:t xml:space="preserve"> Simulation ID’s correspond to the </w:t>
      </w:r>
      <w:r w:rsidR="00B02C69">
        <w:rPr>
          <w:lang w:val="en-GB"/>
        </w:rPr>
        <w:t>numbers</w:t>
      </w:r>
      <w:r>
        <w:rPr>
          <w:lang w:val="en-GB"/>
        </w:rPr>
        <w:t xml:space="preserve"> used </w:t>
      </w:r>
      <w:r w:rsidR="00B02C69">
        <w:rPr>
          <w:lang w:val="en-GB"/>
        </w:rPr>
        <w:t>to identify</w:t>
      </w:r>
      <w:r>
        <w:rPr>
          <w:lang w:val="en-GB"/>
        </w:rPr>
        <w:t xml:space="preserve"> each species in the published dataset.</w:t>
      </w:r>
    </w:p>
    <w:p w14:paraId="35B528E8" w14:textId="624297C1" w:rsidR="00330059" w:rsidRPr="00B17DE1" w:rsidRDefault="0069387C" w:rsidP="0069387C">
      <w:pPr>
        <w:jc w:val="center"/>
        <w:rPr>
          <w:rFonts w:cstheme="minorHAnsi"/>
          <w:sz w:val="24"/>
          <w:szCs w:val="24"/>
          <w:lang w:val="en-GB"/>
        </w:rPr>
      </w:pPr>
      <w:r w:rsidRPr="0069387C">
        <w:rPr>
          <w:noProof/>
        </w:rPr>
        <w:drawing>
          <wp:inline distT="0" distB="0" distL="0" distR="0" wp14:anchorId="737F49E9" wp14:editId="0B507456">
            <wp:extent cx="3335141" cy="79933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0908" cy="8007202"/>
                    </a:xfrm>
                    <a:prstGeom prst="rect">
                      <a:avLst/>
                    </a:prstGeom>
                    <a:noFill/>
                    <a:ln>
                      <a:noFill/>
                    </a:ln>
                  </pic:spPr>
                </pic:pic>
              </a:graphicData>
            </a:graphic>
          </wp:inline>
        </w:drawing>
      </w:r>
    </w:p>
    <w:sectPr w:rsidR="00330059" w:rsidRPr="00B17DE1" w:rsidSect="00F11529">
      <w:footerReference w:type="default" r:id="rId2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3197C5" w14:textId="77777777" w:rsidR="0057331C" w:rsidRDefault="0057331C" w:rsidP="002E2878">
      <w:pPr>
        <w:spacing w:after="0" w:line="240" w:lineRule="auto"/>
      </w:pPr>
      <w:r>
        <w:separator/>
      </w:r>
    </w:p>
  </w:endnote>
  <w:endnote w:type="continuationSeparator" w:id="0">
    <w:p w14:paraId="38737995" w14:textId="77777777" w:rsidR="0057331C" w:rsidRDefault="0057331C" w:rsidP="002E2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5692660"/>
      <w:docPartObj>
        <w:docPartGallery w:val="Page Numbers (Bottom of Page)"/>
        <w:docPartUnique/>
      </w:docPartObj>
    </w:sdtPr>
    <w:sdtContent>
      <w:p w14:paraId="6EB54FE8" w14:textId="77777777" w:rsidR="005C1C7A" w:rsidRDefault="005C1C7A">
        <w:pPr>
          <w:pStyle w:val="Footer"/>
          <w:jc w:val="center"/>
        </w:pPr>
        <w:r>
          <w:fldChar w:fldCharType="begin"/>
        </w:r>
        <w:r>
          <w:instrText>PAGE   \* MERGEFORMAT</w:instrText>
        </w:r>
        <w:r>
          <w:fldChar w:fldCharType="separate"/>
        </w:r>
        <w:r>
          <w:t>2</w:t>
        </w:r>
        <w:r>
          <w:fldChar w:fldCharType="end"/>
        </w:r>
      </w:p>
    </w:sdtContent>
  </w:sdt>
  <w:p w14:paraId="3CC756E4" w14:textId="77777777" w:rsidR="005C1C7A" w:rsidRDefault="005C1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4183549"/>
      <w:docPartObj>
        <w:docPartGallery w:val="Page Numbers (Bottom of Page)"/>
        <w:docPartUnique/>
      </w:docPartObj>
    </w:sdtPr>
    <w:sdtContent>
      <w:p w14:paraId="594EB14B" w14:textId="4DF822EC" w:rsidR="005C1C7A" w:rsidRDefault="005C1C7A">
        <w:pPr>
          <w:pStyle w:val="Footer"/>
          <w:jc w:val="center"/>
        </w:pPr>
        <w:r>
          <w:fldChar w:fldCharType="begin"/>
        </w:r>
        <w:r>
          <w:instrText>PAGE   \* MERGEFORMAT</w:instrText>
        </w:r>
        <w:r>
          <w:fldChar w:fldCharType="separate"/>
        </w:r>
        <w:r>
          <w:t>2</w:t>
        </w:r>
        <w:r>
          <w:fldChar w:fldCharType="end"/>
        </w:r>
      </w:p>
    </w:sdtContent>
  </w:sdt>
  <w:p w14:paraId="177FC03B" w14:textId="77777777" w:rsidR="005C1C7A" w:rsidRDefault="005C1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34E286" w14:textId="77777777" w:rsidR="0057331C" w:rsidRDefault="0057331C" w:rsidP="002E2878">
      <w:pPr>
        <w:spacing w:after="0" w:line="240" w:lineRule="auto"/>
      </w:pPr>
      <w:r>
        <w:separator/>
      </w:r>
    </w:p>
  </w:footnote>
  <w:footnote w:type="continuationSeparator" w:id="0">
    <w:p w14:paraId="2EE42FF5" w14:textId="77777777" w:rsidR="0057331C" w:rsidRDefault="0057331C" w:rsidP="002E28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0332A"/>
    <w:multiLevelType w:val="hybridMultilevel"/>
    <w:tmpl w:val="44280F14"/>
    <w:lvl w:ilvl="0" w:tplc="7A5EDEA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DF377D"/>
    <w:multiLevelType w:val="hybridMultilevel"/>
    <w:tmpl w:val="44446A3A"/>
    <w:lvl w:ilvl="0" w:tplc="750CD198">
      <w:start w:val="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C22BC8"/>
    <w:multiLevelType w:val="hybridMultilevel"/>
    <w:tmpl w:val="CE7C0E8C"/>
    <w:lvl w:ilvl="0" w:tplc="50BEF3B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5B6810"/>
    <w:multiLevelType w:val="hybridMultilevel"/>
    <w:tmpl w:val="F08E2B5A"/>
    <w:lvl w:ilvl="0" w:tplc="49E8B4F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D1672E"/>
    <w:multiLevelType w:val="hybridMultilevel"/>
    <w:tmpl w:val="9E966E1A"/>
    <w:lvl w:ilvl="0" w:tplc="00062BAA">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1A3B59"/>
    <w:multiLevelType w:val="multilevel"/>
    <w:tmpl w:val="7B8C21A4"/>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096530"/>
    <w:multiLevelType w:val="hybridMultilevel"/>
    <w:tmpl w:val="D266549E"/>
    <w:lvl w:ilvl="0" w:tplc="D6287A28">
      <w:start w:val="34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3002546"/>
    <w:multiLevelType w:val="hybridMultilevel"/>
    <w:tmpl w:val="07C8E9DC"/>
    <w:lvl w:ilvl="0" w:tplc="DCEA9CE2">
      <w:start w:val="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4825DA"/>
    <w:multiLevelType w:val="hybridMultilevel"/>
    <w:tmpl w:val="3116789E"/>
    <w:lvl w:ilvl="0" w:tplc="758AC52E">
      <w:start w:val="9"/>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69559F8"/>
    <w:multiLevelType w:val="hybridMultilevel"/>
    <w:tmpl w:val="C1C2AAA4"/>
    <w:lvl w:ilvl="0" w:tplc="15C6CD9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3DF34B7"/>
    <w:multiLevelType w:val="hybridMultilevel"/>
    <w:tmpl w:val="D77A07D0"/>
    <w:lvl w:ilvl="0" w:tplc="13A27B20">
      <w:start w:val="30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AD602F"/>
    <w:multiLevelType w:val="hybridMultilevel"/>
    <w:tmpl w:val="170ED936"/>
    <w:lvl w:ilvl="0" w:tplc="465C845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CE689A"/>
    <w:multiLevelType w:val="hybridMultilevel"/>
    <w:tmpl w:val="33300ADA"/>
    <w:lvl w:ilvl="0" w:tplc="8D08ED7C">
      <w:start w:val="3"/>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7001337"/>
    <w:multiLevelType w:val="hybridMultilevel"/>
    <w:tmpl w:val="B5D42DB6"/>
    <w:lvl w:ilvl="0" w:tplc="E3FCD868">
      <w:start w:val="3"/>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1173DB"/>
    <w:multiLevelType w:val="hybridMultilevel"/>
    <w:tmpl w:val="C16CE828"/>
    <w:lvl w:ilvl="0" w:tplc="D8642BCE">
      <w:start w:val="200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1C1490"/>
    <w:multiLevelType w:val="hybridMultilevel"/>
    <w:tmpl w:val="F424BB8A"/>
    <w:lvl w:ilvl="0" w:tplc="F1A6200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77084394">
    <w:abstractNumId w:val="10"/>
  </w:num>
  <w:num w:numId="2" w16cid:durableId="2115321894">
    <w:abstractNumId w:val="13"/>
  </w:num>
  <w:num w:numId="3" w16cid:durableId="112018886">
    <w:abstractNumId w:val="11"/>
  </w:num>
  <w:num w:numId="4" w16cid:durableId="1066992492">
    <w:abstractNumId w:val="9"/>
  </w:num>
  <w:num w:numId="5" w16cid:durableId="1342708272">
    <w:abstractNumId w:val="15"/>
  </w:num>
  <w:num w:numId="6" w16cid:durableId="2111272566">
    <w:abstractNumId w:val="5"/>
  </w:num>
  <w:num w:numId="7" w16cid:durableId="167521583">
    <w:abstractNumId w:val="2"/>
  </w:num>
  <w:num w:numId="8" w16cid:durableId="486212341">
    <w:abstractNumId w:val="14"/>
  </w:num>
  <w:num w:numId="9" w16cid:durableId="1974290131">
    <w:abstractNumId w:val="7"/>
  </w:num>
  <w:num w:numId="10" w16cid:durableId="1102577894">
    <w:abstractNumId w:val="1"/>
  </w:num>
  <w:num w:numId="11" w16cid:durableId="1567883963">
    <w:abstractNumId w:val="3"/>
  </w:num>
  <w:num w:numId="12" w16cid:durableId="824205541">
    <w:abstractNumId w:val="6"/>
  </w:num>
  <w:num w:numId="13" w16cid:durableId="1492407798">
    <w:abstractNumId w:val="12"/>
  </w:num>
  <w:num w:numId="14" w16cid:durableId="70393547">
    <w:abstractNumId w:val="8"/>
  </w:num>
  <w:num w:numId="15" w16cid:durableId="726489978">
    <w:abstractNumId w:val="4"/>
  </w:num>
  <w:num w:numId="16" w16cid:durableId="548147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251"/>
    <w:rsid w:val="000000D0"/>
    <w:rsid w:val="00000124"/>
    <w:rsid w:val="00003AC5"/>
    <w:rsid w:val="000061CB"/>
    <w:rsid w:val="00007121"/>
    <w:rsid w:val="0001294F"/>
    <w:rsid w:val="000130B9"/>
    <w:rsid w:val="00013353"/>
    <w:rsid w:val="000226F4"/>
    <w:rsid w:val="00022963"/>
    <w:rsid w:val="00023572"/>
    <w:rsid w:val="00025E95"/>
    <w:rsid w:val="00027784"/>
    <w:rsid w:val="00032975"/>
    <w:rsid w:val="00032AD4"/>
    <w:rsid w:val="00036F14"/>
    <w:rsid w:val="00042DC2"/>
    <w:rsid w:val="00044AF9"/>
    <w:rsid w:val="000456D8"/>
    <w:rsid w:val="00045832"/>
    <w:rsid w:val="00046B1C"/>
    <w:rsid w:val="000521E2"/>
    <w:rsid w:val="0005286F"/>
    <w:rsid w:val="00052A5B"/>
    <w:rsid w:val="00053F30"/>
    <w:rsid w:val="000558D1"/>
    <w:rsid w:val="00056DCB"/>
    <w:rsid w:val="00057AD3"/>
    <w:rsid w:val="00062CEA"/>
    <w:rsid w:val="00062EC4"/>
    <w:rsid w:val="00064863"/>
    <w:rsid w:val="00064912"/>
    <w:rsid w:val="00064F99"/>
    <w:rsid w:val="00067E9D"/>
    <w:rsid w:val="00074924"/>
    <w:rsid w:val="0008024C"/>
    <w:rsid w:val="0008093C"/>
    <w:rsid w:val="000858D9"/>
    <w:rsid w:val="00086065"/>
    <w:rsid w:val="00086947"/>
    <w:rsid w:val="0009026C"/>
    <w:rsid w:val="00097332"/>
    <w:rsid w:val="00097D83"/>
    <w:rsid w:val="000A45C2"/>
    <w:rsid w:val="000A4840"/>
    <w:rsid w:val="000A4B2F"/>
    <w:rsid w:val="000A685A"/>
    <w:rsid w:val="000A6BB7"/>
    <w:rsid w:val="000A7E70"/>
    <w:rsid w:val="000B232C"/>
    <w:rsid w:val="000C1F54"/>
    <w:rsid w:val="000C2DFC"/>
    <w:rsid w:val="000C4A1A"/>
    <w:rsid w:val="000C71B9"/>
    <w:rsid w:val="000C7270"/>
    <w:rsid w:val="000C7668"/>
    <w:rsid w:val="000C7CC3"/>
    <w:rsid w:val="000D101B"/>
    <w:rsid w:val="000D3625"/>
    <w:rsid w:val="000D638E"/>
    <w:rsid w:val="000D6FCF"/>
    <w:rsid w:val="000D7F25"/>
    <w:rsid w:val="000F0BF9"/>
    <w:rsid w:val="000F4006"/>
    <w:rsid w:val="000F55BA"/>
    <w:rsid w:val="000F6BC1"/>
    <w:rsid w:val="001006BD"/>
    <w:rsid w:val="00102510"/>
    <w:rsid w:val="00102787"/>
    <w:rsid w:val="00102908"/>
    <w:rsid w:val="00102916"/>
    <w:rsid w:val="00102FE5"/>
    <w:rsid w:val="0010434F"/>
    <w:rsid w:val="00110618"/>
    <w:rsid w:val="00112553"/>
    <w:rsid w:val="00113C63"/>
    <w:rsid w:val="00114A13"/>
    <w:rsid w:val="001155EC"/>
    <w:rsid w:val="00123825"/>
    <w:rsid w:val="00127BC5"/>
    <w:rsid w:val="00131885"/>
    <w:rsid w:val="00133D9C"/>
    <w:rsid w:val="001346E5"/>
    <w:rsid w:val="00137ED0"/>
    <w:rsid w:val="00142CCF"/>
    <w:rsid w:val="00147FAF"/>
    <w:rsid w:val="00154D84"/>
    <w:rsid w:val="00157B7B"/>
    <w:rsid w:val="00160C4C"/>
    <w:rsid w:val="00160EBE"/>
    <w:rsid w:val="00161D81"/>
    <w:rsid w:val="00162643"/>
    <w:rsid w:val="00162C46"/>
    <w:rsid w:val="00163CA3"/>
    <w:rsid w:val="00165279"/>
    <w:rsid w:val="00166F38"/>
    <w:rsid w:val="00170CD5"/>
    <w:rsid w:val="001719F0"/>
    <w:rsid w:val="00173041"/>
    <w:rsid w:val="00173736"/>
    <w:rsid w:val="00177CA2"/>
    <w:rsid w:val="001808BA"/>
    <w:rsid w:val="00181525"/>
    <w:rsid w:val="00183891"/>
    <w:rsid w:val="0019217D"/>
    <w:rsid w:val="00196F9C"/>
    <w:rsid w:val="00197F0B"/>
    <w:rsid w:val="001A5C5A"/>
    <w:rsid w:val="001B0C4A"/>
    <w:rsid w:val="001B3EE9"/>
    <w:rsid w:val="001B54A0"/>
    <w:rsid w:val="001B6CAA"/>
    <w:rsid w:val="001C2245"/>
    <w:rsid w:val="001C39D4"/>
    <w:rsid w:val="001C6636"/>
    <w:rsid w:val="001D3C56"/>
    <w:rsid w:val="001D4317"/>
    <w:rsid w:val="001D6431"/>
    <w:rsid w:val="001E14C0"/>
    <w:rsid w:val="001E17C7"/>
    <w:rsid w:val="001E79C9"/>
    <w:rsid w:val="001F0AEF"/>
    <w:rsid w:val="001F12AC"/>
    <w:rsid w:val="001F3823"/>
    <w:rsid w:val="001F3DAA"/>
    <w:rsid w:val="001F4CA8"/>
    <w:rsid w:val="001F5800"/>
    <w:rsid w:val="002052B6"/>
    <w:rsid w:val="00211C17"/>
    <w:rsid w:val="00213791"/>
    <w:rsid w:val="002149C6"/>
    <w:rsid w:val="0021788B"/>
    <w:rsid w:val="00217C3E"/>
    <w:rsid w:val="002246F5"/>
    <w:rsid w:val="00234846"/>
    <w:rsid w:val="002379B3"/>
    <w:rsid w:val="00240A01"/>
    <w:rsid w:val="00242592"/>
    <w:rsid w:val="002451C3"/>
    <w:rsid w:val="00245F2E"/>
    <w:rsid w:val="002464AE"/>
    <w:rsid w:val="00247B23"/>
    <w:rsid w:val="00253723"/>
    <w:rsid w:val="00253FA1"/>
    <w:rsid w:val="0025663D"/>
    <w:rsid w:val="00261A8A"/>
    <w:rsid w:val="002624D7"/>
    <w:rsid w:val="00265A77"/>
    <w:rsid w:val="00270313"/>
    <w:rsid w:val="00276940"/>
    <w:rsid w:val="00280CEB"/>
    <w:rsid w:val="00282928"/>
    <w:rsid w:val="00285F57"/>
    <w:rsid w:val="00286006"/>
    <w:rsid w:val="00286767"/>
    <w:rsid w:val="002918E7"/>
    <w:rsid w:val="00292083"/>
    <w:rsid w:val="002A154E"/>
    <w:rsid w:val="002A1FF7"/>
    <w:rsid w:val="002A215D"/>
    <w:rsid w:val="002A27DD"/>
    <w:rsid w:val="002B0A4B"/>
    <w:rsid w:val="002B2289"/>
    <w:rsid w:val="002B32C5"/>
    <w:rsid w:val="002B4CAF"/>
    <w:rsid w:val="002C3DF1"/>
    <w:rsid w:val="002C6344"/>
    <w:rsid w:val="002E2878"/>
    <w:rsid w:val="002F0107"/>
    <w:rsid w:val="002F46DD"/>
    <w:rsid w:val="0031085A"/>
    <w:rsid w:val="00313ED8"/>
    <w:rsid w:val="00315035"/>
    <w:rsid w:val="003163A9"/>
    <w:rsid w:val="00316DD1"/>
    <w:rsid w:val="00317188"/>
    <w:rsid w:val="0031742F"/>
    <w:rsid w:val="00320050"/>
    <w:rsid w:val="00320175"/>
    <w:rsid w:val="00320E4E"/>
    <w:rsid w:val="00330059"/>
    <w:rsid w:val="00331452"/>
    <w:rsid w:val="00331728"/>
    <w:rsid w:val="00331A86"/>
    <w:rsid w:val="00332576"/>
    <w:rsid w:val="00336096"/>
    <w:rsid w:val="00336450"/>
    <w:rsid w:val="00337266"/>
    <w:rsid w:val="00337DD7"/>
    <w:rsid w:val="0034074C"/>
    <w:rsid w:val="00340D36"/>
    <w:rsid w:val="00343397"/>
    <w:rsid w:val="003433C3"/>
    <w:rsid w:val="00345447"/>
    <w:rsid w:val="003474B3"/>
    <w:rsid w:val="00347FA4"/>
    <w:rsid w:val="00350519"/>
    <w:rsid w:val="003519AD"/>
    <w:rsid w:val="00353350"/>
    <w:rsid w:val="003543AB"/>
    <w:rsid w:val="00355C7A"/>
    <w:rsid w:val="00355DC2"/>
    <w:rsid w:val="00362DCB"/>
    <w:rsid w:val="00365961"/>
    <w:rsid w:val="00367843"/>
    <w:rsid w:val="0037009E"/>
    <w:rsid w:val="00373CE0"/>
    <w:rsid w:val="00373E81"/>
    <w:rsid w:val="003746CD"/>
    <w:rsid w:val="00377081"/>
    <w:rsid w:val="00377CB0"/>
    <w:rsid w:val="00380E5C"/>
    <w:rsid w:val="00381463"/>
    <w:rsid w:val="003815F3"/>
    <w:rsid w:val="0038381D"/>
    <w:rsid w:val="00386ACC"/>
    <w:rsid w:val="00390E2E"/>
    <w:rsid w:val="00391EDF"/>
    <w:rsid w:val="00391F3F"/>
    <w:rsid w:val="003934C3"/>
    <w:rsid w:val="00393F1B"/>
    <w:rsid w:val="00395453"/>
    <w:rsid w:val="00396657"/>
    <w:rsid w:val="003A1224"/>
    <w:rsid w:val="003A662C"/>
    <w:rsid w:val="003B11C7"/>
    <w:rsid w:val="003B19E1"/>
    <w:rsid w:val="003B2B26"/>
    <w:rsid w:val="003C00D2"/>
    <w:rsid w:val="003C30CC"/>
    <w:rsid w:val="003C5540"/>
    <w:rsid w:val="003C60CE"/>
    <w:rsid w:val="003D09B9"/>
    <w:rsid w:val="003D15DC"/>
    <w:rsid w:val="003D576A"/>
    <w:rsid w:val="003D7F50"/>
    <w:rsid w:val="003E1D81"/>
    <w:rsid w:val="003E39BB"/>
    <w:rsid w:val="003E6C07"/>
    <w:rsid w:val="003F122C"/>
    <w:rsid w:val="003F4BF5"/>
    <w:rsid w:val="003F6E3E"/>
    <w:rsid w:val="00404257"/>
    <w:rsid w:val="00406377"/>
    <w:rsid w:val="0040789E"/>
    <w:rsid w:val="004126F2"/>
    <w:rsid w:val="004137AE"/>
    <w:rsid w:val="00416A36"/>
    <w:rsid w:val="004175C7"/>
    <w:rsid w:val="00422096"/>
    <w:rsid w:val="0042298A"/>
    <w:rsid w:val="00422DDF"/>
    <w:rsid w:val="00426C84"/>
    <w:rsid w:val="00430B59"/>
    <w:rsid w:val="00431097"/>
    <w:rsid w:val="00433F4A"/>
    <w:rsid w:val="004352E3"/>
    <w:rsid w:val="00445C4D"/>
    <w:rsid w:val="00446F9B"/>
    <w:rsid w:val="004472FF"/>
    <w:rsid w:val="004479C1"/>
    <w:rsid w:val="00451B6F"/>
    <w:rsid w:val="00460A16"/>
    <w:rsid w:val="00460C0F"/>
    <w:rsid w:val="00461720"/>
    <w:rsid w:val="00463318"/>
    <w:rsid w:val="00463B41"/>
    <w:rsid w:val="00464D5C"/>
    <w:rsid w:val="00467184"/>
    <w:rsid w:val="00470418"/>
    <w:rsid w:val="004708A3"/>
    <w:rsid w:val="0047217F"/>
    <w:rsid w:val="004861BB"/>
    <w:rsid w:val="00486D34"/>
    <w:rsid w:val="0049047D"/>
    <w:rsid w:val="00491996"/>
    <w:rsid w:val="00495515"/>
    <w:rsid w:val="004966F9"/>
    <w:rsid w:val="00497B6A"/>
    <w:rsid w:val="004A3E19"/>
    <w:rsid w:val="004A588D"/>
    <w:rsid w:val="004A7CCF"/>
    <w:rsid w:val="004B5BA0"/>
    <w:rsid w:val="004B602A"/>
    <w:rsid w:val="004C00FC"/>
    <w:rsid w:val="004C04B4"/>
    <w:rsid w:val="004C07B1"/>
    <w:rsid w:val="004C0970"/>
    <w:rsid w:val="004D0285"/>
    <w:rsid w:val="004D0626"/>
    <w:rsid w:val="004D092B"/>
    <w:rsid w:val="004D0BB3"/>
    <w:rsid w:val="004D371B"/>
    <w:rsid w:val="004D7251"/>
    <w:rsid w:val="004E4274"/>
    <w:rsid w:val="004E5941"/>
    <w:rsid w:val="004E73EC"/>
    <w:rsid w:val="004F0ACE"/>
    <w:rsid w:val="004F4312"/>
    <w:rsid w:val="004F6030"/>
    <w:rsid w:val="004F6A4E"/>
    <w:rsid w:val="00511250"/>
    <w:rsid w:val="00512B63"/>
    <w:rsid w:val="00513426"/>
    <w:rsid w:val="005208EA"/>
    <w:rsid w:val="00523FF8"/>
    <w:rsid w:val="0052620A"/>
    <w:rsid w:val="005323A3"/>
    <w:rsid w:val="00532676"/>
    <w:rsid w:val="00532BEA"/>
    <w:rsid w:val="005366F4"/>
    <w:rsid w:val="00537E1F"/>
    <w:rsid w:val="00540D8C"/>
    <w:rsid w:val="00541C91"/>
    <w:rsid w:val="00544BDD"/>
    <w:rsid w:val="005531E2"/>
    <w:rsid w:val="005552F0"/>
    <w:rsid w:val="005610C5"/>
    <w:rsid w:val="00562B00"/>
    <w:rsid w:val="0057331C"/>
    <w:rsid w:val="00574DBE"/>
    <w:rsid w:val="005803B5"/>
    <w:rsid w:val="00581352"/>
    <w:rsid w:val="00582BE6"/>
    <w:rsid w:val="00591FA0"/>
    <w:rsid w:val="00594177"/>
    <w:rsid w:val="00595EAA"/>
    <w:rsid w:val="0059607C"/>
    <w:rsid w:val="0059614E"/>
    <w:rsid w:val="00596875"/>
    <w:rsid w:val="00596B10"/>
    <w:rsid w:val="005974D7"/>
    <w:rsid w:val="00597A7B"/>
    <w:rsid w:val="005A222A"/>
    <w:rsid w:val="005A4222"/>
    <w:rsid w:val="005A446A"/>
    <w:rsid w:val="005B1C90"/>
    <w:rsid w:val="005B56BD"/>
    <w:rsid w:val="005C02EF"/>
    <w:rsid w:val="005C0C25"/>
    <w:rsid w:val="005C1C7A"/>
    <w:rsid w:val="005C429E"/>
    <w:rsid w:val="005C5A79"/>
    <w:rsid w:val="005C6F87"/>
    <w:rsid w:val="005C73AD"/>
    <w:rsid w:val="005D0DB0"/>
    <w:rsid w:val="005D189D"/>
    <w:rsid w:val="005D2542"/>
    <w:rsid w:val="005D475C"/>
    <w:rsid w:val="005D5BEF"/>
    <w:rsid w:val="005D683D"/>
    <w:rsid w:val="005E14B3"/>
    <w:rsid w:val="005E26ED"/>
    <w:rsid w:val="005E52D8"/>
    <w:rsid w:val="005E7A70"/>
    <w:rsid w:val="005F232C"/>
    <w:rsid w:val="005F3511"/>
    <w:rsid w:val="005F3B70"/>
    <w:rsid w:val="005F5AF0"/>
    <w:rsid w:val="005F5E8A"/>
    <w:rsid w:val="005F6E56"/>
    <w:rsid w:val="005F776E"/>
    <w:rsid w:val="006009FB"/>
    <w:rsid w:val="00602D81"/>
    <w:rsid w:val="00604234"/>
    <w:rsid w:val="00605CCD"/>
    <w:rsid w:val="0061271E"/>
    <w:rsid w:val="0061743F"/>
    <w:rsid w:val="00620337"/>
    <w:rsid w:val="0062074C"/>
    <w:rsid w:val="00620D13"/>
    <w:rsid w:val="00626367"/>
    <w:rsid w:val="00632A4D"/>
    <w:rsid w:val="00634743"/>
    <w:rsid w:val="00640632"/>
    <w:rsid w:val="00642898"/>
    <w:rsid w:val="00642E3B"/>
    <w:rsid w:val="0064418C"/>
    <w:rsid w:val="00644CE7"/>
    <w:rsid w:val="00645EAB"/>
    <w:rsid w:val="00647969"/>
    <w:rsid w:val="00652E35"/>
    <w:rsid w:val="00654C5B"/>
    <w:rsid w:val="00655F6A"/>
    <w:rsid w:val="00656BDA"/>
    <w:rsid w:val="00660104"/>
    <w:rsid w:val="00661666"/>
    <w:rsid w:val="00661B07"/>
    <w:rsid w:val="006627EA"/>
    <w:rsid w:val="00662874"/>
    <w:rsid w:val="00672D6B"/>
    <w:rsid w:val="0067325E"/>
    <w:rsid w:val="00677481"/>
    <w:rsid w:val="0068056F"/>
    <w:rsid w:val="006805C1"/>
    <w:rsid w:val="00681FC9"/>
    <w:rsid w:val="0068322F"/>
    <w:rsid w:val="006832B2"/>
    <w:rsid w:val="00685850"/>
    <w:rsid w:val="00692079"/>
    <w:rsid w:val="0069387C"/>
    <w:rsid w:val="00694420"/>
    <w:rsid w:val="00696CA3"/>
    <w:rsid w:val="006A01BA"/>
    <w:rsid w:val="006A1388"/>
    <w:rsid w:val="006A333A"/>
    <w:rsid w:val="006A4DFB"/>
    <w:rsid w:val="006A67A3"/>
    <w:rsid w:val="006A7974"/>
    <w:rsid w:val="006B42FD"/>
    <w:rsid w:val="006B4FB2"/>
    <w:rsid w:val="006B7E78"/>
    <w:rsid w:val="006C0AEC"/>
    <w:rsid w:val="006C2148"/>
    <w:rsid w:val="006C4C67"/>
    <w:rsid w:val="006C5A52"/>
    <w:rsid w:val="006C6473"/>
    <w:rsid w:val="006C68BE"/>
    <w:rsid w:val="006C6EAD"/>
    <w:rsid w:val="006D11C7"/>
    <w:rsid w:val="006D3C96"/>
    <w:rsid w:val="006D489F"/>
    <w:rsid w:val="006D5086"/>
    <w:rsid w:val="006D5463"/>
    <w:rsid w:val="006E4B64"/>
    <w:rsid w:val="006F522E"/>
    <w:rsid w:val="006F6375"/>
    <w:rsid w:val="006F6C71"/>
    <w:rsid w:val="006F7860"/>
    <w:rsid w:val="00706D44"/>
    <w:rsid w:val="00707529"/>
    <w:rsid w:val="00710C46"/>
    <w:rsid w:val="007119B1"/>
    <w:rsid w:val="00711FC1"/>
    <w:rsid w:val="00714DFE"/>
    <w:rsid w:val="007168BE"/>
    <w:rsid w:val="007178D0"/>
    <w:rsid w:val="007208C1"/>
    <w:rsid w:val="007210D2"/>
    <w:rsid w:val="00721658"/>
    <w:rsid w:val="007216D1"/>
    <w:rsid w:val="007232D3"/>
    <w:rsid w:val="00724828"/>
    <w:rsid w:val="00725A5B"/>
    <w:rsid w:val="00726526"/>
    <w:rsid w:val="007276F3"/>
    <w:rsid w:val="00730F32"/>
    <w:rsid w:val="00733EE0"/>
    <w:rsid w:val="007362C2"/>
    <w:rsid w:val="0074005E"/>
    <w:rsid w:val="00740DA3"/>
    <w:rsid w:val="00741A79"/>
    <w:rsid w:val="00743641"/>
    <w:rsid w:val="00743C63"/>
    <w:rsid w:val="00744C1F"/>
    <w:rsid w:val="00745279"/>
    <w:rsid w:val="007473F6"/>
    <w:rsid w:val="00747E8F"/>
    <w:rsid w:val="007536D8"/>
    <w:rsid w:val="0075438C"/>
    <w:rsid w:val="00754393"/>
    <w:rsid w:val="00756854"/>
    <w:rsid w:val="00771CC1"/>
    <w:rsid w:val="007775DB"/>
    <w:rsid w:val="00777FC8"/>
    <w:rsid w:val="007824CD"/>
    <w:rsid w:val="00783D1D"/>
    <w:rsid w:val="00785D41"/>
    <w:rsid w:val="007916E3"/>
    <w:rsid w:val="007932F0"/>
    <w:rsid w:val="00793ACA"/>
    <w:rsid w:val="0079509E"/>
    <w:rsid w:val="007972C7"/>
    <w:rsid w:val="007A0BE9"/>
    <w:rsid w:val="007A28DE"/>
    <w:rsid w:val="007A37A0"/>
    <w:rsid w:val="007A4FCF"/>
    <w:rsid w:val="007A5DBF"/>
    <w:rsid w:val="007A701D"/>
    <w:rsid w:val="007B0AA9"/>
    <w:rsid w:val="007B1B10"/>
    <w:rsid w:val="007B3706"/>
    <w:rsid w:val="007B3DF7"/>
    <w:rsid w:val="007B5D32"/>
    <w:rsid w:val="007B7477"/>
    <w:rsid w:val="007B7912"/>
    <w:rsid w:val="007B7A53"/>
    <w:rsid w:val="007C14B0"/>
    <w:rsid w:val="007C17EB"/>
    <w:rsid w:val="007C2531"/>
    <w:rsid w:val="007C28CF"/>
    <w:rsid w:val="007C35B5"/>
    <w:rsid w:val="007C3FFB"/>
    <w:rsid w:val="007C6421"/>
    <w:rsid w:val="007C7E5A"/>
    <w:rsid w:val="007D233F"/>
    <w:rsid w:val="007D4016"/>
    <w:rsid w:val="007D45A2"/>
    <w:rsid w:val="007D5D3C"/>
    <w:rsid w:val="007D6B94"/>
    <w:rsid w:val="007E14E1"/>
    <w:rsid w:val="007E3674"/>
    <w:rsid w:val="007E7AE5"/>
    <w:rsid w:val="007F0D16"/>
    <w:rsid w:val="007F1062"/>
    <w:rsid w:val="007F6B75"/>
    <w:rsid w:val="0080105D"/>
    <w:rsid w:val="0080254F"/>
    <w:rsid w:val="0080390E"/>
    <w:rsid w:val="00810515"/>
    <w:rsid w:val="008113C0"/>
    <w:rsid w:val="00813C7D"/>
    <w:rsid w:val="00814B5A"/>
    <w:rsid w:val="0082023F"/>
    <w:rsid w:val="008205B9"/>
    <w:rsid w:val="00821461"/>
    <w:rsid w:val="008237DC"/>
    <w:rsid w:val="00825D6F"/>
    <w:rsid w:val="00825D78"/>
    <w:rsid w:val="00831030"/>
    <w:rsid w:val="00837109"/>
    <w:rsid w:val="00841C5F"/>
    <w:rsid w:val="00841F61"/>
    <w:rsid w:val="00846321"/>
    <w:rsid w:val="00847046"/>
    <w:rsid w:val="00847B9B"/>
    <w:rsid w:val="00847BAE"/>
    <w:rsid w:val="008512F6"/>
    <w:rsid w:val="00853F43"/>
    <w:rsid w:val="00854419"/>
    <w:rsid w:val="00857F9E"/>
    <w:rsid w:val="00871213"/>
    <w:rsid w:val="00875235"/>
    <w:rsid w:val="00876D2A"/>
    <w:rsid w:val="00877675"/>
    <w:rsid w:val="0088642C"/>
    <w:rsid w:val="00886BF3"/>
    <w:rsid w:val="00887E9F"/>
    <w:rsid w:val="00891EA1"/>
    <w:rsid w:val="00892432"/>
    <w:rsid w:val="00892793"/>
    <w:rsid w:val="008931CE"/>
    <w:rsid w:val="00897A17"/>
    <w:rsid w:val="008A13C4"/>
    <w:rsid w:val="008A19B7"/>
    <w:rsid w:val="008A4FA2"/>
    <w:rsid w:val="008A5C70"/>
    <w:rsid w:val="008B0C50"/>
    <w:rsid w:val="008B127E"/>
    <w:rsid w:val="008B6985"/>
    <w:rsid w:val="008C008A"/>
    <w:rsid w:val="008C11FE"/>
    <w:rsid w:val="008C2EF5"/>
    <w:rsid w:val="008C5E4D"/>
    <w:rsid w:val="008D0DC1"/>
    <w:rsid w:val="008D4156"/>
    <w:rsid w:val="008E003B"/>
    <w:rsid w:val="008E43F2"/>
    <w:rsid w:val="008E5120"/>
    <w:rsid w:val="008E5807"/>
    <w:rsid w:val="008F1B2C"/>
    <w:rsid w:val="008F3287"/>
    <w:rsid w:val="008F470D"/>
    <w:rsid w:val="008F646B"/>
    <w:rsid w:val="0090220C"/>
    <w:rsid w:val="00902BE4"/>
    <w:rsid w:val="009036E9"/>
    <w:rsid w:val="00904D15"/>
    <w:rsid w:val="00912A08"/>
    <w:rsid w:val="00915338"/>
    <w:rsid w:val="00915F5A"/>
    <w:rsid w:val="00920B13"/>
    <w:rsid w:val="00921B57"/>
    <w:rsid w:val="00921EC0"/>
    <w:rsid w:val="0092329E"/>
    <w:rsid w:val="00923E41"/>
    <w:rsid w:val="009260F4"/>
    <w:rsid w:val="00944CD5"/>
    <w:rsid w:val="009454ED"/>
    <w:rsid w:val="0094625C"/>
    <w:rsid w:val="00946A88"/>
    <w:rsid w:val="0095168C"/>
    <w:rsid w:val="00951806"/>
    <w:rsid w:val="00951A59"/>
    <w:rsid w:val="0095444D"/>
    <w:rsid w:val="0095497E"/>
    <w:rsid w:val="00961C0A"/>
    <w:rsid w:val="00963EB2"/>
    <w:rsid w:val="00967986"/>
    <w:rsid w:val="00970B0A"/>
    <w:rsid w:val="00973179"/>
    <w:rsid w:val="0097325D"/>
    <w:rsid w:val="00976B9A"/>
    <w:rsid w:val="009807C2"/>
    <w:rsid w:val="00981454"/>
    <w:rsid w:val="009815D9"/>
    <w:rsid w:val="0098388A"/>
    <w:rsid w:val="009862F5"/>
    <w:rsid w:val="0098738E"/>
    <w:rsid w:val="009902F1"/>
    <w:rsid w:val="00993C84"/>
    <w:rsid w:val="009965DE"/>
    <w:rsid w:val="009969DF"/>
    <w:rsid w:val="00996F19"/>
    <w:rsid w:val="009A120A"/>
    <w:rsid w:val="009A2922"/>
    <w:rsid w:val="009A2BDD"/>
    <w:rsid w:val="009A45DF"/>
    <w:rsid w:val="009A5D77"/>
    <w:rsid w:val="009B3A5B"/>
    <w:rsid w:val="009B3EFD"/>
    <w:rsid w:val="009B4D30"/>
    <w:rsid w:val="009B4DD0"/>
    <w:rsid w:val="009B5F84"/>
    <w:rsid w:val="009B73DF"/>
    <w:rsid w:val="009C0636"/>
    <w:rsid w:val="009C2612"/>
    <w:rsid w:val="009C4B7B"/>
    <w:rsid w:val="009C62F2"/>
    <w:rsid w:val="009C6D0F"/>
    <w:rsid w:val="009D0D25"/>
    <w:rsid w:val="009D729F"/>
    <w:rsid w:val="009D7C7C"/>
    <w:rsid w:val="009E194C"/>
    <w:rsid w:val="009E41BE"/>
    <w:rsid w:val="009E4B85"/>
    <w:rsid w:val="009E5E74"/>
    <w:rsid w:val="009F1CE7"/>
    <w:rsid w:val="009F53AA"/>
    <w:rsid w:val="009F6125"/>
    <w:rsid w:val="009F663A"/>
    <w:rsid w:val="009F74A3"/>
    <w:rsid w:val="009F7710"/>
    <w:rsid w:val="009F7985"/>
    <w:rsid w:val="00A00DF3"/>
    <w:rsid w:val="00A016FB"/>
    <w:rsid w:val="00A0185C"/>
    <w:rsid w:val="00A020DA"/>
    <w:rsid w:val="00A11B65"/>
    <w:rsid w:val="00A12C34"/>
    <w:rsid w:val="00A13419"/>
    <w:rsid w:val="00A14C8A"/>
    <w:rsid w:val="00A15361"/>
    <w:rsid w:val="00A17810"/>
    <w:rsid w:val="00A20BD1"/>
    <w:rsid w:val="00A213B5"/>
    <w:rsid w:val="00A21F26"/>
    <w:rsid w:val="00A23290"/>
    <w:rsid w:val="00A238C4"/>
    <w:rsid w:val="00A26C26"/>
    <w:rsid w:val="00A277EA"/>
    <w:rsid w:val="00A30899"/>
    <w:rsid w:val="00A3134D"/>
    <w:rsid w:val="00A31403"/>
    <w:rsid w:val="00A320F2"/>
    <w:rsid w:val="00A37E56"/>
    <w:rsid w:val="00A41A12"/>
    <w:rsid w:val="00A420E9"/>
    <w:rsid w:val="00A42D48"/>
    <w:rsid w:val="00A43818"/>
    <w:rsid w:val="00A43AF4"/>
    <w:rsid w:val="00A47FEC"/>
    <w:rsid w:val="00A506A2"/>
    <w:rsid w:val="00A53E76"/>
    <w:rsid w:val="00A5601C"/>
    <w:rsid w:val="00A606B2"/>
    <w:rsid w:val="00A66401"/>
    <w:rsid w:val="00A67438"/>
    <w:rsid w:val="00A67E4F"/>
    <w:rsid w:val="00A73E9B"/>
    <w:rsid w:val="00A74024"/>
    <w:rsid w:val="00A75795"/>
    <w:rsid w:val="00A76EA4"/>
    <w:rsid w:val="00A8134A"/>
    <w:rsid w:val="00A853E2"/>
    <w:rsid w:val="00A85D6E"/>
    <w:rsid w:val="00A90EA5"/>
    <w:rsid w:val="00A943B7"/>
    <w:rsid w:val="00A974D3"/>
    <w:rsid w:val="00AA33AF"/>
    <w:rsid w:val="00AA3B58"/>
    <w:rsid w:val="00AB36DA"/>
    <w:rsid w:val="00AB4A47"/>
    <w:rsid w:val="00AC280A"/>
    <w:rsid w:val="00AC68A5"/>
    <w:rsid w:val="00AC6D23"/>
    <w:rsid w:val="00AD11DB"/>
    <w:rsid w:val="00AD3C5C"/>
    <w:rsid w:val="00AD5FE2"/>
    <w:rsid w:val="00AD66EB"/>
    <w:rsid w:val="00AD6E84"/>
    <w:rsid w:val="00AE074A"/>
    <w:rsid w:val="00AF1B83"/>
    <w:rsid w:val="00B01C7A"/>
    <w:rsid w:val="00B02C69"/>
    <w:rsid w:val="00B11966"/>
    <w:rsid w:val="00B13002"/>
    <w:rsid w:val="00B179BB"/>
    <w:rsid w:val="00B17DE1"/>
    <w:rsid w:val="00B215DF"/>
    <w:rsid w:val="00B21A2B"/>
    <w:rsid w:val="00B24180"/>
    <w:rsid w:val="00B2440E"/>
    <w:rsid w:val="00B2530F"/>
    <w:rsid w:val="00B25F9F"/>
    <w:rsid w:val="00B267DD"/>
    <w:rsid w:val="00B3058C"/>
    <w:rsid w:val="00B309E5"/>
    <w:rsid w:val="00B311E2"/>
    <w:rsid w:val="00B316B0"/>
    <w:rsid w:val="00B332AB"/>
    <w:rsid w:val="00B379E0"/>
    <w:rsid w:val="00B43208"/>
    <w:rsid w:val="00B43F33"/>
    <w:rsid w:val="00B5028C"/>
    <w:rsid w:val="00B51E2B"/>
    <w:rsid w:val="00B53FAA"/>
    <w:rsid w:val="00B55054"/>
    <w:rsid w:val="00B55DDA"/>
    <w:rsid w:val="00B571F0"/>
    <w:rsid w:val="00B60499"/>
    <w:rsid w:val="00B615C1"/>
    <w:rsid w:val="00B61A33"/>
    <w:rsid w:val="00B62FC7"/>
    <w:rsid w:val="00B63FB5"/>
    <w:rsid w:val="00B65318"/>
    <w:rsid w:val="00B6598E"/>
    <w:rsid w:val="00B66685"/>
    <w:rsid w:val="00B66C24"/>
    <w:rsid w:val="00B70D87"/>
    <w:rsid w:val="00B711DC"/>
    <w:rsid w:val="00B71277"/>
    <w:rsid w:val="00B71B89"/>
    <w:rsid w:val="00B71F53"/>
    <w:rsid w:val="00B825F9"/>
    <w:rsid w:val="00B84834"/>
    <w:rsid w:val="00B864B5"/>
    <w:rsid w:val="00B87DB0"/>
    <w:rsid w:val="00B87F98"/>
    <w:rsid w:val="00B92CA1"/>
    <w:rsid w:val="00B963C8"/>
    <w:rsid w:val="00B97C14"/>
    <w:rsid w:val="00B97F68"/>
    <w:rsid w:val="00BA04C2"/>
    <w:rsid w:val="00BA1C73"/>
    <w:rsid w:val="00BA2203"/>
    <w:rsid w:val="00BA2D0C"/>
    <w:rsid w:val="00BA2ED9"/>
    <w:rsid w:val="00BA2FEC"/>
    <w:rsid w:val="00BA30D3"/>
    <w:rsid w:val="00BA422C"/>
    <w:rsid w:val="00BA50DB"/>
    <w:rsid w:val="00BB5CBC"/>
    <w:rsid w:val="00BB6EA2"/>
    <w:rsid w:val="00BC1F89"/>
    <w:rsid w:val="00BC606D"/>
    <w:rsid w:val="00BC727D"/>
    <w:rsid w:val="00BD171E"/>
    <w:rsid w:val="00BD3EBB"/>
    <w:rsid w:val="00BD69F8"/>
    <w:rsid w:val="00BE71EC"/>
    <w:rsid w:val="00BE74EC"/>
    <w:rsid w:val="00BE7A0B"/>
    <w:rsid w:val="00BF02B7"/>
    <w:rsid w:val="00BF2D2D"/>
    <w:rsid w:val="00BF4E0F"/>
    <w:rsid w:val="00BF4EE0"/>
    <w:rsid w:val="00C04777"/>
    <w:rsid w:val="00C04F59"/>
    <w:rsid w:val="00C10781"/>
    <w:rsid w:val="00C10D37"/>
    <w:rsid w:val="00C20B11"/>
    <w:rsid w:val="00C21025"/>
    <w:rsid w:val="00C215A5"/>
    <w:rsid w:val="00C2240D"/>
    <w:rsid w:val="00C22591"/>
    <w:rsid w:val="00C2556F"/>
    <w:rsid w:val="00C26B5F"/>
    <w:rsid w:val="00C2742E"/>
    <w:rsid w:val="00C30DDA"/>
    <w:rsid w:val="00C319EA"/>
    <w:rsid w:val="00C3403F"/>
    <w:rsid w:val="00C36219"/>
    <w:rsid w:val="00C37AC2"/>
    <w:rsid w:val="00C37ED8"/>
    <w:rsid w:val="00C40CAD"/>
    <w:rsid w:val="00C43F74"/>
    <w:rsid w:val="00C502BC"/>
    <w:rsid w:val="00C50997"/>
    <w:rsid w:val="00C50DB6"/>
    <w:rsid w:val="00C549F3"/>
    <w:rsid w:val="00C5781D"/>
    <w:rsid w:val="00C57C26"/>
    <w:rsid w:val="00C57DD6"/>
    <w:rsid w:val="00C60839"/>
    <w:rsid w:val="00C652E1"/>
    <w:rsid w:val="00C676DE"/>
    <w:rsid w:val="00C702C0"/>
    <w:rsid w:val="00C74174"/>
    <w:rsid w:val="00C7427B"/>
    <w:rsid w:val="00C75154"/>
    <w:rsid w:val="00C75B5B"/>
    <w:rsid w:val="00C76B0C"/>
    <w:rsid w:val="00C770C3"/>
    <w:rsid w:val="00C921C3"/>
    <w:rsid w:val="00CA16E9"/>
    <w:rsid w:val="00CA2776"/>
    <w:rsid w:val="00CA5886"/>
    <w:rsid w:val="00CA6C6F"/>
    <w:rsid w:val="00CA7177"/>
    <w:rsid w:val="00CB04C6"/>
    <w:rsid w:val="00CB071E"/>
    <w:rsid w:val="00CB383C"/>
    <w:rsid w:val="00CB3D7B"/>
    <w:rsid w:val="00CB6FEB"/>
    <w:rsid w:val="00CC00C4"/>
    <w:rsid w:val="00CC1A60"/>
    <w:rsid w:val="00CC3E1E"/>
    <w:rsid w:val="00CD060C"/>
    <w:rsid w:val="00CD18EF"/>
    <w:rsid w:val="00CD21F1"/>
    <w:rsid w:val="00CD4ACB"/>
    <w:rsid w:val="00CD5218"/>
    <w:rsid w:val="00CD625E"/>
    <w:rsid w:val="00CD7F1C"/>
    <w:rsid w:val="00CE46A5"/>
    <w:rsid w:val="00CE498F"/>
    <w:rsid w:val="00CE726C"/>
    <w:rsid w:val="00CE7DB0"/>
    <w:rsid w:val="00CF009E"/>
    <w:rsid w:val="00CF1C84"/>
    <w:rsid w:val="00CF4CA6"/>
    <w:rsid w:val="00CF5A67"/>
    <w:rsid w:val="00CF5B67"/>
    <w:rsid w:val="00CF650F"/>
    <w:rsid w:val="00CF6890"/>
    <w:rsid w:val="00CF6BDB"/>
    <w:rsid w:val="00D015A3"/>
    <w:rsid w:val="00D0193C"/>
    <w:rsid w:val="00D01B60"/>
    <w:rsid w:val="00D15400"/>
    <w:rsid w:val="00D1781C"/>
    <w:rsid w:val="00D1782B"/>
    <w:rsid w:val="00D17E41"/>
    <w:rsid w:val="00D226D8"/>
    <w:rsid w:val="00D27517"/>
    <w:rsid w:val="00D2791D"/>
    <w:rsid w:val="00D27A57"/>
    <w:rsid w:val="00D314C8"/>
    <w:rsid w:val="00D33A0D"/>
    <w:rsid w:val="00D40DA5"/>
    <w:rsid w:val="00D410E9"/>
    <w:rsid w:val="00D42670"/>
    <w:rsid w:val="00D43076"/>
    <w:rsid w:val="00D44904"/>
    <w:rsid w:val="00D45640"/>
    <w:rsid w:val="00D459DE"/>
    <w:rsid w:val="00D51B40"/>
    <w:rsid w:val="00D53565"/>
    <w:rsid w:val="00D53E2F"/>
    <w:rsid w:val="00D54710"/>
    <w:rsid w:val="00D56DB7"/>
    <w:rsid w:val="00D60697"/>
    <w:rsid w:val="00D620BB"/>
    <w:rsid w:val="00D66C9F"/>
    <w:rsid w:val="00D733B3"/>
    <w:rsid w:val="00D76D7B"/>
    <w:rsid w:val="00D7733E"/>
    <w:rsid w:val="00D802F3"/>
    <w:rsid w:val="00D834FF"/>
    <w:rsid w:val="00D84799"/>
    <w:rsid w:val="00D859F7"/>
    <w:rsid w:val="00D86995"/>
    <w:rsid w:val="00D90E3F"/>
    <w:rsid w:val="00D90F53"/>
    <w:rsid w:val="00D94206"/>
    <w:rsid w:val="00DA5D7C"/>
    <w:rsid w:val="00DA6D81"/>
    <w:rsid w:val="00DB237D"/>
    <w:rsid w:val="00DB370F"/>
    <w:rsid w:val="00DB5B7A"/>
    <w:rsid w:val="00DC05E2"/>
    <w:rsid w:val="00DC3543"/>
    <w:rsid w:val="00DC3B26"/>
    <w:rsid w:val="00DD2A30"/>
    <w:rsid w:val="00DD2EE0"/>
    <w:rsid w:val="00DD33F0"/>
    <w:rsid w:val="00DD566B"/>
    <w:rsid w:val="00DE269B"/>
    <w:rsid w:val="00DE4C14"/>
    <w:rsid w:val="00DE516D"/>
    <w:rsid w:val="00DE560C"/>
    <w:rsid w:val="00DE642A"/>
    <w:rsid w:val="00DF0CD2"/>
    <w:rsid w:val="00DF1CEF"/>
    <w:rsid w:val="00DF31E1"/>
    <w:rsid w:val="00DF4F38"/>
    <w:rsid w:val="00DF50AF"/>
    <w:rsid w:val="00DF652B"/>
    <w:rsid w:val="00E0211D"/>
    <w:rsid w:val="00E054EC"/>
    <w:rsid w:val="00E06589"/>
    <w:rsid w:val="00E13FC3"/>
    <w:rsid w:val="00E1669E"/>
    <w:rsid w:val="00E16CD6"/>
    <w:rsid w:val="00E208CA"/>
    <w:rsid w:val="00E215EC"/>
    <w:rsid w:val="00E21978"/>
    <w:rsid w:val="00E26585"/>
    <w:rsid w:val="00E30780"/>
    <w:rsid w:val="00E31092"/>
    <w:rsid w:val="00E31C15"/>
    <w:rsid w:val="00E32DEF"/>
    <w:rsid w:val="00E32E2C"/>
    <w:rsid w:val="00E334D9"/>
    <w:rsid w:val="00E3540D"/>
    <w:rsid w:val="00E36C83"/>
    <w:rsid w:val="00E37093"/>
    <w:rsid w:val="00E411DA"/>
    <w:rsid w:val="00E422CA"/>
    <w:rsid w:val="00E434CE"/>
    <w:rsid w:val="00E436A6"/>
    <w:rsid w:val="00E46D04"/>
    <w:rsid w:val="00E472E0"/>
    <w:rsid w:val="00E502EF"/>
    <w:rsid w:val="00E50D20"/>
    <w:rsid w:val="00E5134E"/>
    <w:rsid w:val="00E52052"/>
    <w:rsid w:val="00E520E6"/>
    <w:rsid w:val="00E54B0B"/>
    <w:rsid w:val="00E57288"/>
    <w:rsid w:val="00E63560"/>
    <w:rsid w:val="00E714DF"/>
    <w:rsid w:val="00E719B3"/>
    <w:rsid w:val="00E7602D"/>
    <w:rsid w:val="00E814FD"/>
    <w:rsid w:val="00E81B2D"/>
    <w:rsid w:val="00E83DF5"/>
    <w:rsid w:val="00E8609C"/>
    <w:rsid w:val="00E868ED"/>
    <w:rsid w:val="00E87F8D"/>
    <w:rsid w:val="00E91602"/>
    <w:rsid w:val="00E92FBB"/>
    <w:rsid w:val="00E93112"/>
    <w:rsid w:val="00E9588C"/>
    <w:rsid w:val="00EA1D72"/>
    <w:rsid w:val="00EA1EE9"/>
    <w:rsid w:val="00EA2B69"/>
    <w:rsid w:val="00EA616E"/>
    <w:rsid w:val="00EB0D59"/>
    <w:rsid w:val="00EB48EA"/>
    <w:rsid w:val="00EB77E7"/>
    <w:rsid w:val="00EB7DEE"/>
    <w:rsid w:val="00EC7704"/>
    <w:rsid w:val="00ED362C"/>
    <w:rsid w:val="00ED42F8"/>
    <w:rsid w:val="00EE136A"/>
    <w:rsid w:val="00EE2D92"/>
    <w:rsid w:val="00EE7B90"/>
    <w:rsid w:val="00EF39DB"/>
    <w:rsid w:val="00EF3E45"/>
    <w:rsid w:val="00EF7F8B"/>
    <w:rsid w:val="00F04ED9"/>
    <w:rsid w:val="00F11529"/>
    <w:rsid w:val="00F12D3F"/>
    <w:rsid w:val="00F13AD7"/>
    <w:rsid w:val="00F14F24"/>
    <w:rsid w:val="00F16E94"/>
    <w:rsid w:val="00F221D6"/>
    <w:rsid w:val="00F2278F"/>
    <w:rsid w:val="00F236B5"/>
    <w:rsid w:val="00F241D3"/>
    <w:rsid w:val="00F24AE0"/>
    <w:rsid w:val="00F30619"/>
    <w:rsid w:val="00F30AF4"/>
    <w:rsid w:val="00F32B5F"/>
    <w:rsid w:val="00F340F1"/>
    <w:rsid w:val="00F374C1"/>
    <w:rsid w:val="00F4091A"/>
    <w:rsid w:val="00F44441"/>
    <w:rsid w:val="00F44527"/>
    <w:rsid w:val="00F527E3"/>
    <w:rsid w:val="00F54E6A"/>
    <w:rsid w:val="00F5535D"/>
    <w:rsid w:val="00F56B4F"/>
    <w:rsid w:val="00F57EAF"/>
    <w:rsid w:val="00F60D5B"/>
    <w:rsid w:val="00F65CC1"/>
    <w:rsid w:val="00F66414"/>
    <w:rsid w:val="00F670C3"/>
    <w:rsid w:val="00F710B1"/>
    <w:rsid w:val="00F714C5"/>
    <w:rsid w:val="00F71952"/>
    <w:rsid w:val="00F72285"/>
    <w:rsid w:val="00F73614"/>
    <w:rsid w:val="00F73EB9"/>
    <w:rsid w:val="00F75B29"/>
    <w:rsid w:val="00F77AE9"/>
    <w:rsid w:val="00F81158"/>
    <w:rsid w:val="00F83593"/>
    <w:rsid w:val="00F84213"/>
    <w:rsid w:val="00F851D8"/>
    <w:rsid w:val="00F85A27"/>
    <w:rsid w:val="00F91AE5"/>
    <w:rsid w:val="00FA7226"/>
    <w:rsid w:val="00FB0688"/>
    <w:rsid w:val="00FB0B73"/>
    <w:rsid w:val="00FB338C"/>
    <w:rsid w:val="00FB3657"/>
    <w:rsid w:val="00FC29E1"/>
    <w:rsid w:val="00FC3C5B"/>
    <w:rsid w:val="00FC3DD8"/>
    <w:rsid w:val="00FC3FC4"/>
    <w:rsid w:val="00FC4442"/>
    <w:rsid w:val="00FD110A"/>
    <w:rsid w:val="00FD3CDC"/>
    <w:rsid w:val="00FD4F55"/>
    <w:rsid w:val="00FD6CC2"/>
    <w:rsid w:val="00FD7F8C"/>
    <w:rsid w:val="00FE21ED"/>
    <w:rsid w:val="00FE429D"/>
    <w:rsid w:val="00FF4C40"/>
    <w:rsid w:val="00FF4E85"/>
    <w:rsid w:val="00FF6B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5E0E6"/>
  <w15:docId w15:val="{1B5C1584-2928-4E21-8284-55100CCF2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7251"/>
    <w:pPr>
      <w:jc w:val="both"/>
      <w:outlineLvl w:val="0"/>
    </w:pPr>
    <w:rPr>
      <w:b/>
    </w:rPr>
  </w:style>
  <w:style w:type="paragraph" w:styleId="Heading2">
    <w:name w:val="heading 2"/>
    <w:basedOn w:val="Normal"/>
    <w:next w:val="Normal"/>
    <w:link w:val="Heading2Char"/>
    <w:uiPriority w:val="9"/>
    <w:unhideWhenUsed/>
    <w:qFormat/>
    <w:rsid w:val="004D7251"/>
    <w:pPr>
      <w:jc w:val="both"/>
      <w:outlineLvl w:val="1"/>
    </w:pPr>
  </w:style>
  <w:style w:type="paragraph" w:styleId="Heading3">
    <w:name w:val="heading 3"/>
    <w:basedOn w:val="Normal"/>
    <w:next w:val="Normal"/>
    <w:link w:val="Heading3Char"/>
    <w:autoRedefine/>
    <w:uiPriority w:val="9"/>
    <w:unhideWhenUsed/>
    <w:qFormat/>
    <w:rsid w:val="004D7251"/>
    <w:pPr>
      <w:keepNext/>
      <w:keepLines/>
      <w:numPr>
        <w:numId w:val="6"/>
      </w:numPr>
      <w:spacing w:before="40" w:after="0" w:line="480" w:lineRule="auto"/>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4D7251"/>
    <w:pPr>
      <w:keepNext/>
      <w:keepLines/>
      <w:spacing w:before="40" w:after="0"/>
      <w:outlineLvl w:val="3"/>
    </w:pPr>
    <w:rPr>
      <w:rFonts w:asciiTheme="majorHAnsi" w:eastAsia="Times New Roman" w:hAnsiTheme="majorHAnsi" w:cstheme="majorBidi"/>
      <w:i/>
      <w:iCs/>
      <w:color w:val="000000" w:themeColor="text1"/>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251"/>
    <w:rPr>
      <w:b/>
    </w:rPr>
  </w:style>
  <w:style w:type="character" w:customStyle="1" w:styleId="Heading2Char">
    <w:name w:val="Heading 2 Char"/>
    <w:basedOn w:val="DefaultParagraphFont"/>
    <w:link w:val="Heading2"/>
    <w:uiPriority w:val="9"/>
    <w:rsid w:val="004D7251"/>
  </w:style>
  <w:style w:type="character" w:customStyle="1" w:styleId="Heading3Char">
    <w:name w:val="Heading 3 Char"/>
    <w:basedOn w:val="DefaultParagraphFont"/>
    <w:link w:val="Heading3"/>
    <w:uiPriority w:val="9"/>
    <w:rsid w:val="004D7251"/>
    <w:rPr>
      <w:rFonts w:eastAsiaTheme="majorEastAsia" w:cstheme="majorBidi"/>
      <w:i/>
      <w:szCs w:val="24"/>
    </w:rPr>
  </w:style>
  <w:style w:type="character" w:customStyle="1" w:styleId="Heading4Char">
    <w:name w:val="Heading 4 Char"/>
    <w:basedOn w:val="DefaultParagraphFont"/>
    <w:link w:val="Heading4"/>
    <w:uiPriority w:val="9"/>
    <w:rsid w:val="004D7251"/>
    <w:rPr>
      <w:rFonts w:asciiTheme="majorHAnsi" w:eastAsia="Times New Roman" w:hAnsiTheme="majorHAnsi" w:cstheme="majorBidi"/>
      <w:i/>
      <w:iCs/>
      <w:color w:val="000000" w:themeColor="text1"/>
      <w:lang w:eastAsia="fr-FR"/>
    </w:rPr>
  </w:style>
  <w:style w:type="numbering" w:customStyle="1" w:styleId="Aucuneliste1">
    <w:name w:val="Aucune liste1"/>
    <w:next w:val="NoList"/>
    <w:uiPriority w:val="99"/>
    <w:semiHidden/>
    <w:unhideWhenUsed/>
    <w:rsid w:val="004D7251"/>
  </w:style>
  <w:style w:type="character" w:styleId="Hyperlink">
    <w:name w:val="Hyperlink"/>
    <w:rsid w:val="004D7251"/>
    <w:rPr>
      <w:color w:val="0000FF"/>
      <w:u w:val="single"/>
    </w:rPr>
  </w:style>
  <w:style w:type="character" w:styleId="CommentReference">
    <w:name w:val="annotation reference"/>
    <w:semiHidden/>
    <w:rsid w:val="004D7251"/>
    <w:rPr>
      <w:sz w:val="16"/>
      <w:szCs w:val="16"/>
    </w:rPr>
  </w:style>
  <w:style w:type="paragraph" w:styleId="CommentText">
    <w:name w:val="annotation text"/>
    <w:basedOn w:val="Normal"/>
    <w:link w:val="CommentTextChar"/>
    <w:semiHidden/>
    <w:rsid w:val="004D7251"/>
    <w:rPr>
      <w:sz w:val="20"/>
      <w:szCs w:val="20"/>
    </w:rPr>
  </w:style>
  <w:style w:type="character" w:customStyle="1" w:styleId="CommentTextChar">
    <w:name w:val="Comment Text Char"/>
    <w:basedOn w:val="DefaultParagraphFont"/>
    <w:link w:val="CommentText"/>
    <w:semiHidden/>
    <w:rsid w:val="004D7251"/>
    <w:rPr>
      <w:sz w:val="20"/>
      <w:szCs w:val="20"/>
    </w:rPr>
  </w:style>
  <w:style w:type="paragraph" w:styleId="BalloonText">
    <w:name w:val="Balloon Text"/>
    <w:basedOn w:val="Normal"/>
    <w:link w:val="BalloonTextChar"/>
    <w:semiHidden/>
    <w:rsid w:val="004D7251"/>
    <w:rPr>
      <w:rFonts w:ascii="Tahoma" w:hAnsi="Tahoma" w:cs="Tahoma"/>
      <w:sz w:val="16"/>
      <w:szCs w:val="16"/>
    </w:rPr>
  </w:style>
  <w:style w:type="character" w:customStyle="1" w:styleId="BalloonTextChar">
    <w:name w:val="Balloon Text Char"/>
    <w:basedOn w:val="DefaultParagraphFont"/>
    <w:link w:val="BalloonText"/>
    <w:semiHidden/>
    <w:rsid w:val="004D7251"/>
    <w:rPr>
      <w:rFonts w:ascii="Tahoma" w:hAnsi="Tahoma" w:cs="Tahoma"/>
      <w:sz w:val="16"/>
      <w:szCs w:val="16"/>
    </w:rPr>
  </w:style>
  <w:style w:type="paragraph" w:styleId="CommentSubject">
    <w:name w:val="annotation subject"/>
    <w:basedOn w:val="CommentText"/>
    <w:next w:val="CommentText"/>
    <w:link w:val="CommentSubjectChar"/>
    <w:uiPriority w:val="99"/>
    <w:semiHidden/>
    <w:rsid w:val="004D7251"/>
    <w:rPr>
      <w:b/>
      <w:bCs/>
    </w:rPr>
  </w:style>
  <w:style w:type="character" w:customStyle="1" w:styleId="CommentSubjectChar">
    <w:name w:val="Comment Subject Char"/>
    <w:basedOn w:val="CommentTextChar"/>
    <w:link w:val="CommentSubject"/>
    <w:uiPriority w:val="99"/>
    <w:semiHidden/>
    <w:rsid w:val="004D7251"/>
    <w:rPr>
      <w:b/>
      <w:bCs/>
      <w:sz w:val="20"/>
      <w:szCs w:val="20"/>
    </w:rPr>
  </w:style>
  <w:style w:type="character" w:customStyle="1" w:styleId="Mentionnonrsolue1">
    <w:name w:val="Mention non résolue1"/>
    <w:uiPriority w:val="99"/>
    <w:semiHidden/>
    <w:unhideWhenUsed/>
    <w:rsid w:val="004D7251"/>
    <w:rPr>
      <w:color w:val="605E5C"/>
      <w:shd w:val="clear" w:color="auto" w:fill="E1DFDD"/>
    </w:rPr>
  </w:style>
  <w:style w:type="character" w:styleId="Strong">
    <w:name w:val="Strong"/>
    <w:basedOn w:val="DefaultParagraphFont"/>
    <w:uiPriority w:val="22"/>
    <w:qFormat/>
    <w:rsid w:val="004D7251"/>
    <w:rPr>
      <w:b/>
      <w:bCs/>
    </w:rPr>
  </w:style>
  <w:style w:type="paragraph" w:styleId="NormalWeb">
    <w:name w:val="Normal (Web)"/>
    <w:basedOn w:val="Normal"/>
    <w:uiPriority w:val="99"/>
    <w:unhideWhenUsed/>
    <w:rsid w:val="004D725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Paragraph">
    <w:name w:val="List Paragraph"/>
    <w:basedOn w:val="Normal"/>
    <w:uiPriority w:val="34"/>
    <w:qFormat/>
    <w:rsid w:val="004D7251"/>
    <w:pPr>
      <w:ind w:left="720"/>
      <w:contextualSpacing/>
    </w:pPr>
  </w:style>
  <w:style w:type="character" w:styleId="PlaceholderText">
    <w:name w:val="Placeholder Text"/>
    <w:basedOn w:val="DefaultParagraphFont"/>
    <w:uiPriority w:val="99"/>
    <w:semiHidden/>
    <w:rsid w:val="004D7251"/>
    <w:rPr>
      <w:color w:val="808080"/>
    </w:rPr>
  </w:style>
  <w:style w:type="paragraph" w:styleId="Bibliography">
    <w:name w:val="Bibliography"/>
    <w:basedOn w:val="Normal"/>
    <w:next w:val="Normal"/>
    <w:uiPriority w:val="37"/>
    <w:unhideWhenUsed/>
    <w:rsid w:val="004D7251"/>
    <w:pPr>
      <w:spacing w:after="0" w:line="240" w:lineRule="auto"/>
      <w:ind w:left="720" w:hanging="720"/>
    </w:pPr>
  </w:style>
  <w:style w:type="paragraph" w:styleId="Caption">
    <w:name w:val="caption"/>
    <w:basedOn w:val="Normal"/>
    <w:next w:val="Normal"/>
    <w:unhideWhenUsed/>
    <w:qFormat/>
    <w:rsid w:val="004D7251"/>
    <w:pPr>
      <w:spacing w:after="200" w:line="240" w:lineRule="auto"/>
    </w:pPr>
    <w:rPr>
      <w:iCs/>
      <w:szCs w:val="18"/>
    </w:rPr>
  </w:style>
  <w:style w:type="table" w:styleId="TableGrid">
    <w:name w:val="Table Grid"/>
    <w:basedOn w:val="TableNormal"/>
    <w:uiPriority w:val="39"/>
    <w:rsid w:val="004D7251"/>
    <w:pPr>
      <w:spacing w:after="0" w:line="240" w:lineRule="auto"/>
    </w:pPr>
    <w:rPr>
      <w:rFonts w:ascii="Times New Roman" w:eastAsia="MS Mincho"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31">
    <w:name w:val="Tableau simple 31"/>
    <w:basedOn w:val="TableNormal"/>
    <w:uiPriority w:val="43"/>
    <w:rsid w:val="004D7251"/>
    <w:pPr>
      <w:spacing w:after="0" w:line="240" w:lineRule="auto"/>
    </w:pPr>
    <w:rPr>
      <w:rFonts w:ascii="Times New Roman" w:eastAsia="MS Mincho" w:hAnsi="Times New Roman" w:cs="Times New Roman"/>
      <w:sz w:val="20"/>
      <w:szCs w:val="20"/>
      <w:lang w:eastAsia="fr-F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lang-en">
    <w:name w:val="lang-en"/>
    <w:basedOn w:val="DefaultParagraphFont"/>
    <w:rsid w:val="004D7251"/>
  </w:style>
  <w:style w:type="character" w:styleId="LineNumber">
    <w:name w:val="line number"/>
    <w:basedOn w:val="DefaultParagraphFont"/>
    <w:rsid w:val="004D7251"/>
  </w:style>
  <w:style w:type="paragraph" w:styleId="Header">
    <w:name w:val="header"/>
    <w:basedOn w:val="Normal"/>
    <w:link w:val="HeaderChar"/>
    <w:uiPriority w:val="99"/>
    <w:unhideWhenUsed/>
    <w:rsid w:val="002E2878"/>
    <w:pPr>
      <w:tabs>
        <w:tab w:val="center" w:pos="4536"/>
        <w:tab w:val="right" w:pos="9072"/>
      </w:tabs>
      <w:spacing w:after="0" w:line="240" w:lineRule="auto"/>
    </w:pPr>
  </w:style>
  <w:style w:type="character" w:customStyle="1" w:styleId="HeaderChar">
    <w:name w:val="Header Char"/>
    <w:basedOn w:val="DefaultParagraphFont"/>
    <w:link w:val="Header"/>
    <w:uiPriority w:val="99"/>
    <w:rsid w:val="002E2878"/>
  </w:style>
  <w:style w:type="paragraph" w:styleId="Footer">
    <w:name w:val="footer"/>
    <w:basedOn w:val="Normal"/>
    <w:link w:val="FooterChar"/>
    <w:uiPriority w:val="99"/>
    <w:unhideWhenUsed/>
    <w:rsid w:val="002E2878"/>
    <w:pPr>
      <w:tabs>
        <w:tab w:val="center" w:pos="4536"/>
        <w:tab w:val="right" w:pos="9072"/>
      </w:tabs>
      <w:spacing w:after="0" w:line="240" w:lineRule="auto"/>
    </w:pPr>
  </w:style>
  <w:style w:type="character" w:customStyle="1" w:styleId="FooterChar">
    <w:name w:val="Footer Char"/>
    <w:basedOn w:val="DefaultParagraphFont"/>
    <w:link w:val="Footer"/>
    <w:uiPriority w:val="99"/>
    <w:rsid w:val="002E2878"/>
  </w:style>
  <w:style w:type="character" w:styleId="UnresolvedMention">
    <w:name w:val="Unresolved Mention"/>
    <w:basedOn w:val="DefaultParagraphFont"/>
    <w:uiPriority w:val="99"/>
    <w:semiHidden/>
    <w:unhideWhenUsed/>
    <w:rsid w:val="008A5C70"/>
    <w:rPr>
      <w:color w:val="605E5C"/>
      <w:shd w:val="clear" w:color="auto" w:fill="E1DFDD"/>
    </w:rPr>
  </w:style>
  <w:style w:type="paragraph" w:styleId="Revision">
    <w:name w:val="Revision"/>
    <w:hidden/>
    <w:uiPriority w:val="99"/>
    <w:semiHidden/>
    <w:rsid w:val="001029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5039673">
      <w:bodyDiv w:val="1"/>
      <w:marLeft w:val="0"/>
      <w:marRight w:val="0"/>
      <w:marTop w:val="0"/>
      <w:marBottom w:val="0"/>
      <w:divBdr>
        <w:top w:val="none" w:sz="0" w:space="0" w:color="auto"/>
        <w:left w:val="none" w:sz="0" w:space="0" w:color="auto"/>
        <w:bottom w:val="none" w:sz="0" w:space="0" w:color="auto"/>
        <w:right w:val="none" w:sz="0" w:space="0" w:color="auto"/>
      </w:divBdr>
      <w:divsChild>
        <w:div w:id="1412240015">
          <w:marLeft w:val="0"/>
          <w:marRight w:val="0"/>
          <w:marTop w:val="0"/>
          <w:marBottom w:val="0"/>
          <w:divBdr>
            <w:top w:val="none" w:sz="0" w:space="0" w:color="auto"/>
            <w:left w:val="none" w:sz="0" w:space="0" w:color="auto"/>
            <w:bottom w:val="none" w:sz="0" w:space="0" w:color="auto"/>
            <w:right w:val="none" w:sz="0" w:space="0" w:color="auto"/>
          </w:divBdr>
        </w:div>
      </w:divsChild>
    </w:div>
    <w:div w:id="62400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glouarn/ShinyApp-binder/tree/master/shiny-blw-article1"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hyperlink" Target="https://p3f-inrae.shinyapps.io/shiny_BLW_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F6E44-368F-4D04-80D5-0FBC95EC4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2401</Words>
  <Characters>13688</Characters>
  <Application>Microsoft Office Word</Application>
  <DocSecurity>0</DocSecurity>
  <Lines>114</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Béatrice LEFEBVRE-WOLFF</dc:creator>
  <cp:lastModifiedBy>Charis Green</cp:lastModifiedBy>
  <cp:revision>4</cp:revision>
  <cp:lastPrinted>2024-07-19T15:43:00Z</cp:lastPrinted>
  <dcterms:created xsi:type="dcterms:W3CDTF">2024-07-21T05:22:00Z</dcterms:created>
  <dcterms:modified xsi:type="dcterms:W3CDTF">2024-09-10T10:14:00Z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id="BDAWazoT"/&gt;&lt;style id="http://www.zotero.org/styles/elsevier-harvard" hasBibliography="1" bibliographyStyleHasBeenSet="1"/&gt;&lt;prefs&gt;&lt;pref name="fieldType" value="Field"/&gt;&lt;/prefs&gt;&lt;/data&gt;</vt:lpwstr>
  </property>
</Properties>
</file>