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DAAE" w14:textId="7171061C" w:rsidR="00FD282E" w:rsidRDefault="004E5602" w:rsidP="004E560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Supplementary Materials</w:t>
      </w:r>
    </w:p>
    <w:p w14:paraId="3A63630C" w14:textId="77777777" w:rsidR="004E5602" w:rsidRDefault="004E5602" w:rsidP="004E560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D6D4A44" w14:textId="77777777" w:rsidR="004E5602" w:rsidRDefault="004E5602" w:rsidP="004E560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D0BD213" w14:textId="77777777" w:rsidR="004E5602" w:rsidRPr="004E5602" w:rsidRDefault="004E5602" w:rsidP="004E560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BCA9101" w14:textId="77777777" w:rsidR="004E5602" w:rsidRDefault="004E5602"/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0"/>
      </w:tblGrid>
      <w:tr w:rsidR="004E5602" w14:paraId="0FF25FA6" w14:textId="77777777" w:rsidTr="0012459D">
        <w:trPr>
          <w:trHeight w:val="3652"/>
          <w:jc w:val="center"/>
        </w:trPr>
        <w:tc>
          <w:tcPr>
            <w:tcW w:w="5982" w:type="dxa"/>
          </w:tcPr>
          <w:p w14:paraId="260E5C29" w14:textId="77777777" w:rsidR="004E5602" w:rsidRDefault="004E5602" w:rsidP="0012459D">
            <w:pPr>
              <w:keepNext/>
              <w:spacing w:before="60" w:after="60" w:line="288" w:lineRule="auto"/>
              <w:ind w:firstLine="720"/>
              <w:jc w:val="center"/>
            </w:pPr>
            <w:r>
              <w:rPr>
                <w:noProof/>
              </w:rPr>
              <w:drawing>
                <wp:inline distT="0" distB="0" distL="0" distR="0" wp14:anchorId="6185EEAA" wp14:editId="6A21D343">
                  <wp:extent cx="4667693" cy="3778516"/>
                  <wp:effectExtent l="0" t="0" r="0" b="0"/>
                  <wp:docPr id="78527719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3080" cy="3807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4C131B" w14:textId="69D82804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Ref127022415"/>
      <w:r w:rsidRPr="0066417B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SM_1</w:t>
      </w:r>
      <w:r w:rsidRPr="0066417B">
        <w:rPr>
          <w:rFonts w:asciiTheme="majorBidi" w:hAnsiTheme="majorBidi" w:cstheme="majorBidi"/>
          <w:b/>
          <w:bCs/>
          <w:sz w:val="24"/>
          <w:szCs w:val="24"/>
        </w:rPr>
        <w:t>: Total number of prescribed medications over each specialty care unit.</w:t>
      </w:r>
    </w:p>
    <w:p w14:paraId="4BC2E986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42293DA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E6A50ED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6B4F1E5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6570826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F1893CB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2A97FA0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EE677E9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7AD23B2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F7D34B6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110CB31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977D558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E29D41B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9F68CC7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92D277E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DA3729C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FE69203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C92B4F6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6"/>
        <w:gridCol w:w="4450"/>
      </w:tblGrid>
      <w:tr w:rsidR="004E5602" w14:paraId="7FD29717" w14:textId="77777777" w:rsidTr="0012459D">
        <w:trPr>
          <w:jc w:val="center"/>
        </w:trPr>
        <w:tc>
          <w:tcPr>
            <w:tcW w:w="4496" w:type="dxa"/>
          </w:tcPr>
          <w:p w14:paraId="0AD8C3E5" w14:textId="77777777" w:rsidR="004E5602" w:rsidRDefault="004E5602" w:rsidP="0012459D">
            <w:pPr>
              <w:spacing w:before="60" w:after="60" w:line="288" w:lineRule="auto"/>
              <w:ind w:firstLine="720"/>
            </w:pPr>
            <w:r>
              <w:rPr>
                <w:noProof/>
              </w:rPr>
              <w:drawing>
                <wp:inline distT="0" distB="0" distL="0" distR="0" wp14:anchorId="0F15B788" wp14:editId="2BC952EE">
                  <wp:extent cx="2896630" cy="2105297"/>
                  <wp:effectExtent l="0" t="0" r="0" b="0"/>
                  <wp:docPr id="36839568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159" cy="220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38DFE14A" w14:textId="77777777" w:rsidR="004E5602" w:rsidRDefault="004E5602" w:rsidP="0012459D">
            <w:pPr>
              <w:spacing w:before="60" w:after="60" w:line="288" w:lineRule="auto"/>
              <w:ind w:firstLine="720"/>
            </w:pPr>
            <w:r>
              <w:rPr>
                <w:noProof/>
              </w:rPr>
              <w:drawing>
                <wp:inline distT="0" distB="0" distL="0" distR="0" wp14:anchorId="4AD685CE" wp14:editId="1145548D">
                  <wp:extent cx="2803107" cy="2129814"/>
                  <wp:effectExtent l="0" t="0" r="0" b="3810"/>
                  <wp:docPr id="159083533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86" cy="214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602" w14:paraId="64778AFA" w14:textId="77777777" w:rsidTr="0012459D">
        <w:trPr>
          <w:jc w:val="center"/>
        </w:trPr>
        <w:tc>
          <w:tcPr>
            <w:tcW w:w="4496" w:type="dxa"/>
          </w:tcPr>
          <w:p w14:paraId="4CFB4AEF" w14:textId="77777777" w:rsidR="004E5602" w:rsidRDefault="004E5602" w:rsidP="0012459D">
            <w:pPr>
              <w:spacing w:before="60" w:after="60" w:line="288" w:lineRule="auto"/>
              <w:ind w:firstLine="720"/>
            </w:pPr>
            <w:r>
              <w:rPr>
                <w:noProof/>
              </w:rPr>
              <w:drawing>
                <wp:inline distT="0" distB="0" distL="0" distR="0" wp14:anchorId="548AC86F" wp14:editId="6B3826DC">
                  <wp:extent cx="2497656" cy="1896954"/>
                  <wp:effectExtent l="0" t="0" r="0" b="8255"/>
                  <wp:docPr id="156910737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860" cy="191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5F769D25" w14:textId="77777777" w:rsidR="004E5602" w:rsidRDefault="004E5602" w:rsidP="0012459D">
            <w:pPr>
              <w:keepNext/>
              <w:spacing w:before="60" w:after="60" w:line="288" w:lineRule="auto"/>
              <w:ind w:firstLine="720"/>
            </w:pPr>
            <w:r>
              <w:rPr>
                <w:noProof/>
              </w:rPr>
              <w:drawing>
                <wp:inline distT="0" distB="0" distL="0" distR="0" wp14:anchorId="6437AC46" wp14:editId="46D8D810">
                  <wp:extent cx="2365645" cy="1754967"/>
                  <wp:effectExtent l="0" t="0" r="0" b="0"/>
                  <wp:docPr id="146397557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215" cy="178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B804C" w14:textId="53D94C54" w:rsidR="004E5602" w:rsidRPr="000476FA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1" w:name="_Ref127103277"/>
      <w:r w:rsidRPr="0066417B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bookmarkEnd w:id="1"/>
      <w:r>
        <w:rPr>
          <w:rFonts w:asciiTheme="majorBidi" w:hAnsiTheme="majorBidi" w:cstheme="majorBidi"/>
          <w:b/>
          <w:bCs/>
          <w:sz w:val="24"/>
          <w:szCs w:val="24"/>
        </w:rPr>
        <w:t>SM_2</w:t>
      </w:r>
      <w:r w:rsidRPr="0066417B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</w:rPr>
        <w:t>(a) and (b) show the p</w:t>
      </w:r>
      <w:r w:rsidRPr="0066417B">
        <w:rPr>
          <w:rFonts w:asciiTheme="majorBidi" w:hAnsiTheme="majorBidi" w:cstheme="majorBidi"/>
          <w:b/>
          <w:bCs/>
          <w:sz w:val="24"/>
          <w:szCs w:val="24"/>
        </w:rPr>
        <w:t xml:space="preserve">revalence of common recorded comorbidities presented </w:t>
      </w:r>
      <w:r>
        <w:rPr>
          <w:rFonts w:asciiTheme="majorBidi" w:hAnsiTheme="majorBidi" w:cstheme="majorBidi"/>
          <w:b/>
          <w:bCs/>
          <w:sz w:val="24"/>
          <w:szCs w:val="24"/>
        </w:rPr>
        <w:t>in</w:t>
      </w:r>
      <w:r w:rsidRPr="0066417B"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different </w:t>
      </w:r>
      <w:r w:rsidRPr="00FE36E3">
        <w:rPr>
          <w:rFonts w:asciiTheme="majorBidi" w:hAnsiTheme="majorBidi" w:cstheme="majorBidi"/>
          <w:b/>
          <w:bCs/>
          <w:sz w:val="24"/>
          <w:szCs w:val="24"/>
        </w:rPr>
        <w:t xml:space="preserve">specialty </w:t>
      </w:r>
      <w:r w:rsidRPr="0066417B">
        <w:rPr>
          <w:rFonts w:asciiTheme="majorBidi" w:hAnsiTheme="majorBidi" w:cstheme="majorBidi"/>
          <w:b/>
          <w:bCs/>
          <w:sz w:val="24"/>
          <w:szCs w:val="24"/>
        </w:rPr>
        <w:t>care unit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66417B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>(c) and (d) show t</w:t>
      </w:r>
      <w:r w:rsidRPr="00FE36E3">
        <w:rPr>
          <w:rFonts w:asciiTheme="majorBidi" w:hAnsiTheme="majorBidi" w:cstheme="majorBidi"/>
          <w:b/>
          <w:bCs/>
          <w:sz w:val="24"/>
          <w:szCs w:val="24"/>
        </w:rPr>
        <w:t>he most commonly prescribed medication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E36E3">
        <w:rPr>
          <w:rFonts w:asciiTheme="majorBidi" w:hAnsiTheme="majorBidi" w:cstheme="majorBidi"/>
          <w:b/>
          <w:bCs/>
          <w:sz w:val="24"/>
          <w:szCs w:val="24"/>
        </w:rPr>
        <w:t>classes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in the different </w:t>
      </w:r>
      <w:r w:rsidRPr="00FE36E3">
        <w:rPr>
          <w:rFonts w:asciiTheme="majorBidi" w:hAnsiTheme="majorBidi" w:cstheme="majorBidi"/>
          <w:b/>
          <w:bCs/>
          <w:sz w:val="24"/>
          <w:szCs w:val="24"/>
        </w:rPr>
        <w:t xml:space="preserve">specialty </w:t>
      </w:r>
      <w:r w:rsidRPr="00BD4944">
        <w:rPr>
          <w:rFonts w:asciiTheme="majorBidi" w:hAnsiTheme="majorBidi" w:cstheme="majorBidi"/>
          <w:b/>
          <w:bCs/>
          <w:sz w:val="24"/>
          <w:szCs w:val="24"/>
        </w:rPr>
        <w:t>care unit</w:t>
      </w:r>
      <w:r>
        <w:rPr>
          <w:rFonts w:asciiTheme="majorBidi" w:hAnsiTheme="majorBidi" w:cstheme="majorBidi"/>
          <w:b/>
          <w:bCs/>
          <w:sz w:val="24"/>
          <w:szCs w:val="24"/>
        </w:rPr>
        <w:t>s.</w:t>
      </w:r>
      <w:r w:rsidRPr="00FE36E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6417B">
        <w:rPr>
          <w:rFonts w:asciiTheme="majorBidi" w:hAnsiTheme="majorBidi" w:cstheme="majorBidi"/>
          <w:b/>
          <w:bCs/>
        </w:rPr>
        <w:t>Data presents the percentage value of the referenced group</w:t>
      </w:r>
      <w:r>
        <w:rPr>
          <w:rFonts w:asciiTheme="majorBidi" w:hAnsiTheme="majorBidi" w:cstheme="majorBidi"/>
          <w:b/>
          <w:bCs/>
        </w:rPr>
        <w:t>.</w:t>
      </w:r>
    </w:p>
    <w:p w14:paraId="39C66335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D4F6EB7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C392CE4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B1250C2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CA674E4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150BA83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0D45BA5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7FC0FFC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D8AEED7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A2319B6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8CBEE6A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3881803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C6A97F7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DA6C5CD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DB0CE28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7BFFA9C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52C0A8A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87D8D65" w14:textId="77777777" w:rsidR="004E5602" w:rsidRDefault="004E5602" w:rsidP="004E5602">
      <w:pPr>
        <w:spacing w:before="60" w:after="60" w:line="288" w:lineRule="auto"/>
        <w:ind w:firstLine="720"/>
        <w:jc w:val="both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5"/>
        <w:gridCol w:w="4511"/>
      </w:tblGrid>
      <w:tr w:rsidR="004E5602" w14:paraId="7A4C871C" w14:textId="77777777" w:rsidTr="0012459D">
        <w:trPr>
          <w:jc w:val="center"/>
        </w:trPr>
        <w:tc>
          <w:tcPr>
            <w:tcW w:w="4814" w:type="dxa"/>
          </w:tcPr>
          <w:p w14:paraId="43A63AB3" w14:textId="77777777" w:rsidR="004E5602" w:rsidRDefault="004E5602" w:rsidP="0012459D">
            <w:pPr>
              <w:spacing w:before="60" w:after="60" w:line="288" w:lineRule="auto"/>
              <w:ind w:firstLine="720"/>
              <w:jc w:val="center"/>
            </w:pPr>
            <w:r>
              <w:rPr>
                <w:noProof/>
              </w:rPr>
              <w:drawing>
                <wp:inline distT="0" distB="0" distL="0" distR="0" wp14:anchorId="7B9D7588" wp14:editId="534ECE18">
                  <wp:extent cx="2618509" cy="1987112"/>
                  <wp:effectExtent l="0" t="0" r="0" b="0"/>
                  <wp:docPr id="207911432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73" cy="202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5B26CB27" w14:textId="77777777" w:rsidR="004E5602" w:rsidRDefault="004E5602" w:rsidP="0012459D">
            <w:pPr>
              <w:spacing w:before="60" w:after="60" w:line="288" w:lineRule="auto"/>
              <w:ind w:firstLine="720"/>
              <w:jc w:val="center"/>
            </w:pPr>
            <w:r>
              <w:rPr>
                <w:noProof/>
              </w:rPr>
              <w:drawing>
                <wp:inline distT="0" distB="0" distL="0" distR="0" wp14:anchorId="01D201D6" wp14:editId="7A2E0A51">
                  <wp:extent cx="2598124" cy="1877291"/>
                  <wp:effectExtent l="0" t="0" r="0" b="8890"/>
                  <wp:docPr id="199331204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693" cy="190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602" w14:paraId="7B8E4C53" w14:textId="77777777" w:rsidTr="0012459D">
        <w:trPr>
          <w:jc w:val="center"/>
        </w:trPr>
        <w:tc>
          <w:tcPr>
            <w:tcW w:w="4814" w:type="dxa"/>
          </w:tcPr>
          <w:p w14:paraId="64E8253F" w14:textId="77777777" w:rsidR="004E5602" w:rsidRDefault="004E5602" w:rsidP="0012459D">
            <w:pPr>
              <w:spacing w:before="60" w:after="60" w:line="288" w:lineRule="auto"/>
              <w:ind w:firstLine="720"/>
              <w:jc w:val="both"/>
            </w:pPr>
            <w:r>
              <w:rPr>
                <w:noProof/>
              </w:rPr>
              <w:drawing>
                <wp:inline distT="0" distB="0" distL="0" distR="0" wp14:anchorId="57A6AAF9" wp14:editId="2FF9FB95">
                  <wp:extent cx="2590338" cy="1967345"/>
                  <wp:effectExtent l="0" t="0" r="635" b="0"/>
                  <wp:docPr id="6493075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618" cy="199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38E9C744" w14:textId="77777777" w:rsidR="004E5602" w:rsidRDefault="004E5602" w:rsidP="0012459D">
            <w:pPr>
              <w:keepNext/>
              <w:spacing w:before="60" w:after="60" w:line="288" w:lineRule="auto"/>
              <w:ind w:firstLine="720"/>
              <w:jc w:val="both"/>
            </w:pPr>
            <w:r>
              <w:rPr>
                <w:noProof/>
              </w:rPr>
              <w:drawing>
                <wp:inline distT="0" distB="0" distL="0" distR="0" wp14:anchorId="243556E7" wp14:editId="2D53923E">
                  <wp:extent cx="2614941" cy="1939636"/>
                  <wp:effectExtent l="0" t="0" r="0" b="3810"/>
                  <wp:docPr id="12882669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298" cy="1964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12F714" w14:textId="679B0B5B" w:rsidR="004E5602" w:rsidRP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2" w:name="_Ref127524656"/>
      <w:r w:rsidRPr="004E5602">
        <w:rPr>
          <w:rFonts w:asciiTheme="majorBidi" w:hAnsiTheme="majorBidi" w:cstheme="majorBidi"/>
          <w:b/>
          <w:bCs/>
          <w:sz w:val="24"/>
          <w:szCs w:val="24"/>
        </w:rPr>
        <w:t>Figure</w:t>
      </w:r>
      <w:bookmarkEnd w:id="2"/>
      <w:r>
        <w:rPr>
          <w:rFonts w:asciiTheme="majorBidi" w:hAnsiTheme="majorBidi" w:cstheme="majorBidi"/>
          <w:b/>
          <w:bCs/>
          <w:sz w:val="24"/>
          <w:szCs w:val="24"/>
        </w:rPr>
        <w:t xml:space="preserve"> SM_3</w:t>
      </w:r>
      <w:r w:rsidRPr="004E5602">
        <w:rPr>
          <w:rFonts w:asciiTheme="majorBidi" w:hAnsiTheme="majorBidi" w:cstheme="majorBidi"/>
          <w:b/>
          <w:bCs/>
          <w:sz w:val="24"/>
          <w:szCs w:val="24"/>
        </w:rPr>
        <w:t xml:space="preserve">: Common recorded medications prescribing prevalence based on each clinic specialty. </w:t>
      </w:r>
      <w:r w:rsidRPr="004E5602">
        <w:rPr>
          <w:rFonts w:asciiTheme="majorBidi" w:hAnsiTheme="majorBidi" w:cstheme="majorBidi"/>
          <w:b/>
          <w:bCs/>
        </w:rPr>
        <w:t>Data presents percentage value of the referenced group. NSAIDs = Non-Steroidal Anti-Inflammatory Drugs, CCBs = Calcium Channel Blockers, ACEIs = Angiotensin Converting Enzyme Inhibitors.</w:t>
      </w:r>
    </w:p>
    <w:p w14:paraId="44D4F310" w14:textId="77777777" w:rsidR="004E5602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AE608BF" w14:textId="77777777" w:rsidR="00466D59" w:rsidRDefault="00466D59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7007507" w14:textId="77777777" w:rsidR="00466D59" w:rsidRDefault="00466D59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BB35E32" w14:textId="77777777" w:rsidR="00466D59" w:rsidRDefault="00466D59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196E23F" w14:textId="77777777" w:rsidR="00466D59" w:rsidRDefault="00466D59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3F0C0D8" w14:textId="77777777" w:rsidR="00466D59" w:rsidRDefault="00466D59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5FC7266" w14:textId="2D1783F5" w:rsidR="00466D59" w:rsidRPr="004022A5" w:rsidRDefault="00466D59" w:rsidP="00466D59">
      <w:pPr>
        <w:keepNext/>
        <w:spacing w:before="60" w:after="60" w:line="276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3" w:name="_Ref127023275"/>
      <w:r w:rsidRPr="004022A5">
        <w:rPr>
          <w:rFonts w:asciiTheme="majorBidi" w:hAnsiTheme="majorBidi" w:cstheme="majorBidi"/>
          <w:sz w:val="24"/>
          <w:szCs w:val="24"/>
        </w:rPr>
        <w:lastRenderedPageBreak/>
        <w:t>Table</w:t>
      </w:r>
      <w:bookmarkEnd w:id="3"/>
      <w:r>
        <w:rPr>
          <w:rFonts w:asciiTheme="majorBidi" w:hAnsiTheme="majorBidi" w:cstheme="majorBidi"/>
          <w:sz w:val="24"/>
          <w:szCs w:val="24"/>
        </w:rPr>
        <w:t xml:space="preserve"> SM_1</w:t>
      </w:r>
      <w:r w:rsidRPr="004022A5">
        <w:rPr>
          <w:rFonts w:asciiTheme="majorBidi" w:hAnsiTheme="majorBidi" w:cstheme="majorBidi"/>
          <w:sz w:val="24"/>
          <w:szCs w:val="24"/>
        </w:rPr>
        <w:t>: Common recorded morbidities among the cohort classified based on age group.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22A5">
        <w:rPr>
          <w:rFonts w:asciiTheme="majorBidi" w:hAnsiTheme="majorBidi" w:cstheme="majorBidi"/>
        </w:rPr>
        <w:t>GORD</w:t>
      </w:r>
      <w:r>
        <w:rPr>
          <w:rFonts w:asciiTheme="majorBidi" w:hAnsiTheme="majorBidi" w:cstheme="majorBidi"/>
        </w:rPr>
        <w:t> </w:t>
      </w:r>
      <w:r w:rsidRPr="004022A5">
        <w:rPr>
          <w:rFonts w:asciiTheme="majorBidi" w:hAnsiTheme="majorBidi" w:cstheme="majorBidi"/>
        </w:rPr>
        <w:t>=</w:t>
      </w:r>
      <w:r>
        <w:rPr>
          <w:rFonts w:asciiTheme="majorBidi" w:hAnsiTheme="majorBidi" w:cstheme="majorBidi"/>
        </w:rPr>
        <w:t> </w:t>
      </w:r>
      <w:r w:rsidRPr="004022A5">
        <w:rPr>
          <w:rFonts w:asciiTheme="majorBidi" w:hAnsiTheme="majorBidi" w:cstheme="majorBidi"/>
        </w:rPr>
        <w:t>Gastroesophageal reflux disease</w:t>
      </w:r>
    </w:p>
    <w:tbl>
      <w:tblPr>
        <w:tblW w:w="93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1985"/>
        <w:gridCol w:w="1984"/>
        <w:gridCol w:w="1134"/>
        <w:gridCol w:w="1276"/>
      </w:tblGrid>
      <w:tr w:rsidR="00466D59" w:rsidRPr="00DE0455" w14:paraId="51CFF42D" w14:textId="77777777" w:rsidTr="0012459D">
        <w:trPr>
          <w:trHeight w:val="312"/>
          <w:jc w:val="center"/>
        </w:trPr>
        <w:tc>
          <w:tcPr>
            <w:tcW w:w="2977" w:type="dxa"/>
            <w:vMerge w:val="restart"/>
            <w:noWrap/>
            <w:vAlign w:val="center"/>
            <w:hideMark/>
          </w:tcPr>
          <w:p w14:paraId="60BD858D" w14:textId="77777777" w:rsidR="00466D59" w:rsidRPr="00445582" w:rsidRDefault="00466D59" w:rsidP="0012459D">
            <w:pPr>
              <w:rPr>
                <w:rFonts w:asciiTheme="majorBidi" w:eastAsia="Times New Roman" w:hAnsiTheme="majorBid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/>
                <w:sz w:val="20"/>
                <w:szCs w:val="20"/>
                <w:lang w:eastAsia="en-AU"/>
              </w:rPr>
              <w:t>Comorbidity</w:t>
            </w:r>
          </w:p>
        </w:tc>
        <w:tc>
          <w:tcPr>
            <w:tcW w:w="1985" w:type="dxa"/>
            <w:noWrap/>
            <w:vAlign w:val="center"/>
            <w:hideMark/>
          </w:tcPr>
          <w:p w14:paraId="61B94B89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Total Patients</w:t>
            </w:r>
          </w:p>
        </w:tc>
        <w:tc>
          <w:tcPr>
            <w:tcW w:w="1984" w:type="dxa"/>
            <w:vAlign w:val="center"/>
          </w:tcPr>
          <w:p w14:paraId="1C93B464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Middle-aged Adults</w:t>
            </w:r>
          </w:p>
        </w:tc>
        <w:tc>
          <w:tcPr>
            <w:tcW w:w="1134" w:type="dxa"/>
            <w:noWrap/>
            <w:vAlign w:val="center"/>
            <w:hideMark/>
          </w:tcPr>
          <w:p w14:paraId="697C3033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Older Adults</w:t>
            </w:r>
          </w:p>
        </w:tc>
        <w:tc>
          <w:tcPr>
            <w:tcW w:w="1276" w:type="dxa"/>
            <w:vMerge w:val="restart"/>
            <w:vAlign w:val="center"/>
          </w:tcPr>
          <w:p w14:paraId="5C52067E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226FCA">
              <w:rPr>
                <w:rFonts w:asciiTheme="majorBidi" w:hAnsiTheme="majorBidi"/>
                <w:i/>
                <w:iCs/>
                <w:sz w:val="20"/>
                <w:szCs w:val="20"/>
              </w:rPr>
              <w:t>P</w:t>
            </w:r>
            <w:r w:rsidRPr="00E354B7">
              <w:rPr>
                <w:rFonts w:asciiTheme="majorBidi" w:hAnsiTheme="majorBidi"/>
                <w:sz w:val="20"/>
                <w:szCs w:val="20"/>
              </w:rPr>
              <w:t>-value</w:t>
            </w:r>
          </w:p>
        </w:tc>
      </w:tr>
      <w:tr w:rsidR="00466D59" w:rsidRPr="00DE0455" w14:paraId="5BEF3E6E" w14:textId="77777777" w:rsidTr="0012459D">
        <w:trPr>
          <w:trHeight w:val="312"/>
          <w:jc w:val="center"/>
        </w:trPr>
        <w:tc>
          <w:tcPr>
            <w:tcW w:w="2977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31D74B79" w14:textId="77777777" w:rsidR="00466D59" w:rsidRPr="00445582" w:rsidRDefault="00466D59" w:rsidP="0012459D">
            <w:pPr>
              <w:rPr>
                <w:rFonts w:asciiTheme="majorBidi" w:eastAsia="Times New Roman" w:hAnsiTheme="majorBidi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vAlign w:val="center"/>
            <w:hideMark/>
          </w:tcPr>
          <w:p w14:paraId="2B7734BA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n = 14081</w:t>
            </w:r>
          </w:p>
        </w:tc>
        <w:tc>
          <w:tcPr>
            <w:tcW w:w="1984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14:paraId="172EA042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n = 9722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vAlign w:val="center"/>
            <w:hideMark/>
          </w:tcPr>
          <w:p w14:paraId="72C6D1E6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n = 4359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506F6129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AU"/>
              </w:rPr>
            </w:pPr>
          </w:p>
        </w:tc>
      </w:tr>
      <w:tr w:rsidR="00466D59" w:rsidRPr="00DE0455" w14:paraId="2E4FA32B" w14:textId="77777777" w:rsidTr="0012459D">
        <w:trPr>
          <w:trHeight w:val="312"/>
          <w:jc w:val="center"/>
        </w:trPr>
        <w:tc>
          <w:tcPr>
            <w:tcW w:w="297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43AE851" w14:textId="77777777" w:rsidR="00466D59" w:rsidRPr="00445582" w:rsidRDefault="00466D59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Osteoarthritis, n (%)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2EF238C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5262 (37)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B338D93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3793 (40)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3CB0077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1469 (34)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DDDBAAF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466D59" w:rsidRPr="00DE0455" w14:paraId="63A3CAF6" w14:textId="77777777" w:rsidTr="0012459D">
        <w:trPr>
          <w:trHeight w:val="312"/>
          <w:jc w:val="center"/>
        </w:trPr>
        <w:tc>
          <w:tcPr>
            <w:tcW w:w="2977" w:type="dxa"/>
            <w:noWrap/>
            <w:vAlign w:val="center"/>
            <w:hideMark/>
          </w:tcPr>
          <w:p w14:paraId="4033690F" w14:textId="77777777" w:rsidR="00466D59" w:rsidRPr="00445582" w:rsidRDefault="00466D59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Ischemic heart disease, n (%)</w:t>
            </w:r>
          </w:p>
        </w:tc>
        <w:tc>
          <w:tcPr>
            <w:tcW w:w="1985" w:type="dxa"/>
            <w:noWrap/>
            <w:vAlign w:val="center"/>
            <w:hideMark/>
          </w:tcPr>
          <w:p w14:paraId="0F524662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4783 (34)</w:t>
            </w:r>
          </w:p>
        </w:tc>
        <w:tc>
          <w:tcPr>
            <w:tcW w:w="1984" w:type="dxa"/>
            <w:vAlign w:val="center"/>
          </w:tcPr>
          <w:p w14:paraId="6262E096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2543 (26)</w:t>
            </w:r>
          </w:p>
        </w:tc>
        <w:tc>
          <w:tcPr>
            <w:tcW w:w="1134" w:type="dxa"/>
            <w:noWrap/>
            <w:vAlign w:val="center"/>
            <w:hideMark/>
          </w:tcPr>
          <w:p w14:paraId="064EC32C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2240 (51)</w:t>
            </w:r>
          </w:p>
        </w:tc>
        <w:tc>
          <w:tcPr>
            <w:tcW w:w="1276" w:type="dxa"/>
            <w:noWrap/>
            <w:vAlign w:val="center"/>
            <w:hideMark/>
          </w:tcPr>
          <w:p w14:paraId="16A218F2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466D59" w:rsidRPr="00DE0455" w14:paraId="2218A1DB" w14:textId="77777777" w:rsidTr="0012459D">
        <w:trPr>
          <w:trHeight w:val="312"/>
          <w:jc w:val="center"/>
        </w:trPr>
        <w:tc>
          <w:tcPr>
            <w:tcW w:w="2977" w:type="dxa"/>
            <w:noWrap/>
            <w:vAlign w:val="center"/>
            <w:hideMark/>
          </w:tcPr>
          <w:p w14:paraId="1DAE3169" w14:textId="77777777" w:rsidR="00466D59" w:rsidRPr="00445582" w:rsidRDefault="00466D59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Osteoporosis, n (%)</w:t>
            </w:r>
          </w:p>
        </w:tc>
        <w:tc>
          <w:tcPr>
            <w:tcW w:w="1985" w:type="dxa"/>
            <w:noWrap/>
            <w:vAlign w:val="center"/>
            <w:hideMark/>
          </w:tcPr>
          <w:p w14:paraId="3EAA4E27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4616 (33)</w:t>
            </w:r>
          </w:p>
        </w:tc>
        <w:tc>
          <w:tcPr>
            <w:tcW w:w="1984" w:type="dxa"/>
            <w:vAlign w:val="center"/>
          </w:tcPr>
          <w:p w14:paraId="2685132C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3225 (33)</w:t>
            </w:r>
          </w:p>
        </w:tc>
        <w:tc>
          <w:tcPr>
            <w:tcW w:w="1134" w:type="dxa"/>
            <w:noWrap/>
            <w:vAlign w:val="center"/>
            <w:hideMark/>
          </w:tcPr>
          <w:p w14:paraId="5A3D5321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1391 (32)</w:t>
            </w:r>
          </w:p>
        </w:tc>
        <w:tc>
          <w:tcPr>
            <w:tcW w:w="1276" w:type="dxa"/>
            <w:noWrap/>
            <w:vAlign w:val="center"/>
            <w:hideMark/>
          </w:tcPr>
          <w:p w14:paraId="7DAAF226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466D59" w:rsidRPr="00DE0455" w14:paraId="6CBEB364" w14:textId="77777777" w:rsidTr="0012459D">
        <w:trPr>
          <w:trHeight w:val="312"/>
          <w:jc w:val="center"/>
        </w:trPr>
        <w:tc>
          <w:tcPr>
            <w:tcW w:w="2977" w:type="dxa"/>
            <w:noWrap/>
            <w:vAlign w:val="center"/>
            <w:hideMark/>
          </w:tcPr>
          <w:p w14:paraId="26060063" w14:textId="77777777" w:rsidR="00466D59" w:rsidRPr="00445582" w:rsidRDefault="00466D59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Hypertension, n (%)</w:t>
            </w:r>
          </w:p>
        </w:tc>
        <w:tc>
          <w:tcPr>
            <w:tcW w:w="1985" w:type="dxa"/>
            <w:noWrap/>
            <w:vAlign w:val="center"/>
            <w:hideMark/>
          </w:tcPr>
          <w:p w14:paraId="4F49A7C9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4279 (30)</w:t>
            </w:r>
          </w:p>
        </w:tc>
        <w:tc>
          <w:tcPr>
            <w:tcW w:w="1984" w:type="dxa"/>
            <w:vAlign w:val="center"/>
          </w:tcPr>
          <w:p w14:paraId="57B6B158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2233 (23)</w:t>
            </w:r>
          </w:p>
        </w:tc>
        <w:tc>
          <w:tcPr>
            <w:tcW w:w="1134" w:type="dxa"/>
            <w:noWrap/>
            <w:vAlign w:val="center"/>
            <w:hideMark/>
          </w:tcPr>
          <w:p w14:paraId="16BE6951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2046 (47)</w:t>
            </w:r>
          </w:p>
        </w:tc>
        <w:tc>
          <w:tcPr>
            <w:tcW w:w="1276" w:type="dxa"/>
            <w:noWrap/>
            <w:vAlign w:val="center"/>
            <w:hideMark/>
          </w:tcPr>
          <w:p w14:paraId="21DB14EE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466D59" w:rsidRPr="00DE0455" w14:paraId="1F83E43F" w14:textId="77777777" w:rsidTr="0012459D">
        <w:trPr>
          <w:trHeight w:val="312"/>
          <w:jc w:val="center"/>
        </w:trPr>
        <w:tc>
          <w:tcPr>
            <w:tcW w:w="2977" w:type="dxa"/>
            <w:noWrap/>
            <w:vAlign w:val="center"/>
            <w:hideMark/>
          </w:tcPr>
          <w:p w14:paraId="6AF507B9" w14:textId="77777777" w:rsidR="00466D59" w:rsidRPr="00445582" w:rsidRDefault="00466D59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GORD, n (%)</w:t>
            </w:r>
          </w:p>
        </w:tc>
        <w:tc>
          <w:tcPr>
            <w:tcW w:w="1985" w:type="dxa"/>
            <w:noWrap/>
            <w:vAlign w:val="center"/>
            <w:hideMark/>
          </w:tcPr>
          <w:p w14:paraId="553642E9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4209 (30)</w:t>
            </w:r>
          </w:p>
        </w:tc>
        <w:tc>
          <w:tcPr>
            <w:tcW w:w="1984" w:type="dxa"/>
            <w:vAlign w:val="center"/>
          </w:tcPr>
          <w:p w14:paraId="1DB1C47B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2568 (26)</w:t>
            </w:r>
          </w:p>
        </w:tc>
        <w:tc>
          <w:tcPr>
            <w:tcW w:w="1134" w:type="dxa"/>
            <w:noWrap/>
            <w:vAlign w:val="center"/>
            <w:hideMark/>
          </w:tcPr>
          <w:p w14:paraId="47CB625F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1641 (38)</w:t>
            </w:r>
          </w:p>
        </w:tc>
        <w:tc>
          <w:tcPr>
            <w:tcW w:w="1276" w:type="dxa"/>
            <w:noWrap/>
            <w:vAlign w:val="center"/>
            <w:hideMark/>
          </w:tcPr>
          <w:p w14:paraId="6089BF7C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466D59" w:rsidRPr="00DE0455" w14:paraId="024C4726" w14:textId="77777777" w:rsidTr="0012459D">
        <w:trPr>
          <w:trHeight w:val="312"/>
          <w:jc w:val="center"/>
        </w:trPr>
        <w:tc>
          <w:tcPr>
            <w:tcW w:w="2977" w:type="dxa"/>
            <w:noWrap/>
            <w:vAlign w:val="center"/>
            <w:hideMark/>
          </w:tcPr>
          <w:p w14:paraId="21D80374" w14:textId="77777777" w:rsidR="00466D59" w:rsidRPr="00445582" w:rsidRDefault="00466D59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Hyperlipidaemia, n (%)</w:t>
            </w:r>
          </w:p>
        </w:tc>
        <w:tc>
          <w:tcPr>
            <w:tcW w:w="1985" w:type="dxa"/>
            <w:noWrap/>
            <w:vAlign w:val="center"/>
            <w:hideMark/>
          </w:tcPr>
          <w:p w14:paraId="77094650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3738 (27)</w:t>
            </w:r>
          </w:p>
        </w:tc>
        <w:tc>
          <w:tcPr>
            <w:tcW w:w="1984" w:type="dxa"/>
            <w:vAlign w:val="center"/>
          </w:tcPr>
          <w:p w14:paraId="39DB6EB6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1877 (19)</w:t>
            </w:r>
          </w:p>
        </w:tc>
        <w:tc>
          <w:tcPr>
            <w:tcW w:w="1134" w:type="dxa"/>
            <w:noWrap/>
            <w:vAlign w:val="center"/>
            <w:hideMark/>
          </w:tcPr>
          <w:p w14:paraId="32331B81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1861 (43)</w:t>
            </w:r>
          </w:p>
        </w:tc>
        <w:tc>
          <w:tcPr>
            <w:tcW w:w="1276" w:type="dxa"/>
            <w:noWrap/>
            <w:vAlign w:val="center"/>
            <w:hideMark/>
          </w:tcPr>
          <w:p w14:paraId="6DB2E01A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466D59" w:rsidRPr="00DE0455" w14:paraId="2FA429B4" w14:textId="77777777" w:rsidTr="0012459D">
        <w:trPr>
          <w:trHeight w:val="312"/>
          <w:jc w:val="center"/>
        </w:trPr>
        <w:tc>
          <w:tcPr>
            <w:tcW w:w="2977" w:type="dxa"/>
            <w:noWrap/>
            <w:vAlign w:val="center"/>
            <w:hideMark/>
          </w:tcPr>
          <w:p w14:paraId="43524077" w14:textId="77777777" w:rsidR="00466D59" w:rsidRPr="00445582" w:rsidRDefault="00466D59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Anaemia, n (%)</w:t>
            </w:r>
          </w:p>
        </w:tc>
        <w:tc>
          <w:tcPr>
            <w:tcW w:w="1985" w:type="dxa"/>
            <w:noWrap/>
            <w:vAlign w:val="center"/>
            <w:hideMark/>
          </w:tcPr>
          <w:p w14:paraId="457FEFE5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3726 (27)</w:t>
            </w:r>
          </w:p>
        </w:tc>
        <w:tc>
          <w:tcPr>
            <w:tcW w:w="1984" w:type="dxa"/>
            <w:vAlign w:val="center"/>
          </w:tcPr>
          <w:p w14:paraId="58230CCA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2649 (27)</w:t>
            </w:r>
          </w:p>
        </w:tc>
        <w:tc>
          <w:tcPr>
            <w:tcW w:w="1134" w:type="dxa"/>
            <w:noWrap/>
            <w:vAlign w:val="center"/>
            <w:hideMark/>
          </w:tcPr>
          <w:p w14:paraId="53AE911A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1077 (25)</w:t>
            </w:r>
          </w:p>
        </w:tc>
        <w:tc>
          <w:tcPr>
            <w:tcW w:w="1276" w:type="dxa"/>
            <w:noWrap/>
            <w:vAlign w:val="center"/>
            <w:hideMark/>
          </w:tcPr>
          <w:p w14:paraId="6B01659D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0.002</w:t>
            </w:r>
          </w:p>
        </w:tc>
      </w:tr>
      <w:tr w:rsidR="00466D59" w:rsidRPr="00DE0455" w14:paraId="16EBBB39" w14:textId="77777777" w:rsidTr="0012459D">
        <w:trPr>
          <w:trHeight w:val="312"/>
          <w:jc w:val="center"/>
        </w:trPr>
        <w:tc>
          <w:tcPr>
            <w:tcW w:w="2977" w:type="dxa"/>
            <w:noWrap/>
            <w:vAlign w:val="center"/>
            <w:hideMark/>
          </w:tcPr>
          <w:p w14:paraId="47E0A6FF" w14:textId="77777777" w:rsidR="00466D59" w:rsidRPr="00445582" w:rsidRDefault="00466D59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Heart failure, n (%)</w:t>
            </w:r>
          </w:p>
        </w:tc>
        <w:tc>
          <w:tcPr>
            <w:tcW w:w="1985" w:type="dxa"/>
            <w:noWrap/>
            <w:vAlign w:val="center"/>
            <w:hideMark/>
          </w:tcPr>
          <w:p w14:paraId="10735EDB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3549 (25)</w:t>
            </w:r>
          </w:p>
        </w:tc>
        <w:tc>
          <w:tcPr>
            <w:tcW w:w="1984" w:type="dxa"/>
            <w:vAlign w:val="center"/>
          </w:tcPr>
          <w:p w14:paraId="350A9F59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1912 (19)</w:t>
            </w:r>
          </w:p>
        </w:tc>
        <w:tc>
          <w:tcPr>
            <w:tcW w:w="1134" w:type="dxa"/>
            <w:noWrap/>
            <w:vAlign w:val="center"/>
            <w:hideMark/>
          </w:tcPr>
          <w:p w14:paraId="738FDE1D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1737 (40)</w:t>
            </w:r>
          </w:p>
        </w:tc>
        <w:tc>
          <w:tcPr>
            <w:tcW w:w="1276" w:type="dxa"/>
            <w:noWrap/>
            <w:vAlign w:val="center"/>
            <w:hideMark/>
          </w:tcPr>
          <w:p w14:paraId="7148F4FE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466D59" w:rsidRPr="00DE0455" w14:paraId="749458B5" w14:textId="77777777" w:rsidTr="0012459D">
        <w:trPr>
          <w:trHeight w:val="312"/>
          <w:jc w:val="center"/>
        </w:trPr>
        <w:tc>
          <w:tcPr>
            <w:tcW w:w="2977" w:type="dxa"/>
            <w:noWrap/>
            <w:vAlign w:val="center"/>
            <w:hideMark/>
          </w:tcPr>
          <w:p w14:paraId="6C7A326D" w14:textId="77777777" w:rsidR="00466D59" w:rsidRPr="00445582" w:rsidRDefault="00466D59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Diabetes mellitus, n (%)</w:t>
            </w:r>
          </w:p>
        </w:tc>
        <w:tc>
          <w:tcPr>
            <w:tcW w:w="1985" w:type="dxa"/>
            <w:noWrap/>
            <w:vAlign w:val="center"/>
            <w:hideMark/>
          </w:tcPr>
          <w:p w14:paraId="26ED6CB2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2993 (21)</w:t>
            </w:r>
          </w:p>
        </w:tc>
        <w:tc>
          <w:tcPr>
            <w:tcW w:w="1984" w:type="dxa"/>
            <w:vAlign w:val="center"/>
          </w:tcPr>
          <w:p w14:paraId="7D6FAE1F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1578 (16)</w:t>
            </w:r>
          </w:p>
        </w:tc>
        <w:tc>
          <w:tcPr>
            <w:tcW w:w="1134" w:type="dxa"/>
            <w:noWrap/>
            <w:vAlign w:val="center"/>
            <w:hideMark/>
          </w:tcPr>
          <w:p w14:paraId="4077C3B6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1415 (33)</w:t>
            </w:r>
          </w:p>
        </w:tc>
        <w:tc>
          <w:tcPr>
            <w:tcW w:w="1276" w:type="dxa"/>
            <w:noWrap/>
            <w:vAlign w:val="center"/>
            <w:hideMark/>
          </w:tcPr>
          <w:p w14:paraId="4D9BFF0C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466D59" w:rsidRPr="00DE0455" w14:paraId="44FB25C5" w14:textId="77777777" w:rsidTr="0012459D">
        <w:trPr>
          <w:trHeight w:val="312"/>
          <w:jc w:val="center"/>
        </w:trPr>
        <w:tc>
          <w:tcPr>
            <w:tcW w:w="2977" w:type="dxa"/>
            <w:noWrap/>
            <w:vAlign w:val="center"/>
            <w:hideMark/>
          </w:tcPr>
          <w:p w14:paraId="7A1C006D" w14:textId="77777777" w:rsidR="00466D59" w:rsidRPr="00445582" w:rsidRDefault="00466D59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Rheumatoid arthritis, n (%)</w:t>
            </w:r>
          </w:p>
        </w:tc>
        <w:tc>
          <w:tcPr>
            <w:tcW w:w="1985" w:type="dxa"/>
            <w:noWrap/>
            <w:vAlign w:val="center"/>
            <w:hideMark/>
          </w:tcPr>
          <w:p w14:paraId="1F494C5C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2970 (21)</w:t>
            </w:r>
          </w:p>
        </w:tc>
        <w:tc>
          <w:tcPr>
            <w:tcW w:w="1984" w:type="dxa"/>
            <w:vAlign w:val="center"/>
          </w:tcPr>
          <w:p w14:paraId="5A033B83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2312 (24)</w:t>
            </w:r>
          </w:p>
        </w:tc>
        <w:tc>
          <w:tcPr>
            <w:tcW w:w="1134" w:type="dxa"/>
            <w:noWrap/>
            <w:vAlign w:val="center"/>
            <w:hideMark/>
          </w:tcPr>
          <w:p w14:paraId="490F057A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658 (15)</w:t>
            </w:r>
          </w:p>
        </w:tc>
        <w:tc>
          <w:tcPr>
            <w:tcW w:w="1276" w:type="dxa"/>
            <w:noWrap/>
            <w:vAlign w:val="center"/>
            <w:hideMark/>
          </w:tcPr>
          <w:p w14:paraId="605200F2" w14:textId="77777777" w:rsidR="00466D59" w:rsidRPr="00445582" w:rsidRDefault="00466D59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44558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</w:tbl>
    <w:p w14:paraId="71E4D8F2" w14:textId="77777777" w:rsidR="00466D59" w:rsidRDefault="00466D59" w:rsidP="00466D59"/>
    <w:p w14:paraId="394F36BC" w14:textId="68505CB3" w:rsidR="00E439CD" w:rsidRPr="001A7D03" w:rsidRDefault="00E439CD" w:rsidP="00E439CD">
      <w:pPr>
        <w:keepNext/>
        <w:spacing w:before="60" w:after="60" w:line="276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4" w:name="_Ref127296986"/>
      <w:r w:rsidRPr="001A7D03">
        <w:rPr>
          <w:rFonts w:asciiTheme="majorBidi" w:hAnsiTheme="majorBidi" w:cstheme="majorBidi"/>
          <w:sz w:val="24"/>
          <w:szCs w:val="24"/>
        </w:rPr>
        <w:t>Table</w:t>
      </w:r>
      <w:bookmarkEnd w:id="4"/>
      <w:r>
        <w:rPr>
          <w:rFonts w:asciiTheme="majorBidi" w:hAnsiTheme="majorBidi" w:cstheme="majorBidi"/>
          <w:sz w:val="24"/>
          <w:szCs w:val="24"/>
        </w:rPr>
        <w:t xml:space="preserve"> SM_2</w:t>
      </w:r>
      <w:r w:rsidRPr="001A7D03">
        <w:rPr>
          <w:rFonts w:asciiTheme="majorBidi" w:hAnsiTheme="majorBidi" w:cstheme="majorBidi"/>
          <w:sz w:val="24"/>
          <w:szCs w:val="24"/>
        </w:rPr>
        <w:t xml:space="preserve">: Prevalence of medications prescribing among the cohort classified based on the age groups. </w:t>
      </w:r>
      <w:r w:rsidRPr="0088365F">
        <w:rPr>
          <w:rFonts w:asciiTheme="majorBidi" w:hAnsiTheme="majorBidi" w:cstheme="majorBidi"/>
        </w:rPr>
        <w:t>Medications were presented by the first level order as per the anatomical therapeutic classification.</w:t>
      </w:r>
    </w:p>
    <w:tbl>
      <w:tblPr>
        <w:tblW w:w="98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1418"/>
        <w:gridCol w:w="1702"/>
        <w:gridCol w:w="1134"/>
        <w:gridCol w:w="878"/>
      </w:tblGrid>
      <w:tr w:rsidR="00E439CD" w:rsidRPr="007552FB" w14:paraId="3E621257" w14:textId="77777777" w:rsidTr="0012459D">
        <w:trPr>
          <w:trHeight w:val="453"/>
          <w:jc w:val="center"/>
        </w:trPr>
        <w:tc>
          <w:tcPr>
            <w:tcW w:w="4678" w:type="dxa"/>
            <w:vMerge w:val="restart"/>
            <w:noWrap/>
            <w:vAlign w:val="center"/>
            <w:hideMark/>
          </w:tcPr>
          <w:p w14:paraId="2EF39287" w14:textId="77777777" w:rsidR="00E439CD" w:rsidRPr="0088365F" w:rsidRDefault="00E439CD" w:rsidP="0012459D">
            <w:pPr>
              <w:rPr>
                <w:rFonts w:asciiTheme="majorBidi" w:eastAsia="Times New Roman" w:hAnsiTheme="majorBidi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/>
                <w:sz w:val="20"/>
                <w:szCs w:val="20"/>
                <w:lang w:eastAsia="en-AU"/>
              </w:rPr>
              <w:t>Medication Class</w:t>
            </w:r>
          </w:p>
        </w:tc>
        <w:tc>
          <w:tcPr>
            <w:tcW w:w="1418" w:type="dxa"/>
            <w:noWrap/>
            <w:vAlign w:val="center"/>
            <w:hideMark/>
          </w:tcPr>
          <w:p w14:paraId="514922C7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Total cohort</w:t>
            </w:r>
          </w:p>
        </w:tc>
        <w:tc>
          <w:tcPr>
            <w:tcW w:w="1702" w:type="dxa"/>
            <w:vAlign w:val="center"/>
          </w:tcPr>
          <w:p w14:paraId="7DC80F0C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Middle aged adults</w:t>
            </w:r>
          </w:p>
        </w:tc>
        <w:tc>
          <w:tcPr>
            <w:tcW w:w="1134" w:type="dxa"/>
            <w:noWrap/>
            <w:vAlign w:val="center"/>
            <w:hideMark/>
          </w:tcPr>
          <w:p w14:paraId="7EF628A1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Older adults</w:t>
            </w:r>
          </w:p>
        </w:tc>
        <w:tc>
          <w:tcPr>
            <w:tcW w:w="878" w:type="dxa"/>
            <w:vMerge w:val="restart"/>
            <w:noWrap/>
            <w:vAlign w:val="center"/>
            <w:hideMark/>
          </w:tcPr>
          <w:p w14:paraId="4481B0A2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226FCA">
              <w:rPr>
                <w:rFonts w:asciiTheme="majorBidi" w:hAnsiTheme="majorBidi"/>
                <w:i/>
                <w:iCs/>
                <w:sz w:val="20"/>
                <w:szCs w:val="20"/>
              </w:rPr>
              <w:t>P</w:t>
            </w:r>
            <w:r w:rsidRPr="00E354B7">
              <w:rPr>
                <w:rFonts w:asciiTheme="majorBidi" w:hAnsiTheme="majorBidi"/>
                <w:sz w:val="20"/>
                <w:szCs w:val="20"/>
              </w:rPr>
              <w:t>-value</w:t>
            </w:r>
          </w:p>
        </w:tc>
      </w:tr>
      <w:tr w:rsidR="00E439CD" w:rsidRPr="007552FB" w14:paraId="3CB4086E" w14:textId="77777777" w:rsidTr="0012459D">
        <w:trPr>
          <w:trHeight w:val="406"/>
          <w:jc w:val="center"/>
        </w:trPr>
        <w:tc>
          <w:tcPr>
            <w:tcW w:w="4678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53666520" w14:textId="77777777" w:rsidR="00E439CD" w:rsidRPr="0088365F" w:rsidRDefault="00E439CD" w:rsidP="0012459D">
            <w:pPr>
              <w:rPr>
                <w:rFonts w:asciiTheme="majorBidi" w:eastAsia="Times New Roman" w:hAnsiTheme="majorBidi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vAlign w:val="center"/>
            <w:hideMark/>
          </w:tcPr>
          <w:p w14:paraId="1A426E72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n = 14081</w:t>
            </w:r>
          </w:p>
        </w:tc>
        <w:tc>
          <w:tcPr>
            <w:tcW w:w="170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14:paraId="0193BB86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n = 9722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vAlign w:val="center"/>
            <w:hideMark/>
          </w:tcPr>
          <w:p w14:paraId="1B8DA852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n = 4359</w:t>
            </w: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247F24D0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AU"/>
              </w:rPr>
            </w:pPr>
          </w:p>
        </w:tc>
      </w:tr>
      <w:tr w:rsidR="00E439CD" w:rsidRPr="007552FB" w14:paraId="4B63C4A3" w14:textId="77777777" w:rsidTr="0012459D">
        <w:trPr>
          <w:trHeight w:val="281"/>
          <w:jc w:val="center"/>
        </w:trPr>
        <w:tc>
          <w:tcPr>
            <w:tcW w:w="467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1B44361" w14:textId="77777777" w:rsidR="00E439CD" w:rsidRPr="0088365F" w:rsidRDefault="00E439CD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Alimentary and metabolism, n (%)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B89D979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8043 (57)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5268CCC0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5150 (53)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983BAC4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2893 (66)</w:t>
            </w:r>
          </w:p>
        </w:tc>
        <w:tc>
          <w:tcPr>
            <w:tcW w:w="87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DA0C2F3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E439CD" w:rsidRPr="007552FB" w14:paraId="2578CC6E" w14:textId="77777777" w:rsidTr="0012459D">
        <w:trPr>
          <w:trHeight w:val="286"/>
          <w:jc w:val="center"/>
        </w:trPr>
        <w:tc>
          <w:tcPr>
            <w:tcW w:w="4678" w:type="dxa"/>
            <w:noWrap/>
            <w:vAlign w:val="center"/>
            <w:hideMark/>
          </w:tcPr>
          <w:p w14:paraId="4D7B6B78" w14:textId="77777777" w:rsidR="00E439CD" w:rsidRPr="0088365F" w:rsidRDefault="00E439CD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Musculo-skeletal system, n (%)</w:t>
            </w:r>
          </w:p>
        </w:tc>
        <w:tc>
          <w:tcPr>
            <w:tcW w:w="1418" w:type="dxa"/>
            <w:noWrap/>
            <w:vAlign w:val="center"/>
            <w:hideMark/>
          </w:tcPr>
          <w:p w14:paraId="12D6B4A9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6782 (48)</w:t>
            </w:r>
          </w:p>
        </w:tc>
        <w:tc>
          <w:tcPr>
            <w:tcW w:w="1702" w:type="dxa"/>
            <w:vAlign w:val="center"/>
          </w:tcPr>
          <w:p w14:paraId="51DD779B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4892 (50)</w:t>
            </w:r>
          </w:p>
        </w:tc>
        <w:tc>
          <w:tcPr>
            <w:tcW w:w="1134" w:type="dxa"/>
            <w:noWrap/>
            <w:vAlign w:val="center"/>
            <w:hideMark/>
          </w:tcPr>
          <w:p w14:paraId="384268B3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1890 (43)</w:t>
            </w:r>
          </w:p>
        </w:tc>
        <w:tc>
          <w:tcPr>
            <w:tcW w:w="878" w:type="dxa"/>
            <w:noWrap/>
            <w:vAlign w:val="center"/>
            <w:hideMark/>
          </w:tcPr>
          <w:p w14:paraId="66B76A60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E439CD" w:rsidRPr="007552FB" w14:paraId="547AB462" w14:textId="77777777" w:rsidTr="0012459D">
        <w:trPr>
          <w:trHeight w:val="279"/>
          <w:jc w:val="center"/>
        </w:trPr>
        <w:tc>
          <w:tcPr>
            <w:tcW w:w="4678" w:type="dxa"/>
            <w:noWrap/>
            <w:vAlign w:val="center"/>
            <w:hideMark/>
          </w:tcPr>
          <w:p w14:paraId="26474C7D" w14:textId="77777777" w:rsidR="00E439CD" w:rsidRPr="0088365F" w:rsidRDefault="00E439CD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Nervous system, n (%)</w:t>
            </w:r>
          </w:p>
        </w:tc>
        <w:tc>
          <w:tcPr>
            <w:tcW w:w="1418" w:type="dxa"/>
            <w:noWrap/>
            <w:vAlign w:val="center"/>
            <w:hideMark/>
          </w:tcPr>
          <w:p w14:paraId="184E178D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6528 (46)</w:t>
            </w:r>
          </w:p>
        </w:tc>
        <w:tc>
          <w:tcPr>
            <w:tcW w:w="1702" w:type="dxa"/>
            <w:vAlign w:val="center"/>
          </w:tcPr>
          <w:p w14:paraId="06EA4249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4644 (48)</w:t>
            </w:r>
          </w:p>
        </w:tc>
        <w:tc>
          <w:tcPr>
            <w:tcW w:w="1134" w:type="dxa"/>
            <w:noWrap/>
            <w:vAlign w:val="center"/>
            <w:hideMark/>
          </w:tcPr>
          <w:p w14:paraId="63FD97A0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1884 (43)</w:t>
            </w:r>
          </w:p>
        </w:tc>
        <w:tc>
          <w:tcPr>
            <w:tcW w:w="878" w:type="dxa"/>
            <w:noWrap/>
            <w:vAlign w:val="center"/>
            <w:hideMark/>
          </w:tcPr>
          <w:p w14:paraId="12AEBC4E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0.01</w:t>
            </w:r>
          </w:p>
        </w:tc>
      </w:tr>
      <w:tr w:rsidR="00E439CD" w:rsidRPr="007552FB" w14:paraId="4419F990" w14:textId="77777777" w:rsidTr="0012459D">
        <w:trPr>
          <w:trHeight w:val="306"/>
          <w:jc w:val="center"/>
        </w:trPr>
        <w:tc>
          <w:tcPr>
            <w:tcW w:w="4678" w:type="dxa"/>
            <w:noWrap/>
            <w:vAlign w:val="center"/>
            <w:hideMark/>
          </w:tcPr>
          <w:p w14:paraId="0266E859" w14:textId="77777777" w:rsidR="00E439CD" w:rsidRPr="0088365F" w:rsidRDefault="00E439CD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Blood and blood forming organs, n (%)</w:t>
            </w:r>
          </w:p>
        </w:tc>
        <w:tc>
          <w:tcPr>
            <w:tcW w:w="1418" w:type="dxa"/>
            <w:noWrap/>
            <w:vAlign w:val="center"/>
            <w:hideMark/>
          </w:tcPr>
          <w:p w14:paraId="40EC6284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5943 (42)</w:t>
            </w:r>
          </w:p>
        </w:tc>
        <w:tc>
          <w:tcPr>
            <w:tcW w:w="1702" w:type="dxa"/>
            <w:vAlign w:val="center"/>
          </w:tcPr>
          <w:p w14:paraId="478C4709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3687 (38)</w:t>
            </w:r>
          </w:p>
        </w:tc>
        <w:tc>
          <w:tcPr>
            <w:tcW w:w="1134" w:type="dxa"/>
            <w:noWrap/>
            <w:vAlign w:val="center"/>
            <w:hideMark/>
          </w:tcPr>
          <w:p w14:paraId="6B8DF005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2256 (52)</w:t>
            </w:r>
          </w:p>
        </w:tc>
        <w:tc>
          <w:tcPr>
            <w:tcW w:w="878" w:type="dxa"/>
            <w:noWrap/>
            <w:vAlign w:val="center"/>
            <w:hideMark/>
          </w:tcPr>
          <w:p w14:paraId="3F3DE228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E439CD" w:rsidRPr="007552FB" w14:paraId="3023BE91" w14:textId="77777777" w:rsidTr="0012459D">
        <w:trPr>
          <w:trHeight w:val="306"/>
          <w:jc w:val="center"/>
        </w:trPr>
        <w:tc>
          <w:tcPr>
            <w:tcW w:w="4678" w:type="dxa"/>
            <w:noWrap/>
            <w:vAlign w:val="center"/>
            <w:hideMark/>
          </w:tcPr>
          <w:p w14:paraId="3387EBC5" w14:textId="77777777" w:rsidR="00E439CD" w:rsidRPr="0088365F" w:rsidRDefault="00E439CD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Cardiovascular system, n (%)</w:t>
            </w:r>
          </w:p>
        </w:tc>
        <w:tc>
          <w:tcPr>
            <w:tcW w:w="1418" w:type="dxa"/>
            <w:noWrap/>
            <w:vAlign w:val="center"/>
            <w:hideMark/>
          </w:tcPr>
          <w:p w14:paraId="006CB1F9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5880 (42)</w:t>
            </w:r>
          </w:p>
        </w:tc>
        <w:tc>
          <w:tcPr>
            <w:tcW w:w="1702" w:type="dxa"/>
            <w:vAlign w:val="center"/>
          </w:tcPr>
          <w:p w14:paraId="64F442EB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3251 (33)</w:t>
            </w:r>
          </w:p>
        </w:tc>
        <w:tc>
          <w:tcPr>
            <w:tcW w:w="1134" w:type="dxa"/>
            <w:noWrap/>
            <w:vAlign w:val="center"/>
            <w:hideMark/>
          </w:tcPr>
          <w:p w14:paraId="09B82AAF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2629 (60)</w:t>
            </w:r>
          </w:p>
        </w:tc>
        <w:tc>
          <w:tcPr>
            <w:tcW w:w="878" w:type="dxa"/>
            <w:noWrap/>
            <w:vAlign w:val="center"/>
            <w:hideMark/>
          </w:tcPr>
          <w:p w14:paraId="794A3D6F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E439CD" w:rsidRPr="007552FB" w14:paraId="29994386" w14:textId="77777777" w:rsidTr="0012459D">
        <w:trPr>
          <w:trHeight w:val="306"/>
          <w:jc w:val="center"/>
        </w:trPr>
        <w:tc>
          <w:tcPr>
            <w:tcW w:w="4678" w:type="dxa"/>
            <w:noWrap/>
            <w:vAlign w:val="center"/>
            <w:hideMark/>
          </w:tcPr>
          <w:p w14:paraId="6652823C" w14:textId="77777777" w:rsidR="00E439CD" w:rsidRPr="0088365F" w:rsidRDefault="00E439CD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Systemic hormonal preparation, n (%)</w:t>
            </w:r>
          </w:p>
        </w:tc>
        <w:tc>
          <w:tcPr>
            <w:tcW w:w="1418" w:type="dxa"/>
            <w:noWrap/>
            <w:vAlign w:val="center"/>
            <w:hideMark/>
          </w:tcPr>
          <w:p w14:paraId="065B3588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2081 (15)</w:t>
            </w:r>
          </w:p>
        </w:tc>
        <w:tc>
          <w:tcPr>
            <w:tcW w:w="1702" w:type="dxa"/>
            <w:vAlign w:val="center"/>
          </w:tcPr>
          <w:p w14:paraId="74214DF0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1430 (15)</w:t>
            </w:r>
          </w:p>
        </w:tc>
        <w:tc>
          <w:tcPr>
            <w:tcW w:w="1134" w:type="dxa"/>
            <w:noWrap/>
            <w:vAlign w:val="center"/>
            <w:hideMark/>
          </w:tcPr>
          <w:p w14:paraId="3CB7DE7C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651 (15)</w:t>
            </w:r>
          </w:p>
        </w:tc>
        <w:tc>
          <w:tcPr>
            <w:tcW w:w="878" w:type="dxa"/>
            <w:noWrap/>
            <w:vAlign w:val="center"/>
            <w:hideMark/>
          </w:tcPr>
          <w:p w14:paraId="74DEFCE8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0.7</w:t>
            </w:r>
          </w:p>
        </w:tc>
      </w:tr>
      <w:tr w:rsidR="00E439CD" w:rsidRPr="007552FB" w14:paraId="57FBEFDA" w14:textId="77777777" w:rsidTr="0012459D">
        <w:trPr>
          <w:trHeight w:val="294"/>
          <w:jc w:val="center"/>
        </w:trPr>
        <w:tc>
          <w:tcPr>
            <w:tcW w:w="4678" w:type="dxa"/>
            <w:noWrap/>
            <w:vAlign w:val="center"/>
            <w:hideMark/>
          </w:tcPr>
          <w:p w14:paraId="77C02D3D" w14:textId="77777777" w:rsidR="00E439CD" w:rsidRPr="0088365F" w:rsidRDefault="00E439CD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Antineoplastic and immunomodulating agents, n (%)</w:t>
            </w:r>
          </w:p>
        </w:tc>
        <w:tc>
          <w:tcPr>
            <w:tcW w:w="1418" w:type="dxa"/>
            <w:noWrap/>
            <w:vAlign w:val="center"/>
            <w:hideMark/>
          </w:tcPr>
          <w:p w14:paraId="22947AE4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1506 (11)</w:t>
            </w:r>
          </w:p>
        </w:tc>
        <w:tc>
          <w:tcPr>
            <w:tcW w:w="1702" w:type="dxa"/>
            <w:vAlign w:val="center"/>
          </w:tcPr>
          <w:p w14:paraId="353B4EE0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1307 (13)</w:t>
            </w:r>
          </w:p>
        </w:tc>
        <w:tc>
          <w:tcPr>
            <w:tcW w:w="1134" w:type="dxa"/>
            <w:noWrap/>
            <w:vAlign w:val="center"/>
            <w:hideMark/>
          </w:tcPr>
          <w:p w14:paraId="3F4DBD3E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199 (5)</w:t>
            </w:r>
          </w:p>
        </w:tc>
        <w:tc>
          <w:tcPr>
            <w:tcW w:w="878" w:type="dxa"/>
            <w:noWrap/>
            <w:vAlign w:val="center"/>
            <w:hideMark/>
          </w:tcPr>
          <w:p w14:paraId="2461D382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E439CD" w:rsidRPr="007552FB" w14:paraId="2973BD23" w14:textId="77777777" w:rsidTr="0012459D">
        <w:trPr>
          <w:trHeight w:val="306"/>
          <w:jc w:val="center"/>
        </w:trPr>
        <w:tc>
          <w:tcPr>
            <w:tcW w:w="4678" w:type="dxa"/>
            <w:noWrap/>
            <w:vAlign w:val="center"/>
            <w:hideMark/>
          </w:tcPr>
          <w:p w14:paraId="772D5EED" w14:textId="77777777" w:rsidR="00E439CD" w:rsidRPr="0088365F" w:rsidRDefault="00E439CD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Genito urinary system and sex hormones, n (%)</w:t>
            </w:r>
          </w:p>
        </w:tc>
        <w:tc>
          <w:tcPr>
            <w:tcW w:w="1418" w:type="dxa"/>
            <w:noWrap/>
            <w:vAlign w:val="center"/>
            <w:hideMark/>
          </w:tcPr>
          <w:p w14:paraId="229F970C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1417 (10)</w:t>
            </w:r>
          </w:p>
        </w:tc>
        <w:tc>
          <w:tcPr>
            <w:tcW w:w="1702" w:type="dxa"/>
            <w:vAlign w:val="center"/>
          </w:tcPr>
          <w:p w14:paraId="5F725F08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684 (7)</w:t>
            </w:r>
          </w:p>
        </w:tc>
        <w:tc>
          <w:tcPr>
            <w:tcW w:w="1134" w:type="dxa"/>
            <w:noWrap/>
            <w:vAlign w:val="center"/>
            <w:hideMark/>
          </w:tcPr>
          <w:p w14:paraId="41B48E2C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733 (17)</w:t>
            </w:r>
          </w:p>
        </w:tc>
        <w:tc>
          <w:tcPr>
            <w:tcW w:w="878" w:type="dxa"/>
            <w:noWrap/>
            <w:vAlign w:val="center"/>
            <w:hideMark/>
          </w:tcPr>
          <w:p w14:paraId="46BF06C6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&lt;0.001</w:t>
            </w:r>
          </w:p>
        </w:tc>
      </w:tr>
      <w:tr w:rsidR="00E439CD" w:rsidRPr="007552FB" w14:paraId="34AA79CB" w14:textId="77777777" w:rsidTr="0012459D">
        <w:trPr>
          <w:trHeight w:val="306"/>
          <w:jc w:val="center"/>
        </w:trPr>
        <w:tc>
          <w:tcPr>
            <w:tcW w:w="4678" w:type="dxa"/>
            <w:noWrap/>
            <w:vAlign w:val="center"/>
            <w:hideMark/>
          </w:tcPr>
          <w:p w14:paraId="582BAE12" w14:textId="77777777" w:rsidR="00E439CD" w:rsidRPr="0088365F" w:rsidRDefault="00E439CD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Respiratory system, n (%)</w:t>
            </w:r>
          </w:p>
        </w:tc>
        <w:tc>
          <w:tcPr>
            <w:tcW w:w="1418" w:type="dxa"/>
            <w:noWrap/>
            <w:vAlign w:val="center"/>
            <w:hideMark/>
          </w:tcPr>
          <w:p w14:paraId="1EC1D7E3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1457 (10)</w:t>
            </w:r>
          </w:p>
        </w:tc>
        <w:tc>
          <w:tcPr>
            <w:tcW w:w="1702" w:type="dxa"/>
            <w:vAlign w:val="center"/>
          </w:tcPr>
          <w:p w14:paraId="0D83CFCC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892 (9)</w:t>
            </w:r>
          </w:p>
        </w:tc>
        <w:tc>
          <w:tcPr>
            <w:tcW w:w="1134" w:type="dxa"/>
            <w:noWrap/>
            <w:vAlign w:val="center"/>
            <w:hideMark/>
          </w:tcPr>
          <w:p w14:paraId="14C77EA8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565 (13)</w:t>
            </w:r>
          </w:p>
        </w:tc>
        <w:tc>
          <w:tcPr>
            <w:tcW w:w="878" w:type="dxa"/>
            <w:noWrap/>
            <w:vAlign w:val="center"/>
            <w:hideMark/>
          </w:tcPr>
          <w:p w14:paraId="4452B9B0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E439CD" w:rsidRPr="007552FB" w14:paraId="18C6E063" w14:textId="77777777" w:rsidTr="0012459D">
        <w:trPr>
          <w:trHeight w:val="306"/>
          <w:jc w:val="center"/>
        </w:trPr>
        <w:tc>
          <w:tcPr>
            <w:tcW w:w="4678" w:type="dxa"/>
            <w:noWrap/>
            <w:vAlign w:val="center"/>
            <w:hideMark/>
          </w:tcPr>
          <w:p w14:paraId="0B0F26F5" w14:textId="77777777" w:rsidR="00E439CD" w:rsidRPr="0088365F" w:rsidRDefault="00E439CD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Anti-infective for systemic use, n (%)</w:t>
            </w:r>
          </w:p>
        </w:tc>
        <w:tc>
          <w:tcPr>
            <w:tcW w:w="1418" w:type="dxa"/>
            <w:noWrap/>
            <w:vAlign w:val="center"/>
            <w:hideMark/>
          </w:tcPr>
          <w:p w14:paraId="5F56400C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1372 (10)</w:t>
            </w:r>
          </w:p>
        </w:tc>
        <w:tc>
          <w:tcPr>
            <w:tcW w:w="1702" w:type="dxa"/>
            <w:vAlign w:val="center"/>
          </w:tcPr>
          <w:p w14:paraId="0AE3EB4C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916 (9)</w:t>
            </w:r>
          </w:p>
        </w:tc>
        <w:tc>
          <w:tcPr>
            <w:tcW w:w="1134" w:type="dxa"/>
            <w:noWrap/>
            <w:vAlign w:val="center"/>
            <w:hideMark/>
          </w:tcPr>
          <w:p w14:paraId="64C67B67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456 (11)</w:t>
            </w:r>
          </w:p>
        </w:tc>
        <w:tc>
          <w:tcPr>
            <w:tcW w:w="878" w:type="dxa"/>
            <w:noWrap/>
            <w:vAlign w:val="center"/>
            <w:hideMark/>
          </w:tcPr>
          <w:p w14:paraId="2D79127C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0.06</w:t>
            </w:r>
          </w:p>
        </w:tc>
      </w:tr>
      <w:tr w:rsidR="00E439CD" w:rsidRPr="007552FB" w14:paraId="2A2DBDCC" w14:textId="77777777" w:rsidTr="0012459D">
        <w:trPr>
          <w:trHeight w:val="294"/>
          <w:jc w:val="center"/>
        </w:trPr>
        <w:tc>
          <w:tcPr>
            <w:tcW w:w="4678" w:type="dxa"/>
            <w:noWrap/>
            <w:vAlign w:val="center"/>
            <w:hideMark/>
          </w:tcPr>
          <w:p w14:paraId="209AF86E" w14:textId="77777777" w:rsidR="00E439CD" w:rsidRPr="0088365F" w:rsidRDefault="00E439CD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Sensory organs, n (%)</w:t>
            </w:r>
          </w:p>
        </w:tc>
        <w:tc>
          <w:tcPr>
            <w:tcW w:w="1418" w:type="dxa"/>
            <w:noWrap/>
            <w:vAlign w:val="center"/>
            <w:hideMark/>
          </w:tcPr>
          <w:p w14:paraId="74394BDB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643 (5)</w:t>
            </w:r>
          </w:p>
        </w:tc>
        <w:tc>
          <w:tcPr>
            <w:tcW w:w="1702" w:type="dxa"/>
            <w:vAlign w:val="center"/>
          </w:tcPr>
          <w:p w14:paraId="551FFDBA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349 (4)</w:t>
            </w:r>
          </w:p>
        </w:tc>
        <w:tc>
          <w:tcPr>
            <w:tcW w:w="1134" w:type="dxa"/>
            <w:noWrap/>
            <w:vAlign w:val="center"/>
            <w:hideMark/>
          </w:tcPr>
          <w:p w14:paraId="4755BB6F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294 (7)</w:t>
            </w:r>
          </w:p>
        </w:tc>
        <w:tc>
          <w:tcPr>
            <w:tcW w:w="878" w:type="dxa"/>
            <w:noWrap/>
            <w:vAlign w:val="center"/>
            <w:hideMark/>
          </w:tcPr>
          <w:p w14:paraId="3F047C9F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E439CD" w:rsidRPr="007552FB" w14:paraId="02A350F0" w14:textId="77777777" w:rsidTr="0012459D">
        <w:trPr>
          <w:trHeight w:val="294"/>
          <w:jc w:val="center"/>
        </w:trPr>
        <w:tc>
          <w:tcPr>
            <w:tcW w:w="4678" w:type="dxa"/>
            <w:noWrap/>
            <w:vAlign w:val="center"/>
            <w:hideMark/>
          </w:tcPr>
          <w:p w14:paraId="37D71360" w14:textId="77777777" w:rsidR="00E439CD" w:rsidRPr="0088365F" w:rsidRDefault="00E439CD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Dermatological, n (%)</w:t>
            </w:r>
          </w:p>
        </w:tc>
        <w:tc>
          <w:tcPr>
            <w:tcW w:w="1418" w:type="dxa"/>
            <w:noWrap/>
            <w:vAlign w:val="center"/>
            <w:hideMark/>
          </w:tcPr>
          <w:p w14:paraId="510F22AA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427 (3)</w:t>
            </w:r>
          </w:p>
        </w:tc>
        <w:tc>
          <w:tcPr>
            <w:tcW w:w="1702" w:type="dxa"/>
            <w:vAlign w:val="center"/>
          </w:tcPr>
          <w:p w14:paraId="4CB1B6F6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253 (3)</w:t>
            </w:r>
          </w:p>
        </w:tc>
        <w:tc>
          <w:tcPr>
            <w:tcW w:w="1134" w:type="dxa"/>
            <w:noWrap/>
            <w:vAlign w:val="center"/>
            <w:hideMark/>
          </w:tcPr>
          <w:p w14:paraId="58C4E816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174 (4)</w:t>
            </w:r>
          </w:p>
        </w:tc>
        <w:tc>
          <w:tcPr>
            <w:tcW w:w="878" w:type="dxa"/>
            <w:noWrap/>
            <w:vAlign w:val="center"/>
            <w:hideMark/>
          </w:tcPr>
          <w:p w14:paraId="15088357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E439CD" w:rsidRPr="007552FB" w14:paraId="501CF622" w14:textId="77777777" w:rsidTr="0012459D">
        <w:trPr>
          <w:trHeight w:val="294"/>
          <w:jc w:val="center"/>
        </w:trPr>
        <w:tc>
          <w:tcPr>
            <w:tcW w:w="4678" w:type="dxa"/>
            <w:noWrap/>
            <w:vAlign w:val="center"/>
            <w:hideMark/>
          </w:tcPr>
          <w:p w14:paraId="4E64C0BB" w14:textId="77777777" w:rsidR="00E439CD" w:rsidRPr="0088365F" w:rsidRDefault="00E439CD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Various, n (%)</w:t>
            </w:r>
          </w:p>
        </w:tc>
        <w:tc>
          <w:tcPr>
            <w:tcW w:w="1418" w:type="dxa"/>
            <w:noWrap/>
            <w:vAlign w:val="center"/>
            <w:hideMark/>
          </w:tcPr>
          <w:p w14:paraId="0A42B2F6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219 (2)</w:t>
            </w:r>
          </w:p>
        </w:tc>
        <w:tc>
          <w:tcPr>
            <w:tcW w:w="1702" w:type="dxa"/>
            <w:vAlign w:val="center"/>
          </w:tcPr>
          <w:p w14:paraId="3BD8367F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108 (1)</w:t>
            </w:r>
          </w:p>
        </w:tc>
        <w:tc>
          <w:tcPr>
            <w:tcW w:w="1134" w:type="dxa"/>
            <w:noWrap/>
            <w:vAlign w:val="center"/>
            <w:hideMark/>
          </w:tcPr>
          <w:p w14:paraId="70AF89A4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111 (3)</w:t>
            </w:r>
          </w:p>
        </w:tc>
        <w:tc>
          <w:tcPr>
            <w:tcW w:w="878" w:type="dxa"/>
            <w:noWrap/>
            <w:vAlign w:val="center"/>
            <w:hideMark/>
          </w:tcPr>
          <w:p w14:paraId="19403AD0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E439CD" w:rsidRPr="007552FB" w14:paraId="12EB230D" w14:textId="77777777" w:rsidTr="0012459D">
        <w:trPr>
          <w:trHeight w:val="294"/>
          <w:jc w:val="center"/>
        </w:trPr>
        <w:tc>
          <w:tcPr>
            <w:tcW w:w="4678" w:type="dxa"/>
            <w:noWrap/>
            <w:vAlign w:val="center"/>
            <w:hideMark/>
          </w:tcPr>
          <w:p w14:paraId="021B5584" w14:textId="77777777" w:rsidR="00E439CD" w:rsidRPr="0088365F" w:rsidRDefault="00E439CD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Antiparasitic products, insecticides and repellents, n (%)</w:t>
            </w:r>
          </w:p>
        </w:tc>
        <w:tc>
          <w:tcPr>
            <w:tcW w:w="1418" w:type="dxa"/>
            <w:noWrap/>
            <w:vAlign w:val="center"/>
            <w:hideMark/>
          </w:tcPr>
          <w:p w14:paraId="6DAC504A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127 (1)</w:t>
            </w:r>
          </w:p>
        </w:tc>
        <w:tc>
          <w:tcPr>
            <w:tcW w:w="1702" w:type="dxa"/>
            <w:vAlign w:val="center"/>
          </w:tcPr>
          <w:p w14:paraId="06910E97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104 (1)</w:t>
            </w:r>
          </w:p>
        </w:tc>
        <w:tc>
          <w:tcPr>
            <w:tcW w:w="1134" w:type="dxa"/>
            <w:noWrap/>
            <w:vAlign w:val="center"/>
            <w:hideMark/>
          </w:tcPr>
          <w:p w14:paraId="05E96A09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23 (0.5)</w:t>
            </w:r>
          </w:p>
        </w:tc>
        <w:tc>
          <w:tcPr>
            <w:tcW w:w="878" w:type="dxa"/>
            <w:noWrap/>
            <w:vAlign w:val="center"/>
            <w:hideMark/>
          </w:tcPr>
          <w:p w14:paraId="66959111" w14:textId="77777777" w:rsidR="00E439CD" w:rsidRPr="0088365F" w:rsidRDefault="00E439CD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883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0.002</w:t>
            </w:r>
          </w:p>
        </w:tc>
      </w:tr>
    </w:tbl>
    <w:p w14:paraId="6A68D85A" w14:textId="77777777" w:rsidR="004E5602" w:rsidRPr="0066417B" w:rsidRDefault="004E5602" w:rsidP="004E5602">
      <w:pPr>
        <w:spacing w:before="60" w:after="60" w:line="288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A928DCA" w14:textId="0C2179A8" w:rsidR="00B30914" w:rsidRPr="00EF0CF0" w:rsidRDefault="00B30914" w:rsidP="00B30914">
      <w:pPr>
        <w:keepNext/>
        <w:spacing w:before="60" w:after="60" w:line="276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5" w:name="_Ref127302770"/>
      <w:r w:rsidRPr="00EF0CF0">
        <w:rPr>
          <w:rFonts w:asciiTheme="majorBidi" w:hAnsiTheme="majorBidi" w:cstheme="majorBidi"/>
          <w:sz w:val="24"/>
          <w:szCs w:val="24"/>
        </w:rPr>
        <w:lastRenderedPageBreak/>
        <w:t>Table</w:t>
      </w:r>
      <w:bookmarkEnd w:id="5"/>
      <w:r>
        <w:rPr>
          <w:rFonts w:asciiTheme="majorBidi" w:hAnsiTheme="majorBidi" w:cstheme="majorBidi"/>
          <w:sz w:val="24"/>
          <w:szCs w:val="24"/>
        </w:rPr>
        <w:t xml:space="preserve"> SM_3</w:t>
      </w:r>
      <w:r w:rsidRPr="00EF0CF0">
        <w:rPr>
          <w:rFonts w:asciiTheme="majorBidi" w:hAnsiTheme="majorBidi" w:cstheme="majorBidi"/>
          <w:sz w:val="24"/>
          <w:szCs w:val="24"/>
        </w:rPr>
        <w:t>: Prevalence of medications prescribing among cohort classified based on the age groups. Medications were presented based on their therapeutics class.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3C97">
        <w:rPr>
          <w:rFonts w:asciiTheme="majorBidi" w:hAnsiTheme="majorBidi" w:cstheme="majorBidi"/>
        </w:rPr>
        <w:t>NSAIDs = non-steroidal anti-inflammatory drugs, ACEIs = Angiotensin converting enzyme inhibitors.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W w:w="93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1894"/>
        <w:gridCol w:w="26"/>
        <w:gridCol w:w="1513"/>
        <w:gridCol w:w="1053"/>
      </w:tblGrid>
      <w:tr w:rsidR="00B30914" w:rsidRPr="007552FB" w14:paraId="149CFEAC" w14:textId="77777777" w:rsidTr="0012459D">
        <w:trPr>
          <w:trHeight w:val="266"/>
          <w:jc w:val="center"/>
        </w:trPr>
        <w:tc>
          <w:tcPr>
            <w:tcW w:w="3119" w:type="dxa"/>
            <w:vMerge w:val="restart"/>
            <w:noWrap/>
            <w:vAlign w:val="center"/>
            <w:hideMark/>
          </w:tcPr>
          <w:p w14:paraId="53563D79" w14:textId="77777777" w:rsidR="00B30914" w:rsidRPr="00623C97" w:rsidRDefault="00B30914" w:rsidP="0012459D">
            <w:pPr>
              <w:rPr>
                <w:rFonts w:asciiTheme="majorBidi" w:eastAsia="Times New Roman" w:hAnsiTheme="majorBidi"/>
                <w:color w:val="FFFFFF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/>
                <w:sz w:val="20"/>
                <w:szCs w:val="20"/>
                <w:lang w:eastAsia="en-AU"/>
              </w:rPr>
              <w:t>Medication Class</w:t>
            </w:r>
          </w:p>
        </w:tc>
        <w:tc>
          <w:tcPr>
            <w:tcW w:w="1701" w:type="dxa"/>
            <w:noWrap/>
            <w:vAlign w:val="center"/>
            <w:hideMark/>
          </w:tcPr>
          <w:p w14:paraId="2E81228D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Total cohort</w:t>
            </w:r>
          </w:p>
        </w:tc>
        <w:tc>
          <w:tcPr>
            <w:tcW w:w="1894" w:type="dxa"/>
            <w:vAlign w:val="center"/>
          </w:tcPr>
          <w:p w14:paraId="2B173BAA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Middle aged adults</w:t>
            </w:r>
          </w:p>
        </w:tc>
        <w:tc>
          <w:tcPr>
            <w:tcW w:w="26" w:type="dxa"/>
          </w:tcPr>
          <w:p w14:paraId="3558A454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13" w:type="dxa"/>
            <w:noWrap/>
            <w:vAlign w:val="center"/>
            <w:hideMark/>
          </w:tcPr>
          <w:p w14:paraId="24A4ED81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Older adults</w:t>
            </w:r>
          </w:p>
        </w:tc>
        <w:tc>
          <w:tcPr>
            <w:tcW w:w="1053" w:type="dxa"/>
            <w:vMerge w:val="restart"/>
            <w:noWrap/>
            <w:vAlign w:val="center"/>
            <w:hideMark/>
          </w:tcPr>
          <w:p w14:paraId="6638302C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760A5E">
              <w:rPr>
                <w:rFonts w:asciiTheme="majorBidi" w:hAnsiTheme="majorBidi"/>
                <w:i/>
                <w:iCs/>
                <w:sz w:val="20"/>
                <w:szCs w:val="20"/>
              </w:rPr>
              <w:t>P</w:t>
            </w:r>
            <w:r w:rsidRPr="00623C97">
              <w:rPr>
                <w:rFonts w:asciiTheme="majorBidi" w:hAnsiTheme="majorBidi"/>
                <w:sz w:val="20"/>
                <w:szCs w:val="20"/>
              </w:rPr>
              <w:t>-value</w:t>
            </w:r>
          </w:p>
        </w:tc>
      </w:tr>
      <w:tr w:rsidR="00B30914" w:rsidRPr="007552FB" w14:paraId="0B94BFFC" w14:textId="77777777" w:rsidTr="0012459D">
        <w:trPr>
          <w:trHeight w:val="488"/>
          <w:jc w:val="center"/>
        </w:trPr>
        <w:tc>
          <w:tcPr>
            <w:tcW w:w="3119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65E2DB88" w14:textId="77777777" w:rsidR="00B30914" w:rsidRPr="00623C97" w:rsidRDefault="00B30914" w:rsidP="0012459D">
            <w:pPr>
              <w:rPr>
                <w:rFonts w:asciiTheme="majorBidi" w:eastAsia="Times New Roman" w:hAnsiTheme="majorBidi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vAlign w:val="center"/>
            <w:hideMark/>
          </w:tcPr>
          <w:p w14:paraId="4B0CE272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n = 14081</w:t>
            </w:r>
          </w:p>
        </w:tc>
        <w:tc>
          <w:tcPr>
            <w:tcW w:w="1894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14:paraId="48581AC9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n = 9722</w:t>
            </w:r>
          </w:p>
        </w:tc>
        <w:tc>
          <w:tcPr>
            <w:tcW w:w="26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77087605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13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vAlign w:val="center"/>
            <w:hideMark/>
          </w:tcPr>
          <w:p w14:paraId="1AA49854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n = 4359</w:t>
            </w:r>
          </w:p>
        </w:tc>
        <w:tc>
          <w:tcPr>
            <w:tcW w:w="1053" w:type="dxa"/>
            <w:vMerge/>
            <w:tcBorders>
              <w:bottom w:val="single" w:sz="4" w:space="0" w:color="auto"/>
            </w:tcBorders>
            <w:noWrap/>
            <w:hideMark/>
          </w:tcPr>
          <w:p w14:paraId="37748165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AU"/>
              </w:rPr>
            </w:pPr>
          </w:p>
        </w:tc>
      </w:tr>
      <w:tr w:rsidR="00B30914" w:rsidRPr="007552FB" w14:paraId="4C65A6C9" w14:textId="77777777" w:rsidTr="0012459D">
        <w:trPr>
          <w:trHeight w:val="337"/>
          <w:jc w:val="center"/>
        </w:trPr>
        <w:tc>
          <w:tcPr>
            <w:tcW w:w="3119" w:type="dxa"/>
            <w:tcBorders>
              <w:top w:val="single" w:sz="4" w:space="0" w:color="auto"/>
            </w:tcBorders>
            <w:noWrap/>
          </w:tcPr>
          <w:p w14:paraId="6495D42D" w14:textId="77777777" w:rsidR="00B30914" w:rsidRPr="00623C97" w:rsidRDefault="00B30914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Proton pump inhibitors, n (%)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14:paraId="62F9B3F0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4209 (30)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078E61E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2568 (26)</w:t>
            </w:r>
          </w:p>
        </w:tc>
        <w:tc>
          <w:tcPr>
            <w:tcW w:w="26" w:type="dxa"/>
            <w:tcBorders>
              <w:top w:val="single" w:sz="4" w:space="0" w:color="auto"/>
            </w:tcBorders>
          </w:tcPr>
          <w:p w14:paraId="5920BDE6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13" w:type="dxa"/>
            <w:tcBorders>
              <w:top w:val="single" w:sz="4" w:space="0" w:color="auto"/>
            </w:tcBorders>
            <w:noWrap/>
          </w:tcPr>
          <w:p w14:paraId="582218D0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1641 (38)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noWrap/>
          </w:tcPr>
          <w:p w14:paraId="2F1ED1DC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B30914" w:rsidRPr="007552FB" w14:paraId="53AFB061" w14:textId="77777777" w:rsidTr="0012459D">
        <w:trPr>
          <w:trHeight w:val="344"/>
          <w:jc w:val="center"/>
        </w:trPr>
        <w:tc>
          <w:tcPr>
            <w:tcW w:w="3119" w:type="dxa"/>
            <w:noWrap/>
          </w:tcPr>
          <w:p w14:paraId="72BC39E5" w14:textId="77777777" w:rsidR="00B30914" w:rsidRPr="00623C97" w:rsidRDefault="00B30914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NSAIDs, n (%)</w:t>
            </w:r>
          </w:p>
        </w:tc>
        <w:tc>
          <w:tcPr>
            <w:tcW w:w="1701" w:type="dxa"/>
            <w:noWrap/>
          </w:tcPr>
          <w:p w14:paraId="3A05EDF8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4059 (30)</w:t>
            </w:r>
          </w:p>
        </w:tc>
        <w:tc>
          <w:tcPr>
            <w:tcW w:w="1894" w:type="dxa"/>
          </w:tcPr>
          <w:p w14:paraId="10870C9A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3012 (31)</w:t>
            </w:r>
          </w:p>
        </w:tc>
        <w:tc>
          <w:tcPr>
            <w:tcW w:w="26" w:type="dxa"/>
          </w:tcPr>
          <w:p w14:paraId="27FB2AB1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13" w:type="dxa"/>
            <w:noWrap/>
          </w:tcPr>
          <w:p w14:paraId="69A18B5C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1047 (24)</w:t>
            </w:r>
          </w:p>
        </w:tc>
        <w:tc>
          <w:tcPr>
            <w:tcW w:w="1053" w:type="dxa"/>
            <w:noWrap/>
          </w:tcPr>
          <w:p w14:paraId="756C3810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B30914" w:rsidRPr="007552FB" w14:paraId="36EDCFE2" w14:textId="77777777" w:rsidTr="0012459D">
        <w:trPr>
          <w:trHeight w:val="344"/>
          <w:jc w:val="center"/>
        </w:trPr>
        <w:tc>
          <w:tcPr>
            <w:tcW w:w="3119" w:type="dxa"/>
            <w:noWrap/>
          </w:tcPr>
          <w:p w14:paraId="160E48BD" w14:textId="77777777" w:rsidR="00B30914" w:rsidRPr="00623C97" w:rsidRDefault="00B30914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Vitamin D, n (%)</w:t>
            </w:r>
          </w:p>
        </w:tc>
        <w:tc>
          <w:tcPr>
            <w:tcW w:w="1701" w:type="dxa"/>
            <w:noWrap/>
          </w:tcPr>
          <w:p w14:paraId="3D0949C9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4178 (30)</w:t>
            </w:r>
          </w:p>
        </w:tc>
        <w:tc>
          <w:tcPr>
            <w:tcW w:w="1894" w:type="dxa"/>
          </w:tcPr>
          <w:p w14:paraId="286076AB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2985 (31)</w:t>
            </w:r>
          </w:p>
        </w:tc>
        <w:tc>
          <w:tcPr>
            <w:tcW w:w="26" w:type="dxa"/>
          </w:tcPr>
          <w:p w14:paraId="17B53F03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13" w:type="dxa"/>
            <w:noWrap/>
          </w:tcPr>
          <w:p w14:paraId="1F3F151B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1193 (27)</w:t>
            </w:r>
          </w:p>
        </w:tc>
        <w:tc>
          <w:tcPr>
            <w:tcW w:w="1053" w:type="dxa"/>
            <w:noWrap/>
          </w:tcPr>
          <w:p w14:paraId="52197D6E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B30914" w:rsidRPr="007552FB" w14:paraId="3D116374" w14:textId="77777777" w:rsidTr="0012459D">
        <w:trPr>
          <w:trHeight w:val="344"/>
          <w:jc w:val="center"/>
        </w:trPr>
        <w:tc>
          <w:tcPr>
            <w:tcW w:w="3119" w:type="dxa"/>
            <w:noWrap/>
          </w:tcPr>
          <w:p w14:paraId="5C4CF2A8" w14:textId="77777777" w:rsidR="00B30914" w:rsidRPr="00623C97" w:rsidRDefault="00B30914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Statin, n (%)</w:t>
            </w:r>
          </w:p>
        </w:tc>
        <w:tc>
          <w:tcPr>
            <w:tcW w:w="1701" w:type="dxa"/>
            <w:noWrap/>
          </w:tcPr>
          <w:p w14:paraId="0F0603E8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3711 (26)</w:t>
            </w:r>
          </w:p>
        </w:tc>
        <w:tc>
          <w:tcPr>
            <w:tcW w:w="1894" w:type="dxa"/>
          </w:tcPr>
          <w:p w14:paraId="74D08BD5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1856 (19)</w:t>
            </w:r>
          </w:p>
        </w:tc>
        <w:tc>
          <w:tcPr>
            <w:tcW w:w="26" w:type="dxa"/>
          </w:tcPr>
          <w:p w14:paraId="7F915F30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13" w:type="dxa"/>
            <w:noWrap/>
          </w:tcPr>
          <w:p w14:paraId="06FDBB89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1855 (43)</w:t>
            </w:r>
          </w:p>
        </w:tc>
        <w:tc>
          <w:tcPr>
            <w:tcW w:w="1053" w:type="dxa"/>
            <w:noWrap/>
          </w:tcPr>
          <w:p w14:paraId="4F103D6D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B30914" w:rsidRPr="007552FB" w14:paraId="78A74A49" w14:textId="77777777" w:rsidTr="0012459D">
        <w:trPr>
          <w:trHeight w:val="344"/>
          <w:jc w:val="center"/>
        </w:trPr>
        <w:tc>
          <w:tcPr>
            <w:tcW w:w="3119" w:type="dxa"/>
            <w:noWrap/>
          </w:tcPr>
          <w:p w14:paraId="5F211F59" w14:textId="77777777" w:rsidR="00B30914" w:rsidRPr="00623C97" w:rsidRDefault="00B30914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Antiplatelet, n (%)</w:t>
            </w:r>
          </w:p>
        </w:tc>
        <w:tc>
          <w:tcPr>
            <w:tcW w:w="1701" w:type="dxa"/>
            <w:noWrap/>
          </w:tcPr>
          <w:p w14:paraId="14BC7ABE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3018 (21)</w:t>
            </w:r>
          </w:p>
        </w:tc>
        <w:tc>
          <w:tcPr>
            <w:tcW w:w="1894" w:type="dxa"/>
          </w:tcPr>
          <w:p w14:paraId="1DBD8399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1423 (15)</w:t>
            </w:r>
          </w:p>
        </w:tc>
        <w:tc>
          <w:tcPr>
            <w:tcW w:w="26" w:type="dxa"/>
          </w:tcPr>
          <w:p w14:paraId="0A6E3D62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13" w:type="dxa"/>
            <w:noWrap/>
          </w:tcPr>
          <w:p w14:paraId="42357FF0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1595 (37)</w:t>
            </w:r>
          </w:p>
        </w:tc>
        <w:tc>
          <w:tcPr>
            <w:tcW w:w="1053" w:type="dxa"/>
            <w:noWrap/>
          </w:tcPr>
          <w:p w14:paraId="197A01E4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B30914" w:rsidRPr="007552FB" w14:paraId="29DFC589" w14:textId="77777777" w:rsidTr="0012459D">
        <w:trPr>
          <w:trHeight w:val="344"/>
          <w:jc w:val="center"/>
        </w:trPr>
        <w:tc>
          <w:tcPr>
            <w:tcW w:w="3119" w:type="dxa"/>
            <w:noWrap/>
          </w:tcPr>
          <w:p w14:paraId="44D9D725" w14:textId="77777777" w:rsidR="00B30914" w:rsidRPr="00623C97" w:rsidRDefault="00B30914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Calcium channel blockers, n (%)</w:t>
            </w:r>
          </w:p>
        </w:tc>
        <w:tc>
          <w:tcPr>
            <w:tcW w:w="1701" w:type="dxa"/>
            <w:noWrap/>
          </w:tcPr>
          <w:p w14:paraId="741F6D65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2358 (17)</w:t>
            </w:r>
          </w:p>
        </w:tc>
        <w:tc>
          <w:tcPr>
            <w:tcW w:w="1894" w:type="dxa"/>
          </w:tcPr>
          <w:p w14:paraId="74B4BC6A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1181 (12)</w:t>
            </w:r>
          </w:p>
        </w:tc>
        <w:tc>
          <w:tcPr>
            <w:tcW w:w="26" w:type="dxa"/>
          </w:tcPr>
          <w:p w14:paraId="54AD311B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13" w:type="dxa"/>
            <w:noWrap/>
          </w:tcPr>
          <w:p w14:paraId="1341C9BB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1177 (27)</w:t>
            </w:r>
          </w:p>
        </w:tc>
        <w:tc>
          <w:tcPr>
            <w:tcW w:w="1053" w:type="dxa"/>
            <w:noWrap/>
          </w:tcPr>
          <w:p w14:paraId="5DE4B425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B30914" w:rsidRPr="007552FB" w14:paraId="61F1C2A3" w14:textId="77777777" w:rsidTr="0012459D">
        <w:trPr>
          <w:trHeight w:val="335"/>
          <w:jc w:val="center"/>
        </w:trPr>
        <w:tc>
          <w:tcPr>
            <w:tcW w:w="3119" w:type="dxa"/>
            <w:noWrap/>
          </w:tcPr>
          <w:p w14:paraId="08A9E74C" w14:textId="77777777" w:rsidR="00B30914" w:rsidRPr="00623C97" w:rsidRDefault="00B30914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Beta blockers, n (%)</w:t>
            </w:r>
          </w:p>
        </w:tc>
        <w:tc>
          <w:tcPr>
            <w:tcW w:w="1701" w:type="dxa"/>
            <w:noWrap/>
          </w:tcPr>
          <w:p w14:paraId="791B0FDE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2417 (17)</w:t>
            </w:r>
          </w:p>
        </w:tc>
        <w:tc>
          <w:tcPr>
            <w:tcW w:w="1894" w:type="dxa"/>
          </w:tcPr>
          <w:p w14:paraId="1E3CBFDF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1187 (12)</w:t>
            </w:r>
          </w:p>
        </w:tc>
        <w:tc>
          <w:tcPr>
            <w:tcW w:w="26" w:type="dxa"/>
          </w:tcPr>
          <w:p w14:paraId="1B998A2F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13" w:type="dxa"/>
            <w:noWrap/>
          </w:tcPr>
          <w:p w14:paraId="6C56DB14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1230 (28)</w:t>
            </w:r>
          </w:p>
        </w:tc>
        <w:tc>
          <w:tcPr>
            <w:tcW w:w="1053" w:type="dxa"/>
            <w:noWrap/>
          </w:tcPr>
          <w:p w14:paraId="5B1F7C55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B30914" w:rsidRPr="007552FB" w14:paraId="300F0FBE" w14:textId="77777777" w:rsidTr="0012459D">
        <w:trPr>
          <w:trHeight w:val="335"/>
          <w:jc w:val="center"/>
        </w:trPr>
        <w:tc>
          <w:tcPr>
            <w:tcW w:w="3119" w:type="dxa"/>
            <w:noWrap/>
          </w:tcPr>
          <w:p w14:paraId="12C4C76D" w14:textId="77777777" w:rsidR="00B30914" w:rsidRPr="00623C97" w:rsidRDefault="00B30914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Anticoagulants, n (%)</w:t>
            </w:r>
          </w:p>
        </w:tc>
        <w:tc>
          <w:tcPr>
            <w:tcW w:w="1701" w:type="dxa"/>
            <w:noWrap/>
          </w:tcPr>
          <w:p w14:paraId="22235CC4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1770 (13)</w:t>
            </w:r>
          </w:p>
        </w:tc>
        <w:tc>
          <w:tcPr>
            <w:tcW w:w="1894" w:type="dxa"/>
          </w:tcPr>
          <w:p w14:paraId="41AA9F93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971 (10)</w:t>
            </w:r>
          </w:p>
        </w:tc>
        <w:tc>
          <w:tcPr>
            <w:tcW w:w="26" w:type="dxa"/>
          </w:tcPr>
          <w:p w14:paraId="49B8921C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13" w:type="dxa"/>
            <w:noWrap/>
          </w:tcPr>
          <w:p w14:paraId="48CA0F7E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799 (18)</w:t>
            </w:r>
          </w:p>
        </w:tc>
        <w:tc>
          <w:tcPr>
            <w:tcW w:w="1053" w:type="dxa"/>
            <w:noWrap/>
          </w:tcPr>
          <w:p w14:paraId="0AC12E04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B30914" w:rsidRPr="007552FB" w14:paraId="258E3EA7" w14:textId="77777777" w:rsidTr="0012459D">
        <w:trPr>
          <w:trHeight w:val="335"/>
          <w:jc w:val="center"/>
        </w:trPr>
        <w:tc>
          <w:tcPr>
            <w:tcW w:w="3119" w:type="dxa"/>
            <w:noWrap/>
          </w:tcPr>
          <w:p w14:paraId="4CDBC005" w14:textId="77777777" w:rsidR="00B30914" w:rsidRPr="00623C97" w:rsidRDefault="00B30914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ACEIs, n (%)</w:t>
            </w:r>
          </w:p>
        </w:tc>
        <w:tc>
          <w:tcPr>
            <w:tcW w:w="1701" w:type="dxa"/>
            <w:noWrap/>
          </w:tcPr>
          <w:p w14:paraId="25624B0C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1783 (13)</w:t>
            </w:r>
          </w:p>
        </w:tc>
        <w:tc>
          <w:tcPr>
            <w:tcW w:w="1894" w:type="dxa"/>
          </w:tcPr>
          <w:p w14:paraId="46E5CCEC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977 (10)</w:t>
            </w:r>
          </w:p>
        </w:tc>
        <w:tc>
          <w:tcPr>
            <w:tcW w:w="26" w:type="dxa"/>
          </w:tcPr>
          <w:p w14:paraId="78F35119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13" w:type="dxa"/>
            <w:noWrap/>
          </w:tcPr>
          <w:p w14:paraId="297B2458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806 (19)</w:t>
            </w:r>
          </w:p>
        </w:tc>
        <w:tc>
          <w:tcPr>
            <w:tcW w:w="1053" w:type="dxa"/>
            <w:noWrap/>
          </w:tcPr>
          <w:p w14:paraId="742E0BF9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  <w:tr w:rsidR="00B30914" w:rsidRPr="007552FB" w14:paraId="2FCB87E0" w14:textId="77777777" w:rsidTr="0012459D">
        <w:trPr>
          <w:trHeight w:val="358"/>
          <w:jc w:val="center"/>
        </w:trPr>
        <w:tc>
          <w:tcPr>
            <w:tcW w:w="3119" w:type="dxa"/>
            <w:noWrap/>
          </w:tcPr>
          <w:p w14:paraId="5D06556C" w14:textId="77777777" w:rsidR="00B30914" w:rsidRPr="00623C97" w:rsidRDefault="00B30914" w:rsidP="0012459D">
            <w:pPr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/>
                <w:color w:val="000000"/>
                <w:sz w:val="20"/>
                <w:szCs w:val="20"/>
                <w:lang w:eastAsia="en-AU"/>
              </w:rPr>
              <w:t>Diuretics, n (%)</w:t>
            </w:r>
          </w:p>
        </w:tc>
        <w:tc>
          <w:tcPr>
            <w:tcW w:w="1701" w:type="dxa"/>
            <w:noWrap/>
          </w:tcPr>
          <w:p w14:paraId="5707F862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1737 (12)</w:t>
            </w:r>
          </w:p>
        </w:tc>
        <w:tc>
          <w:tcPr>
            <w:tcW w:w="1894" w:type="dxa"/>
          </w:tcPr>
          <w:p w14:paraId="67D0B3DF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729 (8)</w:t>
            </w:r>
          </w:p>
        </w:tc>
        <w:tc>
          <w:tcPr>
            <w:tcW w:w="26" w:type="dxa"/>
          </w:tcPr>
          <w:p w14:paraId="4C915DE8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13" w:type="dxa"/>
            <w:noWrap/>
          </w:tcPr>
          <w:p w14:paraId="7FCC7CB2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1008 (23)</w:t>
            </w:r>
          </w:p>
        </w:tc>
        <w:tc>
          <w:tcPr>
            <w:tcW w:w="1053" w:type="dxa"/>
            <w:noWrap/>
          </w:tcPr>
          <w:p w14:paraId="62D8BCB0" w14:textId="77777777" w:rsidR="00B30914" w:rsidRPr="00623C97" w:rsidRDefault="00B30914" w:rsidP="0012459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23C9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&lt; 0.001</w:t>
            </w:r>
          </w:p>
        </w:tc>
      </w:tr>
    </w:tbl>
    <w:p w14:paraId="7776DD22" w14:textId="77777777" w:rsidR="004E5602" w:rsidRDefault="004E5602"/>
    <w:sectPr w:rsidR="004E5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02"/>
    <w:rsid w:val="00466D59"/>
    <w:rsid w:val="004E5602"/>
    <w:rsid w:val="00B30914"/>
    <w:rsid w:val="00E439CD"/>
    <w:rsid w:val="00FD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05D87"/>
  <w15:chartTrackingRefBased/>
  <w15:docId w15:val="{C7A04BD1-7330-4081-B640-75D2F7E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Aymen Ali</dc:creator>
  <cp:keywords/>
  <dc:description/>
  <cp:lastModifiedBy>Aymen Ali</cp:lastModifiedBy>
  <cp:revision>4</cp:revision>
  <dcterms:created xsi:type="dcterms:W3CDTF">2024-02-04T17:51:00Z</dcterms:created>
  <dcterms:modified xsi:type="dcterms:W3CDTF">2024-02-04T18:00:00Z</dcterms:modified>
</cp:coreProperties>
</file>