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E54AB" w14:textId="77777777" w:rsidR="00654E8F" w:rsidRPr="001549D3" w:rsidRDefault="00654E8F" w:rsidP="0001436A">
      <w:pPr>
        <w:pStyle w:val="SupplementaryMaterial"/>
        <w:rPr>
          <w:b w:val="0"/>
        </w:rPr>
      </w:pPr>
      <w:r w:rsidRPr="001549D3">
        <w:t>Supplementary Material</w:t>
      </w:r>
    </w:p>
    <w:p w14:paraId="29026311" w14:textId="788B85DA" w:rsidR="00EA3D3C" w:rsidRDefault="00324A8A" w:rsidP="0001436A">
      <w:pPr>
        <w:pStyle w:val="Ttulo1"/>
      </w:pPr>
      <w:r>
        <w:t>Tables and figures</w:t>
      </w:r>
    </w:p>
    <w:p w14:paraId="1B9AF462" w14:textId="485AD158" w:rsidR="00324A8A" w:rsidRPr="00324A8A" w:rsidRDefault="00324A8A" w:rsidP="00324A8A">
      <w:r>
        <w:t>Table 1 - Instruments</w:t>
      </w:r>
    </w:p>
    <w:tbl>
      <w:tblPr>
        <w:tblStyle w:val="Tablaconcuadrcula"/>
        <w:tblW w:w="0" w:type="auto"/>
        <w:tblLook w:val="04A0" w:firstRow="1" w:lastRow="0" w:firstColumn="1" w:lastColumn="0" w:noHBand="0" w:noVBand="1"/>
      </w:tblPr>
      <w:tblGrid>
        <w:gridCol w:w="3255"/>
        <w:gridCol w:w="2836"/>
        <w:gridCol w:w="3676"/>
      </w:tblGrid>
      <w:tr w:rsidR="00324A8A" w14:paraId="3CA06FFF" w14:textId="77777777" w:rsidTr="00835517">
        <w:tc>
          <w:tcPr>
            <w:tcW w:w="3255" w:type="dxa"/>
            <w:shd w:val="clear" w:color="auto" w:fill="808080" w:themeFill="background1" w:themeFillShade="80"/>
          </w:tcPr>
          <w:p w14:paraId="700F9B90" w14:textId="1B6586E9" w:rsidR="00324A8A" w:rsidRPr="00CD2808" w:rsidRDefault="00CD2808" w:rsidP="00994A3D">
            <w:pPr>
              <w:jc w:val="both"/>
              <w:rPr>
                <w:rFonts w:cs="Times New Roman"/>
                <w:b/>
                <w:color w:val="FFFFFF" w:themeColor="background1"/>
                <w:szCs w:val="24"/>
              </w:rPr>
            </w:pPr>
            <w:r w:rsidRPr="00CD2808">
              <w:rPr>
                <w:rFonts w:cs="Times New Roman"/>
                <w:b/>
                <w:color w:val="FFFFFF" w:themeColor="background1"/>
                <w:szCs w:val="24"/>
              </w:rPr>
              <w:t>INSTRUMENT</w:t>
            </w:r>
          </w:p>
        </w:tc>
        <w:tc>
          <w:tcPr>
            <w:tcW w:w="2836" w:type="dxa"/>
            <w:shd w:val="clear" w:color="auto" w:fill="808080" w:themeFill="background1" w:themeFillShade="80"/>
          </w:tcPr>
          <w:p w14:paraId="5D007C4B" w14:textId="7FF71617" w:rsidR="00324A8A" w:rsidRPr="00CD2808" w:rsidRDefault="00CD2808" w:rsidP="00994A3D">
            <w:pPr>
              <w:jc w:val="both"/>
              <w:rPr>
                <w:rFonts w:cs="Times New Roman"/>
                <w:b/>
                <w:color w:val="FFFFFF" w:themeColor="background1"/>
                <w:szCs w:val="24"/>
              </w:rPr>
            </w:pPr>
            <w:r w:rsidRPr="00CD2808">
              <w:rPr>
                <w:rFonts w:cs="Times New Roman"/>
                <w:b/>
                <w:color w:val="FFFFFF" w:themeColor="background1"/>
                <w:szCs w:val="24"/>
              </w:rPr>
              <w:t>OUTCOME</w:t>
            </w:r>
          </w:p>
        </w:tc>
        <w:tc>
          <w:tcPr>
            <w:tcW w:w="3676" w:type="dxa"/>
            <w:shd w:val="clear" w:color="auto" w:fill="808080" w:themeFill="background1" w:themeFillShade="80"/>
          </w:tcPr>
          <w:p w14:paraId="21CFD162" w14:textId="318079D7" w:rsidR="00324A8A" w:rsidRPr="00CD2808" w:rsidRDefault="00CD2808" w:rsidP="00994A3D">
            <w:pPr>
              <w:jc w:val="both"/>
              <w:rPr>
                <w:rFonts w:cs="Times New Roman"/>
                <w:b/>
                <w:color w:val="FFFFFF" w:themeColor="background1"/>
                <w:szCs w:val="24"/>
              </w:rPr>
            </w:pPr>
            <w:r w:rsidRPr="00CD2808">
              <w:rPr>
                <w:rFonts w:cs="Times New Roman"/>
                <w:b/>
                <w:color w:val="FFFFFF" w:themeColor="background1"/>
                <w:szCs w:val="24"/>
              </w:rPr>
              <w:t>RESPONSE RANGE</w:t>
            </w:r>
          </w:p>
        </w:tc>
      </w:tr>
      <w:tr w:rsidR="00CD2808" w14:paraId="3157E272" w14:textId="77777777" w:rsidTr="00CD2808">
        <w:tc>
          <w:tcPr>
            <w:tcW w:w="9767" w:type="dxa"/>
            <w:gridSpan w:val="3"/>
            <w:shd w:val="clear" w:color="auto" w:fill="D9D9D9" w:themeFill="background1" w:themeFillShade="D9"/>
          </w:tcPr>
          <w:p w14:paraId="6EEA65FF" w14:textId="7FB18FAD" w:rsidR="00CD2808" w:rsidRPr="00CD2808" w:rsidRDefault="00CD2808" w:rsidP="00994A3D">
            <w:pPr>
              <w:jc w:val="both"/>
              <w:rPr>
                <w:rFonts w:cs="Times New Roman"/>
                <w:b/>
                <w:szCs w:val="24"/>
              </w:rPr>
            </w:pPr>
            <w:r w:rsidRPr="00CD2808">
              <w:rPr>
                <w:rFonts w:cs="Times New Roman"/>
                <w:b/>
                <w:szCs w:val="24"/>
              </w:rPr>
              <w:t>Clinical variables</w:t>
            </w:r>
          </w:p>
        </w:tc>
      </w:tr>
      <w:tr w:rsidR="00324A8A" w14:paraId="25099618" w14:textId="77777777" w:rsidTr="00835517">
        <w:tc>
          <w:tcPr>
            <w:tcW w:w="3255" w:type="dxa"/>
          </w:tcPr>
          <w:p w14:paraId="64EC9D5E" w14:textId="6FBA3BB9" w:rsidR="00835517" w:rsidRPr="00835517" w:rsidRDefault="00DB3507" w:rsidP="00835517">
            <w:pPr>
              <w:spacing w:after="120"/>
              <w:rPr>
                <w:rFonts w:cs="Times New Roman"/>
                <w:b/>
                <w:szCs w:val="24"/>
              </w:rPr>
            </w:pPr>
            <w:r w:rsidRPr="00835517">
              <w:rPr>
                <w:rFonts w:cs="Times New Roman"/>
                <w:b/>
                <w:szCs w:val="24"/>
              </w:rPr>
              <w:t>PANSS</w:t>
            </w:r>
            <w:r>
              <w:rPr>
                <w:rFonts w:cs="Times New Roman"/>
                <w:b/>
                <w:szCs w:val="24"/>
              </w:rPr>
              <w:t xml:space="preserve">: </w:t>
            </w:r>
            <w:r w:rsidR="00835517" w:rsidRPr="00835517">
              <w:rPr>
                <w:rFonts w:cs="Times New Roman"/>
                <w:b/>
                <w:szCs w:val="24"/>
              </w:rPr>
              <w:t>Positiv</w:t>
            </w:r>
            <w:r>
              <w:rPr>
                <w:rFonts w:cs="Times New Roman"/>
                <w:b/>
                <w:szCs w:val="24"/>
              </w:rPr>
              <w:t>e and Negative Syndrome Scale</w:t>
            </w:r>
            <w:r w:rsidR="00835517" w:rsidRPr="00835517">
              <w:rPr>
                <w:rFonts w:cs="Times New Roman"/>
                <w:b/>
                <w:szCs w:val="24"/>
              </w:rPr>
              <w:t xml:space="preserve">  </w:t>
            </w:r>
          </w:p>
          <w:p w14:paraId="1396FE2B" w14:textId="2A8D65D2" w:rsidR="00324A8A" w:rsidRPr="00835517" w:rsidRDefault="00835517" w:rsidP="00835517">
            <w:pPr>
              <w:spacing w:after="120"/>
              <w:rPr>
                <w:rFonts w:cs="Times New Roman"/>
                <w:i/>
                <w:szCs w:val="24"/>
              </w:rPr>
            </w:pPr>
            <w:r w:rsidRPr="00835517">
              <w:rPr>
                <w:rFonts w:cs="Times New Roman"/>
                <w:i/>
                <w:szCs w:val="24"/>
              </w:rPr>
              <w:t xml:space="preserve">Kay, </w:t>
            </w:r>
            <w:proofErr w:type="spellStart"/>
            <w:r w:rsidRPr="00835517">
              <w:rPr>
                <w:rFonts w:cs="Times New Roman"/>
                <w:i/>
                <w:szCs w:val="24"/>
              </w:rPr>
              <w:t>Fizbein</w:t>
            </w:r>
            <w:proofErr w:type="spellEnd"/>
            <w:r w:rsidRPr="00835517">
              <w:rPr>
                <w:rFonts w:cs="Times New Roman"/>
                <w:i/>
                <w:szCs w:val="24"/>
              </w:rPr>
              <w:t xml:space="preserve">, and </w:t>
            </w:r>
            <w:proofErr w:type="spellStart"/>
            <w:r w:rsidRPr="00835517">
              <w:rPr>
                <w:rFonts w:cs="Times New Roman"/>
                <w:i/>
                <w:szCs w:val="24"/>
              </w:rPr>
              <w:t>Opler</w:t>
            </w:r>
            <w:proofErr w:type="spellEnd"/>
            <w:r w:rsidRPr="00835517">
              <w:rPr>
                <w:rFonts w:cs="Times New Roman"/>
                <w:i/>
                <w:szCs w:val="24"/>
              </w:rPr>
              <w:t>, 1987; Peralta and Cuesta, 1994</w:t>
            </w:r>
          </w:p>
        </w:tc>
        <w:tc>
          <w:tcPr>
            <w:tcW w:w="2836" w:type="dxa"/>
          </w:tcPr>
          <w:p w14:paraId="183D0E9C" w14:textId="7EA215A9" w:rsidR="00324A8A" w:rsidRDefault="00835517" w:rsidP="00835517">
            <w:pPr>
              <w:spacing w:after="120"/>
              <w:jc w:val="both"/>
              <w:rPr>
                <w:rFonts w:cs="Times New Roman"/>
                <w:szCs w:val="24"/>
              </w:rPr>
            </w:pPr>
            <w:r w:rsidRPr="00835517">
              <w:rPr>
                <w:rFonts w:cs="Times New Roman"/>
                <w:szCs w:val="24"/>
              </w:rPr>
              <w:t>Psychotic symptoms</w:t>
            </w:r>
          </w:p>
        </w:tc>
        <w:tc>
          <w:tcPr>
            <w:tcW w:w="3676" w:type="dxa"/>
          </w:tcPr>
          <w:p w14:paraId="7478C324" w14:textId="1845B0B9" w:rsidR="00835517" w:rsidRDefault="00835517" w:rsidP="00835517">
            <w:pPr>
              <w:spacing w:after="120"/>
              <w:rPr>
                <w:rFonts w:cs="Times New Roman"/>
                <w:szCs w:val="24"/>
              </w:rPr>
            </w:pPr>
            <w:r w:rsidRPr="00835517">
              <w:rPr>
                <w:rFonts w:cs="Times New Roman"/>
                <w:szCs w:val="24"/>
              </w:rPr>
              <w:t>Positive and negative sy</w:t>
            </w:r>
            <w:r>
              <w:rPr>
                <w:rFonts w:cs="Times New Roman"/>
                <w:szCs w:val="24"/>
              </w:rPr>
              <w:t>mptoms scales: scores 7 to 49</w:t>
            </w:r>
          </w:p>
          <w:p w14:paraId="22A1676D" w14:textId="6712472E" w:rsidR="00324A8A" w:rsidRDefault="00835517" w:rsidP="00835517">
            <w:pPr>
              <w:spacing w:after="120"/>
              <w:rPr>
                <w:rFonts w:cs="Times New Roman"/>
                <w:szCs w:val="24"/>
              </w:rPr>
            </w:pPr>
            <w:r w:rsidRPr="00835517">
              <w:rPr>
                <w:rFonts w:cs="Times New Roman"/>
                <w:szCs w:val="24"/>
              </w:rPr>
              <w:t>General sympt</w:t>
            </w:r>
            <w:r>
              <w:rPr>
                <w:rFonts w:cs="Times New Roman"/>
                <w:szCs w:val="24"/>
              </w:rPr>
              <w:t>oms subscale: scores 16 to 112</w:t>
            </w:r>
          </w:p>
        </w:tc>
      </w:tr>
      <w:tr w:rsidR="00324A8A" w14:paraId="5B0A941A" w14:textId="77777777" w:rsidTr="00835517">
        <w:tc>
          <w:tcPr>
            <w:tcW w:w="3255" w:type="dxa"/>
          </w:tcPr>
          <w:p w14:paraId="53743077" w14:textId="5FC813C6" w:rsidR="00835517" w:rsidRPr="00835517" w:rsidRDefault="002E0E06" w:rsidP="00DB3507">
            <w:pPr>
              <w:spacing w:after="120"/>
              <w:rPr>
                <w:rFonts w:cs="Times New Roman"/>
                <w:b/>
                <w:szCs w:val="24"/>
              </w:rPr>
            </w:pPr>
            <w:r>
              <w:rPr>
                <w:rFonts w:cs="Times New Roman"/>
                <w:b/>
                <w:szCs w:val="24"/>
              </w:rPr>
              <w:t>BDI: Beck Depression Inventory</w:t>
            </w:r>
          </w:p>
          <w:p w14:paraId="7BCFD3DB" w14:textId="760BF781" w:rsidR="00324A8A" w:rsidRPr="00835517" w:rsidRDefault="00835517" w:rsidP="00DB3507">
            <w:pPr>
              <w:spacing w:after="120"/>
              <w:rPr>
                <w:rFonts w:cs="Times New Roman"/>
                <w:i/>
                <w:szCs w:val="24"/>
              </w:rPr>
            </w:pPr>
            <w:r w:rsidRPr="00835517">
              <w:rPr>
                <w:rFonts w:cs="Times New Roman"/>
                <w:i/>
                <w:szCs w:val="24"/>
              </w:rPr>
              <w:t>Bec</w:t>
            </w:r>
            <w:r>
              <w:rPr>
                <w:rFonts w:cs="Times New Roman"/>
                <w:i/>
                <w:szCs w:val="24"/>
              </w:rPr>
              <w:t xml:space="preserve">k, 1978; </w:t>
            </w:r>
            <w:proofErr w:type="spellStart"/>
            <w:r>
              <w:rPr>
                <w:rFonts w:cs="Times New Roman"/>
                <w:i/>
                <w:szCs w:val="24"/>
              </w:rPr>
              <w:t>Sanz</w:t>
            </w:r>
            <w:proofErr w:type="spellEnd"/>
            <w:r>
              <w:rPr>
                <w:rFonts w:cs="Times New Roman"/>
                <w:i/>
                <w:szCs w:val="24"/>
              </w:rPr>
              <w:t xml:space="preserve"> and Vázquez, 1998</w:t>
            </w:r>
          </w:p>
        </w:tc>
        <w:tc>
          <w:tcPr>
            <w:tcW w:w="2836" w:type="dxa"/>
          </w:tcPr>
          <w:p w14:paraId="449A9F10" w14:textId="77777777" w:rsidR="00835517" w:rsidRPr="00835517" w:rsidRDefault="00835517" w:rsidP="00DB3507">
            <w:pPr>
              <w:spacing w:after="120"/>
              <w:rPr>
                <w:rFonts w:cs="Times New Roman"/>
                <w:szCs w:val="24"/>
                <w:lang w:val="es-ES"/>
              </w:rPr>
            </w:pPr>
            <w:r w:rsidRPr="00835517">
              <w:rPr>
                <w:rFonts w:cs="Times New Roman"/>
                <w:szCs w:val="24"/>
              </w:rPr>
              <w:t xml:space="preserve">Depressive symptoms </w:t>
            </w:r>
          </w:p>
          <w:p w14:paraId="5EFE8A64" w14:textId="77777777" w:rsidR="00324A8A" w:rsidRDefault="00324A8A" w:rsidP="00DB3507">
            <w:pPr>
              <w:spacing w:after="120"/>
              <w:rPr>
                <w:rFonts w:cs="Times New Roman"/>
                <w:szCs w:val="24"/>
              </w:rPr>
            </w:pPr>
          </w:p>
        </w:tc>
        <w:tc>
          <w:tcPr>
            <w:tcW w:w="3676" w:type="dxa"/>
          </w:tcPr>
          <w:p w14:paraId="6EFF8126" w14:textId="2DBBCABA" w:rsidR="00324A8A" w:rsidRDefault="00835517" w:rsidP="00DB3507">
            <w:pPr>
              <w:spacing w:after="120"/>
              <w:rPr>
                <w:rFonts w:cs="Times New Roman"/>
                <w:szCs w:val="24"/>
              </w:rPr>
            </w:pPr>
            <w:r w:rsidRPr="00835517">
              <w:rPr>
                <w:rFonts w:cs="Times New Roman"/>
                <w:szCs w:val="24"/>
              </w:rPr>
              <w:t>Higher scores indicat</w:t>
            </w:r>
            <w:r w:rsidR="002E0E06">
              <w:rPr>
                <w:rFonts w:cs="Times New Roman"/>
                <w:szCs w:val="24"/>
              </w:rPr>
              <w:t xml:space="preserve">e greater severity of symptoms: </w:t>
            </w:r>
            <w:r w:rsidRPr="00835517">
              <w:rPr>
                <w:rFonts w:cs="Times New Roman"/>
                <w:szCs w:val="24"/>
              </w:rPr>
              <w:t>scores 0 to 63)</w:t>
            </w:r>
          </w:p>
        </w:tc>
      </w:tr>
      <w:tr w:rsidR="00324A8A" w14:paraId="224D4E52" w14:textId="77777777" w:rsidTr="00835517">
        <w:tc>
          <w:tcPr>
            <w:tcW w:w="3255" w:type="dxa"/>
          </w:tcPr>
          <w:p w14:paraId="47A2A43D" w14:textId="20926FED" w:rsidR="00DB3507" w:rsidRPr="00DB3507" w:rsidRDefault="002E0E06" w:rsidP="00DB3507">
            <w:pPr>
              <w:spacing w:after="120"/>
              <w:rPr>
                <w:rFonts w:cs="Times New Roman"/>
                <w:b/>
                <w:szCs w:val="24"/>
              </w:rPr>
            </w:pPr>
            <w:r>
              <w:rPr>
                <w:rFonts w:cs="Times New Roman"/>
                <w:b/>
                <w:szCs w:val="24"/>
              </w:rPr>
              <w:t xml:space="preserve">RSES: </w:t>
            </w:r>
            <w:r w:rsidR="00835517" w:rsidRPr="00DB3507">
              <w:rPr>
                <w:rFonts w:cs="Times New Roman"/>
                <w:b/>
                <w:szCs w:val="24"/>
              </w:rPr>
              <w:t>Rose</w:t>
            </w:r>
            <w:r>
              <w:rPr>
                <w:rFonts w:cs="Times New Roman"/>
                <w:b/>
                <w:szCs w:val="24"/>
              </w:rPr>
              <w:t>nberg Self-Esteem Scale</w:t>
            </w:r>
          </w:p>
          <w:p w14:paraId="3FE088AE" w14:textId="5FA492DA" w:rsidR="00324A8A" w:rsidRPr="00DB3507" w:rsidRDefault="00835517" w:rsidP="00DB3507">
            <w:pPr>
              <w:spacing w:after="120"/>
              <w:rPr>
                <w:rFonts w:cs="Times New Roman"/>
                <w:i/>
                <w:szCs w:val="24"/>
              </w:rPr>
            </w:pPr>
            <w:r w:rsidRPr="00DB3507">
              <w:rPr>
                <w:rFonts w:cs="Times New Roman"/>
                <w:i/>
                <w:szCs w:val="24"/>
              </w:rPr>
              <w:t>Rosenberg, 1989; Martín-</w:t>
            </w:r>
            <w:proofErr w:type="spellStart"/>
            <w:r w:rsidRPr="00DB3507">
              <w:rPr>
                <w:rFonts w:cs="Times New Roman"/>
                <w:i/>
                <w:szCs w:val="24"/>
              </w:rPr>
              <w:t>Albo</w:t>
            </w:r>
            <w:proofErr w:type="spellEnd"/>
            <w:r w:rsidRPr="00DB3507">
              <w:rPr>
                <w:rFonts w:cs="Times New Roman"/>
                <w:i/>
                <w:szCs w:val="24"/>
              </w:rPr>
              <w:t xml:space="preserve">, </w:t>
            </w:r>
            <w:proofErr w:type="spellStart"/>
            <w:r w:rsidRPr="00DB3507">
              <w:rPr>
                <w:rFonts w:cs="Times New Roman"/>
                <w:i/>
                <w:szCs w:val="24"/>
              </w:rPr>
              <w:t>Núñ</w:t>
            </w:r>
            <w:r w:rsidR="00DB3507" w:rsidRPr="00DB3507">
              <w:rPr>
                <w:rFonts w:cs="Times New Roman"/>
                <w:i/>
                <w:szCs w:val="24"/>
              </w:rPr>
              <w:t>ez</w:t>
            </w:r>
            <w:proofErr w:type="spellEnd"/>
            <w:r w:rsidR="00DB3507" w:rsidRPr="00DB3507">
              <w:rPr>
                <w:rFonts w:cs="Times New Roman"/>
                <w:i/>
                <w:szCs w:val="24"/>
              </w:rPr>
              <w:t xml:space="preserve">, Navarro, and </w:t>
            </w:r>
            <w:proofErr w:type="spellStart"/>
            <w:r w:rsidR="00DB3507" w:rsidRPr="00DB3507">
              <w:rPr>
                <w:rFonts w:cs="Times New Roman"/>
                <w:i/>
                <w:szCs w:val="24"/>
              </w:rPr>
              <w:t>Grijalvo</w:t>
            </w:r>
            <w:proofErr w:type="spellEnd"/>
            <w:r w:rsidR="00DB3507" w:rsidRPr="00DB3507">
              <w:rPr>
                <w:rFonts w:cs="Times New Roman"/>
                <w:i/>
                <w:szCs w:val="24"/>
              </w:rPr>
              <w:t>, 2007</w:t>
            </w:r>
          </w:p>
        </w:tc>
        <w:tc>
          <w:tcPr>
            <w:tcW w:w="2836" w:type="dxa"/>
          </w:tcPr>
          <w:p w14:paraId="66E16A17" w14:textId="0393DDE6" w:rsidR="00835517" w:rsidRPr="00835517" w:rsidRDefault="00835517" w:rsidP="00DB3507">
            <w:pPr>
              <w:spacing w:after="120"/>
              <w:rPr>
                <w:rFonts w:cs="Times New Roman"/>
                <w:szCs w:val="24"/>
                <w:lang w:val="es-ES"/>
              </w:rPr>
            </w:pPr>
            <w:r>
              <w:rPr>
                <w:rFonts w:cs="Times New Roman"/>
                <w:szCs w:val="24"/>
              </w:rPr>
              <w:t>Self-</w:t>
            </w:r>
            <w:r w:rsidRPr="00835517">
              <w:rPr>
                <w:rFonts w:cs="Times New Roman"/>
                <w:szCs w:val="24"/>
              </w:rPr>
              <w:t>Esteem</w:t>
            </w:r>
          </w:p>
          <w:p w14:paraId="0E17D6A4" w14:textId="77777777" w:rsidR="00324A8A" w:rsidRDefault="00324A8A" w:rsidP="00DB3507">
            <w:pPr>
              <w:spacing w:after="120"/>
              <w:rPr>
                <w:rFonts w:cs="Times New Roman"/>
                <w:szCs w:val="24"/>
              </w:rPr>
            </w:pPr>
          </w:p>
        </w:tc>
        <w:tc>
          <w:tcPr>
            <w:tcW w:w="3676" w:type="dxa"/>
          </w:tcPr>
          <w:p w14:paraId="23E84FE2" w14:textId="1F60BB09" w:rsidR="00324A8A" w:rsidRDefault="00835517" w:rsidP="00DB3507">
            <w:pPr>
              <w:spacing w:after="120"/>
              <w:rPr>
                <w:rFonts w:cs="Times New Roman"/>
                <w:szCs w:val="24"/>
              </w:rPr>
            </w:pPr>
            <w:r w:rsidRPr="00835517">
              <w:rPr>
                <w:rFonts w:cs="Times New Roman"/>
                <w:szCs w:val="24"/>
              </w:rPr>
              <w:t>Higher scor</w:t>
            </w:r>
            <w:r w:rsidR="002E0E06">
              <w:rPr>
                <w:rFonts w:cs="Times New Roman"/>
                <w:szCs w:val="24"/>
              </w:rPr>
              <w:t>es indicate better self-esteem: scores 10 to 40</w:t>
            </w:r>
          </w:p>
        </w:tc>
      </w:tr>
      <w:tr w:rsidR="00324A8A" w:rsidRPr="00835517" w14:paraId="01FFECDB" w14:textId="77777777" w:rsidTr="00835517">
        <w:tc>
          <w:tcPr>
            <w:tcW w:w="3255" w:type="dxa"/>
          </w:tcPr>
          <w:p w14:paraId="43235482" w14:textId="6AD3A40D" w:rsidR="00835517" w:rsidRPr="00835517" w:rsidRDefault="002E0E06" w:rsidP="00DB3507">
            <w:pPr>
              <w:spacing w:after="120"/>
              <w:rPr>
                <w:rFonts w:cs="Times New Roman"/>
                <w:szCs w:val="24"/>
              </w:rPr>
            </w:pPr>
            <w:r>
              <w:rPr>
                <w:rFonts w:cs="Times New Roman"/>
                <w:b/>
                <w:bCs/>
                <w:szCs w:val="24"/>
              </w:rPr>
              <w:t xml:space="preserve">SUMD: </w:t>
            </w:r>
            <w:r w:rsidR="00835517" w:rsidRPr="00835517">
              <w:rPr>
                <w:rFonts w:cs="Times New Roman"/>
                <w:b/>
                <w:bCs/>
                <w:szCs w:val="24"/>
              </w:rPr>
              <w:t>Scale to Assess Unaware</w:t>
            </w:r>
            <w:r>
              <w:rPr>
                <w:rFonts w:cs="Times New Roman"/>
                <w:b/>
                <w:bCs/>
                <w:szCs w:val="24"/>
              </w:rPr>
              <w:t>ness in Mental Disorders</w:t>
            </w:r>
          </w:p>
          <w:p w14:paraId="0AC262A1" w14:textId="40C1FF84" w:rsidR="00324A8A" w:rsidRPr="002E0E06" w:rsidRDefault="00835517" w:rsidP="00DB3507">
            <w:pPr>
              <w:spacing w:after="120"/>
              <w:rPr>
                <w:rFonts w:cs="Times New Roman"/>
                <w:i/>
                <w:szCs w:val="24"/>
                <w:lang w:val="es-ES"/>
              </w:rPr>
            </w:pPr>
            <w:r w:rsidRPr="002E0E06">
              <w:rPr>
                <w:rFonts w:cs="Times New Roman"/>
                <w:i/>
                <w:szCs w:val="24"/>
                <w:lang w:val="es-ES"/>
              </w:rPr>
              <w:t>Amador e</w:t>
            </w:r>
            <w:r w:rsidR="002E0E06">
              <w:rPr>
                <w:rFonts w:cs="Times New Roman"/>
                <w:i/>
                <w:szCs w:val="24"/>
                <w:lang w:val="es-ES"/>
              </w:rPr>
              <w:t>t al., 1993; Ruiz et al., 2008</w:t>
            </w:r>
          </w:p>
        </w:tc>
        <w:tc>
          <w:tcPr>
            <w:tcW w:w="2836" w:type="dxa"/>
          </w:tcPr>
          <w:p w14:paraId="548AF3BD" w14:textId="487EAD72" w:rsidR="00324A8A" w:rsidRPr="00835517" w:rsidRDefault="00835517" w:rsidP="00DB3507">
            <w:pPr>
              <w:spacing w:after="120"/>
              <w:rPr>
                <w:rFonts w:cs="Times New Roman"/>
                <w:szCs w:val="24"/>
                <w:lang w:val="es-ES"/>
              </w:rPr>
            </w:pPr>
            <w:proofErr w:type="spellStart"/>
            <w:r>
              <w:rPr>
                <w:rFonts w:cs="Times New Roman"/>
                <w:szCs w:val="24"/>
                <w:lang w:val="es-ES"/>
              </w:rPr>
              <w:t>Clinical</w:t>
            </w:r>
            <w:proofErr w:type="spellEnd"/>
            <w:r>
              <w:rPr>
                <w:rFonts w:cs="Times New Roman"/>
                <w:szCs w:val="24"/>
                <w:lang w:val="es-ES"/>
              </w:rPr>
              <w:t xml:space="preserve"> </w:t>
            </w:r>
            <w:proofErr w:type="spellStart"/>
            <w:r>
              <w:rPr>
                <w:rFonts w:cs="Times New Roman"/>
                <w:szCs w:val="24"/>
                <w:lang w:val="es-ES"/>
              </w:rPr>
              <w:t>insight</w:t>
            </w:r>
            <w:proofErr w:type="spellEnd"/>
          </w:p>
        </w:tc>
        <w:tc>
          <w:tcPr>
            <w:tcW w:w="3676" w:type="dxa"/>
          </w:tcPr>
          <w:p w14:paraId="2B459464" w14:textId="40352F33" w:rsidR="00835517" w:rsidRPr="00835517" w:rsidRDefault="00835517" w:rsidP="00DB3507">
            <w:pPr>
              <w:spacing w:after="120"/>
              <w:rPr>
                <w:rFonts w:cs="Times New Roman"/>
                <w:szCs w:val="24"/>
              </w:rPr>
            </w:pPr>
            <w:r w:rsidRPr="00835517">
              <w:rPr>
                <w:rFonts w:cs="Times New Roman"/>
                <w:szCs w:val="24"/>
              </w:rPr>
              <w:t>Higher sc</w:t>
            </w:r>
            <w:r w:rsidR="002E0E06">
              <w:rPr>
                <w:rFonts w:cs="Times New Roman"/>
                <w:szCs w:val="24"/>
              </w:rPr>
              <w:t>ores indicate more unawareness: scores 3 to 15</w:t>
            </w:r>
          </w:p>
          <w:p w14:paraId="5E4E6EDD" w14:textId="439209B3" w:rsidR="00324A8A" w:rsidRPr="00835517" w:rsidRDefault="00324A8A" w:rsidP="00DB3507">
            <w:pPr>
              <w:spacing w:after="120"/>
              <w:rPr>
                <w:rFonts w:cs="Times New Roman"/>
                <w:szCs w:val="24"/>
              </w:rPr>
            </w:pPr>
          </w:p>
        </w:tc>
      </w:tr>
      <w:tr w:rsidR="00835517" w14:paraId="5E84A5C8" w14:textId="77777777" w:rsidTr="00835517">
        <w:tc>
          <w:tcPr>
            <w:tcW w:w="9767" w:type="dxa"/>
            <w:gridSpan w:val="3"/>
            <w:shd w:val="clear" w:color="auto" w:fill="D9D9D9" w:themeFill="background1" w:themeFillShade="D9"/>
          </w:tcPr>
          <w:p w14:paraId="51C71BDC" w14:textId="144B82A6" w:rsidR="00835517" w:rsidRPr="00835517" w:rsidRDefault="00835517" w:rsidP="00994A3D">
            <w:pPr>
              <w:jc w:val="both"/>
              <w:rPr>
                <w:rFonts w:cs="Times New Roman"/>
                <w:b/>
                <w:szCs w:val="24"/>
              </w:rPr>
            </w:pPr>
            <w:r w:rsidRPr="00835517">
              <w:rPr>
                <w:rFonts w:cs="Times New Roman"/>
                <w:b/>
                <w:szCs w:val="24"/>
              </w:rPr>
              <w:t>Social cognition</w:t>
            </w:r>
          </w:p>
        </w:tc>
      </w:tr>
      <w:tr w:rsidR="00324A8A" w14:paraId="4E0EB4FE" w14:textId="77777777" w:rsidTr="00835517">
        <w:tc>
          <w:tcPr>
            <w:tcW w:w="3255" w:type="dxa"/>
          </w:tcPr>
          <w:p w14:paraId="17358949" w14:textId="77777777" w:rsidR="00F017D9" w:rsidRDefault="00F017D9" w:rsidP="00F017D9">
            <w:pPr>
              <w:spacing w:after="120"/>
              <w:rPr>
                <w:rFonts w:cs="Times New Roman"/>
                <w:b/>
                <w:bCs/>
                <w:szCs w:val="24"/>
              </w:rPr>
            </w:pPr>
            <w:r w:rsidRPr="00F017D9">
              <w:rPr>
                <w:rFonts w:cs="Times New Roman"/>
                <w:b/>
                <w:bCs/>
                <w:szCs w:val="24"/>
              </w:rPr>
              <w:t>IPSAQ</w:t>
            </w:r>
            <w:r>
              <w:rPr>
                <w:rFonts w:cs="Times New Roman"/>
                <w:b/>
                <w:bCs/>
                <w:szCs w:val="24"/>
              </w:rPr>
              <w:t xml:space="preserve">: </w:t>
            </w:r>
            <w:r w:rsidRPr="00F017D9">
              <w:rPr>
                <w:rFonts w:cs="Times New Roman"/>
                <w:b/>
                <w:bCs/>
                <w:szCs w:val="24"/>
              </w:rPr>
              <w:t>Internal, Personal and Situation</w:t>
            </w:r>
            <w:r>
              <w:rPr>
                <w:rFonts w:cs="Times New Roman"/>
                <w:b/>
                <w:bCs/>
                <w:szCs w:val="24"/>
              </w:rPr>
              <w:t>al Attributions Questionnaire</w:t>
            </w:r>
          </w:p>
          <w:p w14:paraId="21D8C1D9" w14:textId="2F14AC9F" w:rsidR="00324A8A" w:rsidRPr="00F017D9" w:rsidRDefault="00F017D9" w:rsidP="00F017D9">
            <w:pPr>
              <w:spacing w:after="120"/>
              <w:rPr>
                <w:rFonts w:cs="Times New Roman"/>
                <w:i/>
                <w:szCs w:val="24"/>
              </w:rPr>
            </w:pPr>
            <w:proofErr w:type="spellStart"/>
            <w:r w:rsidRPr="00F017D9">
              <w:rPr>
                <w:rFonts w:cs="Times New Roman"/>
                <w:i/>
                <w:szCs w:val="24"/>
              </w:rPr>
              <w:t>Kinderman</w:t>
            </w:r>
            <w:proofErr w:type="spellEnd"/>
            <w:r w:rsidRPr="00F017D9">
              <w:rPr>
                <w:rFonts w:cs="Times New Roman"/>
                <w:i/>
                <w:szCs w:val="24"/>
              </w:rPr>
              <w:t xml:space="preserve"> and </w:t>
            </w:r>
            <w:proofErr w:type="spellStart"/>
            <w:r w:rsidRPr="00F017D9">
              <w:rPr>
                <w:rFonts w:cs="Times New Roman"/>
                <w:i/>
                <w:szCs w:val="24"/>
              </w:rPr>
              <w:t>Bentall</w:t>
            </w:r>
            <w:proofErr w:type="spellEnd"/>
            <w:r w:rsidRPr="00F017D9">
              <w:rPr>
                <w:rFonts w:cs="Times New Roman"/>
                <w:i/>
                <w:szCs w:val="24"/>
              </w:rPr>
              <w:t xml:space="preserve">, 1989; </w:t>
            </w:r>
            <w:proofErr w:type="spellStart"/>
            <w:r w:rsidRPr="00F017D9">
              <w:rPr>
                <w:rFonts w:cs="Times New Roman"/>
                <w:i/>
                <w:szCs w:val="24"/>
              </w:rPr>
              <w:t>Díez-Alegría</w:t>
            </w:r>
            <w:proofErr w:type="spellEnd"/>
            <w:r w:rsidRPr="00F017D9">
              <w:rPr>
                <w:rFonts w:cs="Times New Roman"/>
                <w:i/>
                <w:szCs w:val="24"/>
              </w:rPr>
              <w:t xml:space="preserve"> and Vázquez-</w:t>
            </w:r>
            <w:proofErr w:type="spellStart"/>
            <w:r w:rsidRPr="00F017D9">
              <w:rPr>
                <w:rFonts w:cs="Times New Roman"/>
                <w:i/>
                <w:szCs w:val="24"/>
              </w:rPr>
              <w:t>Valverde</w:t>
            </w:r>
            <w:proofErr w:type="spellEnd"/>
            <w:r w:rsidRPr="00F017D9">
              <w:rPr>
                <w:rFonts w:cs="Times New Roman"/>
                <w:i/>
                <w:szCs w:val="24"/>
              </w:rPr>
              <w:t xml:space="preserve">, 2006 </w:t>
            </w:r>
          </w:p>
        </w:tc>
        <w:tc>
          <w:tcPr>
            <w:tcW w:w="2836" w:type="dxa"/>
          </w:tcPr>
          <w:p w14:paraId="2D8EDEE8" w14:textId="2FD98C8A" w:rsidR="00324A8A" w:rsidRDefault="00F017D9" w:rsidP="00994A3D">
            <w:pPr>
              <w:jc w:val="both"/>
              <w:rPr>
                <w:rFonts w:cs="Times New Roman"/>
                <w:szCs w:val="24"/>
              </w:rPr>
            </w:pPr>
            <w:r>
              <w:rPr>
                <w:rFonts w:cs="Times New Roman"/>
                <w:szCs w:val="24"/>
              </w:rPr>
              <w:t>Attributional style</w:t>
            </w:r>
          </w:p>
        </w:tc>
        <w:tc>
          <w:tcPr>
            <w:tcW w:w="3676" w:type="dxa"/>
          </w:tcPr>
          <w:p w14:paraId="1FA7756F" w14:textId="77777777" w:rsidR="00F017D9" w:rsidRDefault="00F017D9" w:rsidP="00F017D9">
            <w:pPr>
              <w:spacing w:after="120"/>
              <w:rPr>
                <w:rFonts w:cs="Times New Roman"/>
                <w:szCs w:val="24"/>
              </w:rPr>
            </w:pPr>
            <w:r w:rsidRPr="00F017D9">
              <w:rPr>
                <w:rFonts w:cs="Times New Roman"/>
                <w:szCs w:val="24"/>
              </w:rPr>
              <w:t xml:space="preserve">Externalizing Bias: positive scores indicate a stronger bias. </w:t>
            </w:r>
          </w:p>
          <w:p w14:paraId="6E5F6331" w14:textId="53B9F2E1" w:rsidR="00F017D9" w:rsidRPr="00F017D9" w:rsidRDefault="00F017D9" w:rsidP="00F017D9">
            <w:pPr>
              <w:spacing w:after="120"/>
              <w:rPr>
                <w:rFonts w:cs="Times New Roman"/>
                <w:szCs w:val="24"/>
              </w:rPr>
            </w:pPr>
            <w:r w:rsidRPr="00F017D9">
              <w:rPr>
                <w:rFonts w:cs="Times New Roman"/>
                <w:szCs w:val="24"/>
              </w:rPr>
              <w:t>Personalizing Bias: scores higher than 0.5 indicate a higher proportion of external personal attributions for negative events, compared to situational attributions.</w:t>
            </w:r>
          </w:p>
          <w:p w14:paraId="139173A8" w14:textId="1E473A28" w:rsidR="00324A8A" w:rsidRDefault="00324A8A" w:rsidP="00994A3D">
            <w:pPr>
              <w:jc w:val="both"/>
              <w:rPr>
                <w:rFonts w:cs="Times New Roman"/>
                <w:szCs w:val="24"/>
              </w:rPr>
            </w:pPr>
          </w:p>
        </w:tc>
      </w:tr>
      <w:tr w:rsidR="00835517" w14:paraId="35676E91" w14:textId="77777777" w:rsidTr="00835517">
        <w:tc>
          <w:tcPr>
            <w:tcW w:w="3255" w:type="dxa"/>
          </w:tcPr>
          <w:p w14:paraId="3B6E5401" w14:textId="77777777" w:rsidR="00F017D9" w:rsidRDefault="00F017D9" w:rsidP="00F017D9">
            <w:pPr>
              <w:spacing w:after="120"/>
              <w:rPr>
                <w:rFonts w:cs="Times New Roman"/>
                <w:b/>
                <w:bCs/>
                <w:szCs w:val="24"/>
              </w:rPr>
            </w:pPr>
            <w:r w:rsidRPr="00F017D9">
              <w:rPr>
                <w:rFonts w:cs="Times New Roman"/>
                <w:b/>
                <w:bCs/>
                <w:szCs w:val="24"/>
              </w:rPr>
              <w:t xml:space="preserve">Hinting Task </w:t>
            </w:r>
          </w:p>
          <w:p w14:paraId="560FE94D" w14:textId="4E633BC3" w:rsidR="00835517" w:rsidRPr="00F017D9" w:rsidRDefault="00F017D9" w:rsidP="00F017D9">
            <w:pPr>
              <w:spacing w:after="120"/>
              <w:rPr>
                <w:rFonts w:cs="Times New Roman"/>
                <w:i/>
                <w:szCs w:val="24"/>
              </w:rPr>
            </w:pPr>
            <w:r w:rsidRPr="00F017D9">
              <w:rPr>
                <w:rFonts w:cs="Times New Roman"/>
                <w:i/>
                <w:szCs w:val="24"/>
              </w:rPr>
              <w:t xml:space="preserve">Corcoran, Mercer, and </w:t>
            </w:r>
            <w:proofErr w:type="spellStart"/>
            <w:r w:rsidRPr="00F017D9">
              <w:rPr>
                <w:rFonts w:cs="Times New Roman"/>
                <w:i/>
                <w:szCs w:val="24"/>
              </w:rPr>
              <w:t>Frith</w:t>
            </w:r>
            <w:proofErr w:type="spellEnd"/>
            <w:r w:rsidRPr="00F017D9">
              <w:rPr>
                <w:rFonts w:cs="Times New Roman"/>
                <w:i/>
                <w:szCs w:val="24"/>
              </w:rPr>
              <w:t xml:space="preserve">, 1995; Gil, </w:t>
            </w:r>
            <w:proofErr w:type="spellStart"/>
            <w:r w:rsidRPr="00F017D9">
              <w:rPr>
                <w:rFonts w:cs="Times New Roman"/>
                <w:i/>
                <w:szCs w:val="24"/>
              </w:rPr>
              <w:t>Fernández-Modamio</w:t>
            </w:r>
            <w:proofErr w:type="spellEnd"/>
            <w:r w:rsidRPr="00F017D9">
              <w:rPr>
                <w:rFonts w:cs="Times New Roman"/>
                <w:i/>
                <w:szCs w:val="24"/>
              </w:rPr>
              <w:t xml:space="preserve">, </w:t>
            </w:r>
            <w:proofErr w:type="spellStart"/>
            <w:r w:rsidRPr="00F017D9">
              <w:rPr>
                <w:rFonts w:cs="Times New Roman"/>
                <w:i/>
                <w:szCs w:val="24"/>
              </w:rPr>
              <w:t>Bengochea</w:t>
            </w:r>
            <w:proofErr w:type="spellEnd"/>
            <w:r w:rsidRPr="00F017D9">
              <w:rPr>
                <w:rFonts w:cs="Times New Roman"/>
                <w:i/>
                <w:szCs w:val="24"/>
              </w:rPr>
              <w:t xml:space="preserve">, and </w:t>
            </w:r>
            <w:proofErr w:type="spellStart"/>
            <w:r w:rsidRPr="00F017D9">
              <w:rPr>
                <w:rFonts w:cs="Times New Roman"/>
                <w:i/>
                <w:szCs w:val="24"/>
              </w:rPr>
              <w:t>Arrieta</w:t>
            </w:r>
            <w:proofErr w:type="spellEnd"/>
            <w:r w:rsidRPr="00F017D9">
              <w:rPr>
                <w:rFonts w:cs="Times New Roman"/>
                <w:i/>
                <w:szCs w:val="24"/>
              </w:rPr>
              <w:t>, 2012</w:t>
            </w:r>
          </w:p>
        </w:tc>
        <w:tc>
          <w:tcPr>
            <w:tcW w:w="2836" w:type="dxa"/>
          </w:tcPr>
          <w:p w14:paraId="3B760F68" w14:textId="23741B11" w:rsidR="00835517" w:rsidRDefault="00F017D9" w:rsidP="00F017D9">
            <w:pPr>
              <w:spacing w:after="120"/>
              <w:rPr>
                <w:rFonts w:cs="Times New Roman"/>
                <w:szCs w:val="24"/>
              </w:rPr>
            </w:pPr>
            <w:r>
              <w:rPr>
                <w:rFonts w:cs="Times New Roman"/>
                <w:szCs w:val="24"/>
              </w:rPr>
              <w:t>Theory of mind</w:t>
            </w:r>
          </w:p>
        </w:tc>
        <w:tc>
          <w:tcPr>
            <w:tcW w:w="3676" w:type="dxa"/>
          </w:tcPr>
          <w:p w14:paraId="3B39D9DB" w14:textId="665CDDA7" w:rsidR="00835517" w:rsidRDefault="00F017D9" w:rsidP="00F017D9">
            <w:pPr>
              <w:spacing w:after="120"/>
              <w:rPr>
                <w:rFonts w:cs="Times New Roman"/>
                <w:szCs w:val="24"/>
              </w:rPr>
            </w:pPr>
            <w:r w:rsidRPr="00F017D9">
              <w:rPr>
                <w:rFonts w:cs="Times New Roman"/>
                <w:szCs w:val="24"/>
              </w:rPr>
              <w:t>Lower scores indicate wor</w:t>
            </w:r>
            <w:r>
              <w:rPr>
                <w:rFonts w:cs="Times New Roman"/>
                <w:szCs w:val="24"/>
              </w:rPr>
              <w:t>se performance: scores 0 to 12</w:t>
            </w:r>
          </w:p>
        </w:tc>
      </w:tr>
      <w:tr w:rsidR="00835517" w14:paraId="291C39AB" w14:textId="77777777" w:rsidTr="00835517">
        <w:tc>
          <w:tcPr>
            <w:tcW w:w="3255" w:type="dxa"/>
          </w:tcPr>
          <w:p w14:paraId="430DD211" w14:textId="77777777" w:rsidR="00F017D9" w:rsidRDefault="00F017D9" w:rsidP="00F017D9">
            <w:pPr>
              <w:spacing w:after="120"/>
              <w:rPr>
                <w:rFonts w:cs="Times New Roman"/>
                <w:szCs w:val="24"/>
              </w:rPr>
            </w:pPr>
            <w:r w:rsidRPr="00F017D9">
              <w:rPr>
                <w:rFonts w:cs="Times New Roman"/>
                <w:b/>
                <w:bCs/>
                <w:szCs w:val="24"/>
              </w:rPr>
              <w:t xml:space="preserve">Faces Test </w:t>
            </w:r>
          </w:p>
          <w:p w14:paraId="34B7D391" w14:textId="07E07396" w:rsidR="00835517" w:rsidRPr="00F017D9" w:rsidRDefault="00F017D9" w:rsidP="00F017D9">
            <w:pPr>
              <w:spacing w:after="120"/>
              <w:rPr>
                <w:rFonts w:cs="Times New Roman"/>
                <w:i/>
                <w:szCs w:val="24"/>
              </w:rPr>
            </w:pPr>
            <w:r w:rsidRPr="00F017D9">
              <w:rPr>
                <w:rFonts w:cs="Times New Roman"/>
                <w:i/>
                <w:szCs w:val="24"/>
              </w:rPr>
              <w:t xml:space="preserve">Baron-Cohen, Wheelwright, and </w:t>
            </w:r>
            <w:proofErr w:type="spellStart"/>
            <w:r w:rsidRPr="00F017D9">
              <w:rPr>
                <w:rFonts w:cs="Times New Roman"/>
                <w:i/>
                <w:szCs w:val="24"/>
              </w:rPr>
              <w:t>Jolliffe</w:t>
            </w:r>
            <w:proofErr w:type="spellEnd"/>
            <w:r w:rsidRPr="00F017D9">
              <w:rPr>
                <w:rFonts w:cs="Times New Roman"/>
                <w:i/>
                <w:szCs w:val="24"/>
              </w:rPr>
              <w:t>, 1997; Huerta-Ramos et al., 2021</w:t>
            </w:r>
          </w:p>
        </w:tc>
        <w:tc>
          <w:tcPr>
            <w:tcW w:w="2836" w:type="dxa"/>
          </w:tcPr>
          <w:p w14:paraId="0B3C30A8" w14:textId="142A28CE" w:rsidR="00835517" w:rsidRDefault="00F017D9" w:rsidP="00F017D9">
            <w:pPr>
              <w:spacing w:after="120"/>
              <w:rPr>
                <w:rFonts w:cs="Times New Roman"/>
                <w:szCs w:val="24"/>
              </w:rPr>
            </w:pPr>
            <w:r>
              <w:rPr>
                <w:rFonts w:cs="Times New Roman"/>
                <w:szCs w:val="24"/>
              </w:rPr>
              <w:t>Emotion Processing</w:t>
            </w:r>
          </w:p>
        </w:tc>
        <w:tc>
          <w:tcPr>
            <w:tcW w:w="3676" w:type="dxa"/>
          </w:tcPr>
          <w:p w14:paraId="1F235262" w14:textId="029DC4A9" w:rsidR="00835517" w:rsidRDefault="00F017D9" w:rsidP="00F017D9">
            <w:pPr>
              <w:spacing w:after="120"/>
              <w:rPr>
                <w:rFonts w:cs="Times New Roman"/>
                <w:szCs w:val="24"/>
              </w:rPr>
            </w:pPr>
            <w:r w:rsidRPr="00F017D9">
              <w:rPr>
                <w:rFonts w:cs="Times New Roman"/>
                <w:szCs w:val="24"/>
              </w:rPr>
              <w:t>Higher scores indicate better emotional processi</w:t>
            </w:r>
            <w:r>
              <w:rPr>
                <w:rFonts w:cs="Times New Roman"/>
                <w:szCs w:val="24"/>
              </w:rPr>
              <w:t>ng performance: scores 0 to 20</w:t>
            </w:r>
          </w:p>
        </w:tc>
      </w:tr>
      <w:tr w:rsidR="00835517" w14:paraId="6954FFFC" w14:textId="77777777" w:rsidTr="00835517">
        <w:tc>
          <w:tcPr>
            <w:tcW w:w="9767" w:type="dxa"/>
            <w:gridSpan w:val="3"/>
            <w:shd w:val="clear" w:color="auto" w:fill="D9D9D9" w:themeFill="background1" w:themeFillShade="D9"/>
          </w:tcPr>
          <w:p w14:paraId="1E316DFB" w14:textId="642B2022" w:rsidR="00835517" w:rsidRPr="00835517" w:rsidRDefault="00835517" w:rsidP="00994A3D">
            <w:pPr>
              <w:jc w:val="both"/>
              <w:rPr>
                <w:rFonts w:cs="Times New Roman"/>
                <w:b/>
                <w:szCs w:val="24"/>
              </w:rPr>
            </w:pPr>
            <w:r w:rsidRPr="00835517">
              <w:rPr>
                <w:rFonts w:cs="Times New Roman"/>
                <w:b/>
                <w:szCs w:val="24"/>
              </w:rPr>
              <w:t>Metacognition</w:t>
            </w:r>
          </w:p>
        </w:tc>
      </w:tr>
      <w:tr w:rsidR="00835517" w14:paraId="37059C81" w14:textId="77777777" w:rsidTr="00835517">
        <w:tc>
          <w:tcPr>
            <w:tcW w:w="3255" w:type="dxa"/>
          </w:tcPr>
          <w:p w14:paraId="31B77642" w14:textId="0471BA4B" w:rsidR="00F017D9" w:rsidRDefault="00F017D9" w:rsidP="00F017D9">
            <w:pPr>
              <w:spacing w:after="120"/>
              <w:rPr>
                <w:rFonts w:cs="Times New Roman"/>
                <w:b/>
                <w:bCs/>
                <w:szCs w:val="24"/>
              </w:rPr>
            </w:pPr>
            <w:r>
              <w:rPr>
                <w:rFonts w:cs="Times New Roman"/>
                <w:b/>
                <w:bCs/>
                <w:szCs w:val="24"/>
              </w:rPr>
              <w:t xml:space="preserve">BCIS: </w:t>
            </w:r>
            <w:r w:rsidRPr="00F017D9">
              <w:rPr>
                <w:rFonts w:cs="Times New Roman"/>
                <w:b/>
                <w:bCs/>
                <w:szCs w:val="24"/>
              </w:rPr>
              <w:t>Beck</w:t>
            </w:r>
            <w:r>
              <w:rPr>
                <w:rFonts w:cs="Times New Roman"/>
                <w:b/>
                <w:bCs/>
                <w:szCs w:val="24"/>
              </w:rPr>
              <w:t xml:space="preserve"> Cognitive Insight Scale</w:t>
            </w:r>
          </w:p>
          <w:p w14:paraId="3BDD32D0" w14:textId="50B21C84" w:rsidR="00835517" w:rsidRPr="00F017D9" w:rsidRDefault="00F017D9" w:rsidP="00F017D9">
            <w:pPr>
              <w:spacing w:after="120"/>
              <w:rPr>
                <w:rFonts w:cs="Times New Roman"/>
                <w:i/>
                <w:szCs w:val="24"/>
              </w:rPr>
            </w:pPr>
            <w:r w:rsidRPr="00F017D9">
              <w:rPr>
                <w:rFonts w:cs="Times New Roman"/>
                <w:i/>
                <w:szCs w:val="24"/>
              </w:rPr>
              <w:t xml:space="preserve">Beck, Baruch, and </w:t>
            </w:r>
            <w:proofErr w:type="spellStart"/>
            <w:r w:rsidRPr="00F017D9">
              <w:rPr>
                <w:rFonts w:cs="Times New Roman"/>
                <w:i/>
                <w:szCs w:val="24"/>
              </w:rPr>
              <w:t>Balter</w:t>
            </w:r>
            <w:proofErr w:type="spellEnd"/>
            <w:r w:rsidRPr="00F017D9">
              <w:rPr>
                <w:rFonts w:cs="Times New Roman"/>
                <w:i/>
                <w:szCs w:val="24"/>
              </w:rPr>
              <w:t>, 2004; Gutiérrez-</w:t>
            </w:r>
            <w:proofErr w:type="spellStart"/>
            <w:r w:rsidRPr="00F017D9">
              <w:rPr>
                <w:rFonts w:cs="Times New Roman"/>
                <w:i/>
                <w:szCs w:val="24"/>
              </w:rPr>
              <w:t>Zotes</w:t>
            </w:r>
            <w:proofErr w:type="spellEnd"/>
            <w:r w:rsidRPr="00F017D9">
              <w:rPr>
                <w:rFonts w:cs="Times New Roman"/>
                <w:i/>
                <w:szCs w:val="24"/>
              </w:rPr>
              <w:t xml:space="preserve">, Valero, and </w:t>
            </w:r>
            <w:proofErr w:type="spellStart"/>
            <w:r w:rsidRPr="00F017D9">
              <w:rPr>
                <w:rFonts w:cs="Times New Roman"/>
                <w:i/>
                <w:szCs w:val="24"/>
              </w:rPr>
              <w:t>Escartin</w:t>
            </w:r>
            <w:proofErr w:type="spellEnd"/>
            <w:r w:rsidRPr="00F017D9">
              <w:rPr>
                <w:rFonts w:cs="Times New Roman"/>
                <w:i/>
                <w:szCs w:val="24"/>
              </w:rPr>
              <w:t>, 2012</w:t>
            </w:r>
          </w:p>
        </w:tc>
        <w:tc>
          <w:tcPr>
            <w:tcW w:w="2836" w:type="dxa"/>
          </w:tcPr>
          <w:p w14:paraId="482245E5" w14:textId="77777777" w:rsidR="00F017D9" w:rsidRPr="00F017D9" w:rsidRDefault="00F017D9" w:rsidP="00F017D9">
            <w:pPr>
              <w:spacing w:after="120"/>
              <w:rPr>
                <w:rFonts w:cs="Times New Roman"/>
                <w:szCs w:val="24"/>
                <w:lang w:val="es-ES"/>
              </w:rPr>
            </w:pPr>
            <w:r w:rsidRPr="00F017D9">
              <w:rPr>
                <w:rFonts w:cs="Times New Roman"/>
                <w:szCs w:val="24"/>
              </w:rPr>
              <w:t xml:space="preserve">Cognitive insight </w:t>
            </w:r>
          </w:p>
          <w:p w14:paraId="2FF33C97" w14:textId="77777777" w:rsidR="00835517" w:rsidRDefault="00835517" w:rsidP="00F017D9">
            <w:pPr>
              <w:spacing w:after="120"/>
              <w:rPr>
                <w:rFonts w:cs="Times New Roman"/>
                <w:szCs w:val="24"/>
              </w:rPr>
            </w:pPr>
          </w:p>
        </w:tc>
        <w:tc>
          <w:tcPr>
            <w:tcW w:w="3676" w:type="dxa"/>
          </w:tcPr>
          <w:p w14:paraId="19D38F7F" w14:textId="77777777" w:rsidR="00F017D9" w:rsidRDefault="00F017D9" w:rsidP="00F017D9">
            <w:pPr>
              <w:spacing w:after="120"/>
              <w:rPr>
                <w:rFonts w:cs="Times New Roman"/>
                <w:szCs w:val="24"/>
              </w:rPr>
            </w:pPr>
            <w:r>
              <w:rPr>
                <w:rFonts w:cs="Times New Roman"/>
                <w:szCs w:val="24"/>
              </w:rPr>
              <w:t xml:space="preserve">Self-reflectivity, </w:t>
            </w:r>
            <w:r w:rsidRPr="00F017D9">
              <w:rPr>
                <w:rFonts w:cs="Times New Roman"/>
                <w:szCs w:val="24"/>
              </w:rPr>
              <w:t>higher scores indicate a greater tendency to question one's belie</w:t>
            </w:r>
            <w:r>
              <w:rPr>
                <w:rFonts w:cs="Times New Roman"/>
                <w:szCs w:val="24"/>
              </w:rPr>
              <w:t>fs: scores 0 to 27</w:t>
            </w:r>
            <w:r w:rsidRPr="00F017D9">
              <w:rPr>
                <w:rFonts w:cs="Times New Roman"/>
                <w:szCs w:val="24"/>
              </w:rPr>
              <w:t xml:space="preserve">. </w:t>
            </w:r>
          </w:p>
          <w:p w14:paraId="78969445" w14:textId="77777777" w:rsidR="00F017D9" w:rsidRDefault="00F017D9" w:rsidP="00F017D9">
            <w:pPr>
              <w:spacing w:after="120"/>
              <w:rPr>
                <w:rFonts w:cs="Times New Roman"/>
                <w:szCs w:val="24"/>
              </w:rPr>
            </w:pPr>
            <w:r>
              <w:rPr>
                <w:rFonts w:cs="Times New Roman"/>
                <w:szCs w:val="24"/>
              </w:rPr>
              <w:t>Self-certainty,</w:t>
            </w:r>
            <w:r w:rsidRPr="00F017D9">
              <w:rPr>
                <w:rFonts w:cs="Times New Roman"/>
                <w:szCs w:val="24"/>
              </w:rPr>
              <w:t xml:space="preserve"> higher scores indicate greater cert</w:t>
            </w:r>
            <w:r>
              <w:rPr>
                <w:rFonts w:cs="Times New Roman"/>
                <w:szCs w:val="24"/>
              </w:rPr>
              <w:t>ainty in one's interpretations: scores 0 to 18</w:t>
            </w:r>
            <w:r w:rsidRPr="00F017D9">
              <w:rPr>
                <w:rFonts w:cs="Times New Roman"/>
                <w:szCs w:val="24"/>
              </w:rPr>
              <w:t xml:space="preserve">. </w:t>
            </w:r>
          </w:p>
          <w:p w14:paraId="6FB4466A" w14:textId="5920C3EC" w:rsidR="00F017D9" w:rsidRPr="00F017D9" w:rsidRDefault="00F017D9" w:rsidP="00F017D9">
            <w:pPr>
              <w:spacing w:after="120"/>
              <w:rPr>
                <w:rFonts w:cs="Times New Roman"/>
                <w:szCs w:val="24"/>
              </w:rPr>
            </w:pPr>
            <w:r>
              <w:rPr>
                <w:rFonts w:cs="Times New Roman"/>
                <w:szCs w:val="24"/>
              </w:rPr>
              <w:t>Composite index: scores -27 to 45</w:t>
            </w:r>
            <w:r w:rsidRPr="00F017D9">
              <w:rPr>
                <w:rFonts w:cs="Times New Roman"/>
                <w:szCs w:val="24"/>
              </w:rPr>
              <w:t xml:space="preserve">. </w:t>
            </w:r>
          </w:p>
          <w:p w14:paraId="21683D55" w14:textId="77777777" w:rsidR="00835517" w:rsidRDefault="00835517" w:rsidP="00F017D9">
            <w:pPr>
              <w:spacing w:after="120"/>
              <w:rPr>
                <w:rFonts w:cs="Times New Roman"/>
                <w:szCs w:val="24"/>
              </w:rPr>
            </w:pPr>
          </w:p>
        </w:tc>
      </w:tr>
      <w:tr w:rsidR="00835517" w14:paraId="51080A35" w14:textId="77777777" w:rsidTr="00835517">
        <w:tc>
          <w:tcPr>
            <w:tcW w:w="3255" w:type="dxa"/>
          </w:tcPr>
          <w:p w14:paraId="04417B3A" w14:textId="77777777" w:rsidR="00F017D9" w:rsidRPr="00F017D9" w:rsidRDefault="00F017D9" w:rsidP="00F017D9">
            <w:pPr>
              <w:spacing w:after="120"/>
              <w:rPr>
                <w:rFonts w:cs="Times New Roman"/>
                <w:szCs w:val="24"/>
              </w:rPr>
            </w:pPr>
            <w:r w:rsidRPr="00F017D9">
              <w:rPr>
                <w:rFonts w:cs="Times New Roman"/>
                <w:b/>
                <w:bCs/>
                <w:szCs w:val="24"/>
              </w:rPr>
              <w:t xml:space="preserve">Beads Task </w:t>
            </w:r>
          </w:p>
          <w:p w14:paraId="187A305A" w14:textId="02223FD2" w:rsidR="00835517" w:rsidRPr="00F017D9" w:rsidRDefault="00F017D9" w:rsidP="00F017D9">
            <w:pPr>
              <w:spacing w:after="120"/>
              <w:rPr>
                <w:rFonts w:cs="Times New Roman"/>
                <w:i/>
                <w:szCs w:val="24"/>
              </w:rPr>
            </w:pPr>
            <w:r w:rsidRPr="00F017D9">
              <w:rPr>
                <w:rFonts w:cs="Times New Roman"/>
                <w:i/>
                <w:szCs w:val="24"/>
              </w:rPr>
              <w:t xml:space="preserve">Brett-Jones, </w:t>
            </w:r>
            <w:proofErr w:type="spellStart"/>
            <w:r w:rsidRPr="00F017D9">
              <w:rPr>
                <w:rFonts w:cs="Times New Roman"/>
                <w:i/>
                <w:szCs w:val="24"/>
              </w:rPr>
              <w:t>Garety</w:t>
            </w:r>
            <w:proofErr w:type="spellEnd"/>
            <w:r w:rsidRPr="00F017D9">
              <w:rPr>
                <w:rFonts w:cs="Times New Roman"/>
                <w:i/>
                <w:szCs w:val="24"/>
              </w:rPr>
              <w:t xml:space="preserve">, and </w:t>
            </w:r>
            <w:proofErr w:type="spellStart"/>
            <w:r w:rsidRPr="00F017D9">
              <w:rPr>
                <w:rFonts w:cs="Times New Roman"/>
                <w:i/>
                <w:szCs w:val="24"/>
              </w:rPr>
              <w:t>Hemsley</w:t>
            </w:r>
            <w:proofErr w:type="spellEnd"/>
            <w:r w:rsidRPr="00F017D9">
              <w:rPr>
                <w:rFonts w:cs="Times New Roman"/>
                <w:i/>
                <w:szCs w:val="24"/>
              </w:rPr>
              <w:t xml:space="preserve">, 1987 </w:t>
            </w:r>
          </w:p>
        </w:tc>
        <w:tc>
          <w:tcPr>
            <w:tcW w:w="2836" w:type="dxa"/>
          </w:tcPr>
          <w:p w14:paraId="21E9850D" w14:textId="77777777" w:rsidR="00F017D9" w:rsidRPr="00F017D9" w:rsidRDefault="00F017D9" w:rsidP="00F017D9">
            <w:pPr>
              <w:spacing w:after="120"/>
              <w:rPr>
                <w:rFonts w:cs="Times New Roman"/>
                <w:szCs w:val="24"/>
                <w:lang w:val="es-ES"/>
              </w:rPr>
            </w:pPr>
            <w:r w:rsidRPr="00F017D9">
              <w:rPr>
                <w:rFonts w:cs="Times New Roman"/>
                <w:szCs w:val="24"/>
              </w:rPr>
              <w:t xml:space="preserve">Jumping to conclusions (JTC) bias </w:t>
            </w:r>
          </w:p>
          <w:p w14:paraId="229DAEB6" w14:textId="77777777" w:rsidR="00835517" w:rsidRDefault="00835517" w:rsidP="00F017D9">
            <w:pPr>
              <w:spacing w:after="120"/>
              <w:rPr>
                <w:rFonts w:cs="Times New Roman"/>
                <w:szCs w:val="24"/>
              </w:rPr>
            </w:pPr>
          </w:p>
        </w:tc>
        <w:tc>
          <w:tcPr>
            <w:tcW w:w="3676" w:type="dxa"/>
          </w:tcPr>
          <w:p w14:paraId="520DB919" w14:textId="77777777" w:rsidR="00F017D9" w:rsidRPr="00F017D9" w:rsidRDefault="00F017D9" w:rsidP="00F017D9">
            <w:pPr>
              <w:spacing w:after="120"/>
              <w:rPr>
                <w:rFonts w:cs="Times New Roman"/>
                <w:szCs w:val="24"/>
              </w:rPr>
            </w:pPr>
            <w:r w:rsidRPr="00F017D9">
              <w:rPr>
                <w:rFonts w:cs="Times New Roman"/>
                <w:szCs w:val="24"/>
              </w:rPr>
              <w:t xml:space="preserve">Draws to decision: scores 0-2 indicate presence of JTC bias, scores above 2 indicate absence of JTC bias </w:t>
            </w:r>
          </w:p>
          <w:p w14:paraId="16443092" w14:textId="77777777" w:rsidR="00835517" w:rsidRDefault="00835517" w:rsidP="00F017D9">
            <w:pPr>
              <w:spacing w:after="120"/>
              <w:rPr>
                <w:rFonts w:cs="Times New Roman"/>
                <w:szCs w:val="24"/>
              </w:rPr>
            </w:pPr>
          </w:p>
        </w:tc>
      </w:tr>
      <w:tr w:rsidR="00835517" w:rsidRPr="00F017D9" w14:paraId="754B2B02" w14:textId="77777777" w:rsidTr="00835517">
        <w:tc>
          <w:tcPr>
            <w:tcW w:w="3255" w:type="dxa"/>
          </w:tcPr>
          <w:p w14:paraId="64B62CAB" w14:textId="6CC5AD4C" w:rsidR="00F017D9" w:rsidRPr="00F017D9" w:rsidRDefault="00F017D9" w:rsidP="00F017D9">
            <w:pPr>
              <w:spacing w:after="120"/>
              <w:rPr>
                <w:rFonts w:cs="Times New Roman"/>
                <w:szCs w:val="24"/>
              </w:rPr>
            </w:pPr>
            <w:r>
              <w:rPr>
                <w:rFonts w:cs="Times New Roman"/>
                <w:b/>
                <w:bCs/>
                <w:szCs w:val="24"/>
                <w:lang w:val="fr-FR"/>
              </w:rPr>
              <w:t xml:space="preserve">CBQ : </w:t>
            </w:r>
            <w:r w:rsidRPr="00F017D9">
              <w:rPr>
                <w:rFonts w:cs="Times New Roman"/>
                <w:b/>
                <w:bCs/>
                <w:szCs w:val="24"/>
                <w:lang w:val="fr-FR"/>
              </w:rPr>
              <w:t>Cognitive Biases Qu</w:t>
            </w:r>
            <w:r>
              <w:rPr>
                <w:rFonts w:cs="Times New Roman"/>
                <w:b/>
                <w:bCs/>
                <w:szCs w:val="24"/>
                <w:lang w:val="fr-FR"/>
              </w:rPr>
              <w:t>estionnaire for Psychosis</w:t>
            </w:r>
          </w:p>
          <w:p w14:paraId="13BA578D" w14:textId="33CE1AA7" w:rsidR="00835517" w:rsidRPr="00F017D9" w:rsidRDefault="00F017D9" w:rsidP="00F017D9">
            <w:pPr>
              <w:spacing w:after="120"/>
              <w:rPr>
                <w:rFonts w:cs="Times New Roman"/>
                <w:i/>
                <w:szCs w:val="24"/>
                <w:lang w:val="fr-FR"/>
              </w:rPr>
            </w:pPr>
            <w:r w:rsidRPr="00F017D9">
              <w:rPr>
                <w:rFonts w:cs="Times New Roman"/>
                <w:i/>
                <w:szCs w:val="24"/>
                <w:lang w:val="fr-FR"/>
              </w:rPr>
              <w:t>Peters et al., 2013; Gutiérrez-Zotes, 2021</w:t>
            </w:r>
          </w:p>
        </w:tc>
        <w:tc>
          <w:tcPr>
            <w:tcW w:w="2836" w:type="dxa"/>
          </w:tcPr>
          <w:p w14:paraId="4BE17462" w14:textId="77777777" w:rsidR="00F017D9" w:rsidRPr="00F017D9" w:rsidRDefault="00F017D9" w:rsidP="00F017D9">
            <w:pPr>
              <w:spacing w:after="120"/>
              <w:rPr>
                <w:rFonts w:cs="Times New Roman"/>
                <w:szCs w:val="24"/>
                <w:lang w:val="es-ES"/>
              </w:rPr>
            </w:pPr>
            <w:r w:rsidRPr="00F017D9">
              <w:rPr>
                <w:rFonts w:cs="Times New Roman"/>
                <w:szCs w:val="24"/>
              </w:rPr>
              <w:t xml:space="preserve">Cognitive biases in psychosis </w:t>
            </w:r>
          </w:p>
          <w:p w14:paraId="6EBD7DC8" w14:textId="77777777" w:rsidR="00835517" w:rsidRPr="00F017D9" w:rsidRDefault="00835517" w:rsidP="00F017D9">
            <w:pPr>
              <w:spacing w:after="120"/>
              <w:rPr>
                <w:rFonts w:cs="Times New Roman"/>
                <w:szCs w:val="24"/>
                <w:lang w:val="es-ES"/>
              </w:rPr>
            </w:pPr>
          </w:p>
        </w:tc>
        <w:tc>
          <w:tcPr>
            <w:tcW w:w="3676" w:type="dxa"/>
          </w:tcPr>
          <w:p w14:paraId="42750233" w14:textId="1C9429B6" w:rsidR="00F017D9" w:rsidRPr="00F017D9" w:rsidRDefault="00F017D9" w:rsidP="00F017D9">
            <w:pPr>
              <w:spacing w:after="120"/>
              <w:rPr>
                <w:rFonts w:cs="Times New Roman"/>
                <w:szCs w:val="24"/>
              </w:rPr>
            </w:pPr>
            <w:r w:rsidRPr="00F017D9">
              <w:rPr>
                <w:rFonts w:cs="Times New Roman"/>
                <w:szCs w:val="24"/>
              </w:rPr>
              <w:t>Higher scores indicate greate</w:t>
            </w:r>
            <w:r>
              <w:rPr>
                <w:rFonts w:cs="Times New Roman"/>
                <w:szCs w:val="24"/>
              </w:rPr>
              <w:t>r presence of cognitive biases: scores 30 to 90.</w:t>
            </w:r>
          </w:p>
          <w:p w14:paraId="768F5F62" w14:textId="77777777" w:rsidR="00835517" w:rsidRPr="00F017D9" w:rsidRDefault="00835517" w:rsidP="00F017D9">
            <w:pPr>
              <w:spacing w:after="120"/>
              <w:rPr>
                <w:rFonts w:cs="Times New Roman"/>
                <w:szCs w:val="24"/>
              </w:rPr>
            </w:pPr>
          </w:p>
        </w:tc>
      </w:tr>
      <w:tr w:rsidR="00835517" w14:paraId="7E5BE7D2" w14:textId="77777777" w:rsidTr="00153349">
        <w:tc>
          <w:tcPr>
            <w:tcW w:w="9767" w:type="dxa"/>
            <w:gridSpan w:val="3"/>
            <w:shd w:val="clear" w:color="auto" w:fill="D9D9D9" w:themeFill="background1" w:themeFillShade="D9"/>
          </w:tcPr>
          <w:p w14:paraId="15C69557" w14:textId="28EB6B4F" w:rsidR="00835517" w:rsidRPr="00835517" w:rsidRDefault="00835517" w:rsidP="00654752">
            <w:pPr>
              <w:jc w:val="both"/>
              <w:rPr>
                <w:rFonts w:cs="Times New Roman"/>
                <w:b/>
                <w:szCs w:val="24"/>
              </w:rPr>
            </w:pPr>
            <w:r w:rsidRPr="00835517">
              <w:rPr>
                <w:rFonts w:cs="Times New Roman"/>
                <w:b/>
                <w:szCs w:val="24"/>
              </w:rPr>
              <w:t>Cognition</w:t>
            </w:r>
          </w:p>
        </w:tc>
      </w:tr>
      <w:tr w:rsidR="00835517" w14:paraId="2DD4A652" w14:textId="77777777" w:rsidTr="00835517">
        <w:tc>
          <w:tcPr>
            <w:tcW w:w="3255" w:type="dxa"/>
          </w:tcPr>
          <w:p w14:paraId="229C13CD" w14:textId="541D88AC" w:rsidR="00F017D9" w:rsidRPr="00F017D9" w:rsidRDefault="00F017D9" w:rsidP="00F017D9">
            <w:pPr>
              <w:spacing w:after="120"/>
              <w:rPr>
                <w:rFonts w:cs="Times New Roman"/>
                <w:szCs w:val="24"/>
              </w:rPr>
            </w:pPr>
            <w:r w:rsidRPr="00F017D9">
              <w:rPr>
                <w:rFonts w:cs="Times New Roman"/>
                <w:b/>
                <w:bCs/>
                <w:szCs w:val="24"/>
              </w:rPr>
              <w:t>MCCB: MATRICS Consensus Cognitive Battery (MSCEIT will not be administered</w:t>
            </w:r>
            <w:r>
              <w:rPr>
                <w:rFonts w:cs="Times New Roman"/>
                <w:b/>
                <w:bCs/>
                <w:szCs w:val="24"/>
              </w:rPr>
              <w:t>)</w:t>
            </w:r>
            <w:r w:rsidRPr="00F017D9">
              <w:rPr>
                <w:rFonts w:cs="Times New Roman"/>
                <w:b/>
                <w:bCs/>
                <w:szCs w:val="24"/>
              </w:rPr>
              <w:t xml:space="preserve"> </w:t>
            </w:r>
          </w:p>
          <w:p w14:paraId="0530867A" w14:textId="27CDAFB5" w:rsidR="00835517" w:rsidRPr="00F017D9" w:rsidRDefault="00F017D9" w:rsidP="00F017D9">
            <w:pPr>
              <w:spacing w:after="120"/>
              <w:rPr>
                <w:rFonts w:cs="Times New Roman"/>
                <w:i/>
                <w:szCs w:val="24"/>
                <w:lang w:val="es-ES"/>
              </w:rPr>
            </w:pPr>
            <w:proofErr w:type="spellStart"/>
            <w:r w:rsidRPr="00F017D9">
              <w:rPr>
                <w:rFonts w:cs="Times New Roman"/>
                <w:i/>
                <w:szCs w:val="24"/>
                <w:lang w:val="es-ES"/>
              </w:rPr>
              <w:t>Nuechterlein</w:t>
            </w:r>
            <w:proofErr w:type="spellEnd"/>
            <w:r w:rsidRPr="00F017D9">
              <w:rPr>
                <w:rFonts w:cs="Times New Roman"/>
                <w:i/>
                <w:szCs w:val="24"/>
                <w:lang w:val="es-ES"/>
              </w:rPr>
              <w:t xml:space="preserve"> et al., 2008; </w:t>
            </w:r>
            <w:proofErr w:type="spellStart"/>
            <w:r w:rsidRPr="00F017D9">
              <w:rPr>
                <w:rFonts w:cs="Times New Roman"/>
                <w:i/>
                <w:szCs w:val="24"/>
                <w:lang w:val="es-ES"/>
              </w:rPr>
              <w:t>Rodriguez-Jimenez</w:t>
            </w:r>
            <w:proofErr w:type="spellEnd"/>
            <w:r w:rsidRPr="00F017D9">
              <w:rPr>
                <w:rFonts w:cs="Times New Roman"/>
                <w:i/>
                <w:szCs w:val="24"/>
                <w:lang w:val="es-ES"/>
              </w:rPr>
              <w:t xml:space="preserve"> et al., 2012</w:t>
            </w:r>
          </w:p>
        </w:tc>
        <w:tc>
          <w:tcPr>
            <w:tcW w:w="2836" w:type="dxa"/>
          </w:tcPr>
          <w:p w14:paraId="1D1FD077" w14:textId="77777777" w:rsidR="00F017D9" w:rsidRPr="00F017D9" w:rsidRDefault="00F017D9" w:rsidP="00F017D9">
            <w:pPr>
              <w:spacing w:after="120"/>
              <w:rPr>
                <w:rFonts w:cs="Times New Roman"/>
                <w:szCs w:val="24"/>
              </w:rPr>
            </w:pPr>
            <w:r w:rsidRPr="00F017D9">
              <w:rPr>
                <w:rFonts w:cs="Times New Roman"/>
                <w:szCs w:val="24"/>
              </w:rPr>
              <w:t>6 domains: processing speed, vigilance, working memory, verbal learning, visual learning, reasoning and problem solving.</w:t>
            </w:r>
          </w:p>
          <w:p w14:paraId="31A3992A" w14:textId="77777777" w:rsidR="00835517" w:rsidRDefault="00835517" w:rsidP="00F017D9">
            <w:pPr>
              <w:spacing w:after="120"/>
              <w:rPr>
                <w:rFonts w:cs="Times New Roman"/>
                <w:szCs w:val="24"/>
              </w:rPr>
            </w:pPr>
          </w:p>
        </w:tc>
        <w:tc>
          <w:tcPr>
            <w:tcW w:w="3676" w:type="dxa"/>
          </w:tcPr>
          <w:p w14:paraId="0F2DF785" w14:textId="77777777" w:rsidR="00F017D9" w:rsidRPr="00F017D9" w:rsidRDefault="00F017D9" w:rsidP="00F017D9">
            <w:pPr>
              <w:spacing w:after="120"/>
              <w:rPr>
                <w:rFonts w:cs="Times New Roman"/>
                <w:szCs w:val="24"/>
              </w:rPr>
            </w:pPr>
            <w:r w:rsidRPr="00F017D9">
              <w:rPr>
                <w:rFonts w:cs="Times New Roman"/>
                <w:szCs w:val="24"/>
              </w:rPr>
              <w:t xml:space="preserve">TMT A, TMT B, NAB: higher scores indicate worse performance </w:t>
            </w:r>
          </w:p>
          <w:p w14:paraId="717D7537" w14:textId="77777777" w:rsidR="00F017D9" w:rsidRPr="00F017D9" w:rsidRDefault="00F017D9" w:rsidP="00F017D9">
            <w:pPr>
              <w:spacing w:after="120"/>
              <w:rPr>
                <w:rFonts w:cs="Times New Roman"/>
                <w:szCs w:val="24"/>
              </w:rPr>
            </w:pPr>
            <w:r w:rsidRPr="00F017D9">
              <w:rPr>
                <w:rFonts w:cs="Times New Roman"/>
                <w:szCs w:val="24"/>
              </w:rPr>
              <w:t xml:space="preserve">BACS-SC, HVLT-R, WMS-III, LNS, BVMT-R, Fluency, CPT: higher scores indicate better performance </w:t>
            </w:r>
          </w:p>
          <w:p w14:paraId="6C37A57D" w14:textId="77777777" w:rsidR="00835517" w:rsidRDefault="00835517" w:rsidP="00F017D9">
            <w:pPr>
              <w:spacing w:after="120"/>
              <w:rPr>
                <w:rFonts w:cs="Times New Roman"/>
                <w:szCs w:val="24"/>
              </w:rPr>
            </w:pPr>
          </w:p>
        </w:tc>
      </w:tr>
      <w:tr w:rsidR="00835517" w14:paraId="5233417F" w14:textId="77777777" w:rsidTr="00835517">
        <w:tc>
          <w:tcPr>
            <w:tcW w:w="3255" w:type="dxa"/>
          </w:tcPr>
          <w:p w14:paraId="40944783" w14:textId="77777777" w:rsidR="00F017D9" w:rsidRDefault="00F017D9" w:rsidP="00F017D9">
            <w:pPr>
              <w:spacing w:after="120"/>
              <w:rPr>
                <w:rFonts w:cs="Times New Roman"/>
                <w:szCs w:val="24"/>
              </w:rPr>
            </w:pPr>
            <w:r>
              <w:rPr>
                <w:rFonts w:cs="Times New Roman"/>
                <w:b/>
                <w:bCs/>
                <w:szCs w:val="24"/>
              </w:rPr>
              <w:t xml:space="preserve">WAIS-III: </w:t>
            </w:r>
            <w:r w:rsidRPr="00F017D9">
              <w:rPr>
                <w:rFonts w:cs="Times New Roman"/>
                <w:b/>
                <w:bCs/>
                <w:szCs w:val="24"/>
              </w:rPr>
              <w:t>Vocabulary subscale, Wechs</w:t>
            </w:r>
            <w:r>
              <w:rPr>
                <w:rFonts w:cs="Times New Roman"/>
                <w:b/>
                <w:bCs/>
                <w:szCs w:val="24"/>
              </w:rPr>
              <w:t>ler Adults Intelligence Scale</w:t>
            </w:r>
          </w:p>
          <w:p w14:paraId="50962B1A" w14:textId="2C269C4D" w:rsidR="00F017D9" w:rsidRPr="00F017D9" w:rsidRDefault="00F017D9" w:rsidP="00F017D9">
            <w:pPr>
              <w:spacing w:after="120"/>
              <w:rPr>
                <w:rFonts w:cs="Times New Roman"/>
                <w:i/>
                <w:szCs w:val="24"/>
              </w:rPr>
            </w:pPr>
            <w:r w:rsidRPr="00F017D9">
              <w:rPr>
                <w:rFonts w:cs="Times New Roman"/>
                <w:i/>
                <w:szCs w:val="24"/>
              </w:rPr>
              <w:t>Wechsler, 1999; Gonzalez-Blanch, 2011</w:t>
            </w:r>
          </w:p>
          <w:p w14:paraId="0C5BAC9E" w14:textId="77777777" w:rsidR="00835517" w:rsidRDefault="00835517" w:rsidP="00F017D9">
            <w:pPr>
              <w:spacing w:after="120"/>
              <w:rPr>
                <w:rFonts w:cs="Times New Roman"/>
                <w:szCs w:val="24"/>
              </w:rPr>
            </w:pPr>
          </w:p>
        </w:tc>
        <w:tc>
          <w:tcPr>
            <w:tcW w:w="2836" w:type="dxa"/>
          </w:tcPr>
          <w:p w14:paraId="17E2833A" w14:textId="77777777" w:rsidR="00F017D9" w:rsidRPr="00F017D9" w:rsidRDefault="00F017D9" w:rsidP="00F017D9">
            <w:pPr>
              <w:spacing w:after="120"/>
              <w:rPr>
                <w:rFonts w:cs="Times New Roman"/>
                <w:szCs w:val="24"/>
                <w:lang w:val="es-ES"/>
              </w:rPr>
            </w:pPr>
            <w:r w:rsidRPr="00F017D9">
              <w:rPr>
                <w:rFonts w:cs="Times New Roman"/>
                <w:szCs w:val="24"/>
              </w:rPr>
              <w:t xml:space="preserve">Premorbid intelligence </w:t>
            </w:r>
          </w:p>
          <w:p w14:paraId="33F9D6E2" w14:textId="77777777" w:rsidR="00835517" w:rsidRDefault="00835517" w:rsidP="00F017D9">
            <w:pPr>
              <w:spacing w:after="120"/>
              <w:rPr>
                <w:rFonts w:cs="Times New Roman"/>
                <w:szCs w:val="24"/>
              </w:rPr>
            </w:pPr>
          </w:p>
        </w:tc>
        <w:tc>
          <w:tcPr>
            <w:tcW w:w="3676" w:type="dxa"/>
          </w:tcPr>
          <w:p w14:paraId="588D58C8" w14:textId="4A938768" w:rsidR="00F017D9" w:rsidRPr="00F017D9" w:rsidRDefault="00F017D9" w:rsidP="00F017D9">
            <w:pPr>
              <w:spacing w:after="120"/>
              <w:rPr>
                <w:rFonts w:cs="Times New Roman"/>
                <w:szCs w:val="24"/>
              </w:rPr>
            </w:pPr>
            <w:r w:rsidRPr="00F017D9">
              <w:rPr>
                <w:rFonts w:cs="Times New Roman"/>
                <w:szCs w:val="24"/>
              </w:rPr>
              <w:t>Higher scores indicate</w:t>
            </w:r>
            <w:r>
              <w:rPr>
                <w:rFonts w:cs="Times New Roman"/>
                <w:szCs w:val="24"/>
              </w:rPr>
              <w:t xml:space="preserve"> higher premorbid intelligence: direct scores 0 to 66</w:t>
            </w:r>
          </w:p>
          <w:p w14:paraId="12B55965" w14:textId="77777777" w:rsidR="00835517" w:rsidRDefault="00835517" w:rsidP="00F017D9">
            <w:pPr>
              <w:spacing w:after="120"/>
              <w:rPr>
                <w:rFonts w:cs="Times New Roman"/>
                <w:szCs w:val="24"/>
              </w:rPr>
            </w:pPr>
          </w:p>
        </w:tc>
      </w:tr>
      <w:tr w:rsidR="00835517" w:rsidRPr="00F017D9" w14:paraId="22145F06" w14:textId="77777777" w:rsidTr="00835517">
        <w:tc>
          <w:tcPr>
            <w:tcW w:w="3255" w:type="dxa"/>
          </w:tcPr>
          <w:p w14:paraId="268E16B3" w14:textId="2A9C5612" w:rsidR="00F017D9" w:rsidRPr="00F017D9" w:rsidRDefault="00F017D9" w:rsidP="00F017D9">
            <w:pPr>
              <w:spacing w:after="120"/>
              <w:rPr>
                <w:rFonts w:cs="Times New Roman"/>
                <w:szCs w:val="24"/>
              </w:rPr>
            </w:pPr>
            <w:r>
              <w:rPr>
                <w:rFonts w:cs="Times New Roman"/>
                <w:b/>
                <w:bCs/>
                <w:szCs w:val="24"/>
                <w:lang w:val="fr-FR"/>
              </w:rPr>
              <w:t xml:space="preserve">CBQ : </w:t>
            </w:r>
            <w:r w:rsidRPr="00F017D9">
              <w:rPr>
                <w:rFonts w:cs="Times New Roman"/>
                <w:b/>
                <w:bCs/>
                <w:szCs w:val="24"/>
                <w:lang w:val="fr-FR"/>
              </w:rPr>
              <w:t>Cognitive Biases Questionnaire fo</w:t>
            </w:r>
            <w:r>
              <w:rPr>
                <w:rFonts w:cs="Times New Roman"/>
                <w:b/>
                <w:bCs/>
                <w:szCs w:val="24"/>
                <w:lang w:val="fr-FR"/>
              </w:rPr>
              <w:t>r Psychosis</w:t>
            </w:r>
          </w:p>
          <w:p w14:paraId="3409A0FA" w14:textId="61FD2B59" w:rsidR="00F017D9" w:rsidRPr="00F017D9" w:rsidRDefault="00F017D9" w:rsidP="00F017D9">
            <w:pPr>
              <w:spacing w:after="120"/>
              <w:rPr>
                <w:rFonts w:cs="Times New Roman"/>
                <w:i/>
                <w:szCs w:val="24"/>
                <w:lang w:val="es-ES"/>
              </w:rPr>
            </w:pPr>
            <w:r w:rsidRPr="00F017D9">
              <w:rPr>
                <w:rFonts w:cs="Times New Roman"/>
                <w:i/>
                <w:szCs w:val="24"/>
                <w:lang w:val="fr-FR"/>
              </w:rPr>
              <w:t>Peters et al., 2013; Gutiérrez-Zotes, 2021</w:t>
            </w:r>
          </w:p>
          <w:p w14:paraId="5D99508D" w14:textId="77777777" w:rsidR="00835517" w:rsidRPr="00F017D9" w:rsidRDefault="00835517" w:rsidP="00F017D9">
            <w:pPr>
              <w:spacing w:after="120"/>
              <w:rPr>
                <w:rFonts w:cs="Times New Roman"/>
                <w:szCs w:val="24"/>
                <w:lang w:val="es-ES"/>
              </w:rPr>
            </w:pPr>
          </w:p>
        </w:tc>
        <w:tc>
          <w:tcPr>
            <w:tcW w:w="2836" w:type="dxa"/>
          </w:tcPr>
          <w:p w14:paraId="4D82AB98" w14:textId="77777777" w:rsidR="00F017D9" w:rsidRPr="00F017D9" w:rsidRDefault="00F017D9" w:rsidP="00F017D9">
            <w:pPr>
              <w:spacing w:after="120"/>
              <w:rPr>
                <w:rFonts w:cs="Times New Roman"/>
                <w:szCs w:val="24"/>
                <w:lang w:val="es-ES"/>
              </w:rPr>
            </w:pPr>
            <w:r w:rsidRPr="00F017D9">
              <w:rPr>
                <w:rFonts w:cs="Times New Roman"/>
                <w:szCs w:val="24"/>
              </w:rPr>
              <w:t xml:space="preserve">Cognitive biases in psychosis </w:t>
            </w:r>
          </w:p>
          <w:p w14:paraId="5DB415A0" w14:textId="77777777" w:rsidR="00835517" w:rsidRPr="00F017D9" w:rsidRDefault="00835517" w:rsidP="00F017D9">
            <w:pPr>
              <w:spacing w:after="120"/>
              <w:rPr>
                <w:rFonts w:cs="Times New Roman"/>
                <w:szCs w:val="24"/>
                <w:lang w:val="es-ES"/>
              </w:rPr>
            </w:pPr>
          </w:p>
        </w:tc>
        <w:tc>
          <w:tcPr>
            <w:tcW w:w="3676" w:type="dxa"/>
          </w:tcPr>
          <w:p w14:paraId="34488B21" w14:textId="6A425150" w:rsidR="00F017D9" w:rsidRPr="00F017D9" w:rsidRDefault="00F017D9" w:rsidP="00F017D9">
            <w:pPr>
              <w:spacing w:after="120"/>
              <w:rPr>
                <w:rFonts w:cs="Times New Roman"/>
                <w:szCs w:val="24"/>
              </w:rPr>
            </w:pPr>
            <w:r w:rsidRPr="00F017D9">
              <w:rPr>
                <w:rFonts w:cs="Times New Roman"/>
                <w:szCs w:val="24"/>
              </w:rPr>
              <w:t>Higher scores indicate greate</w:t>
            </w:r>
            <w:r>
              <w:rPr>
                <w:rFonts w:cs="Times New Roman"/>
                <w:szCs w:val="24"/>
              </w:rPr>
              <w:t>r presence of cognitive biases: scores 30 to 90</w:t>
            </w:r>
          </w:p>
          <w:p w14:paraId="60AE843F" w14:textId="77777777" w:rsidR="00835517" w:rsidRPr="00F017D9" w:rsidRDefault="00835517" w:rsidP="00F017D9">
            <w:pPr>
              <w:spacing w:after="120"/>
              <w:rPr>
                <w:rFonts w:cs="Times New Roman"/>
                <w:szCs w:val="24"/>
              </w:rPr>
            </w:pPr>
          </w:p>
        </w:tc>
      </w:tr>
      <w:tr w:rsidR="00835517" w14:paraId="79F44123" w14:textId="77777777" w:rsidTr="006E302A">
        <w:tc>
          <w:tcPr>
            <w:tcW w:w="9767" w:type="dxa"/>
            <w:gridSpan w:val="3"/>
            <w:shd w:val="clear" w:color="auto" w:fill="D9D9D9" w:themeFill="background1" w:themeFillShade="D9"/>
          </w:tcPr>
          <w:p w14:paraId="1B7BDDAF" w14:textId="709B11B1" w:rsidR="00835517" w:rsidRPr="00835517" w:rsidRDefault="00835517" w:rsidP="00835517">
            <w:pPr>
              <w:jc w:val="both"/>
              <w:rPr>
                <w:rFonts w:cs="Times New Roman"/>
                <w:b/>
                <w:szCs w:val="24"/>
              </w:rPr>
            </w:pPr>
            <w:r w:rsidRPr="00835517">
              <w:rPr>
                <w:rFonts w:cs="Times New Roman"/>
                <w:b/>
                <w:szCs w:val="24"/>
              </w:rPr>
              <w:t>Psychosocial functioning</w:t>
            </w:r>
          </w:p>
        </w:tc>
      </w:tr>
      <w:tr w:rsidR="00835517" w14:paraId="4981C41B" w14:textId="77777777" w:rsidTr="00835517">
        <w:tc>
          <w:tcPr>
            <w:tcW w:w="3255" w:type="dxa"/>
          </w:tcPr>
          <w:p w14:paraId="07F155D6" w14:textId="50042AA4" w:rsidR="00F017D9" w:rsidRPr="00F017D9" w:rsidRDefault="00F017D9" w:rsidP="00F017D9">
            <w:pPr>
              <w:spacing w:after="120"/>
              <w:rPr>
                <w:rFonts w:cs="Times New Roman"/>
                <w:szCs w:val="24"/>
              </w:rPr>
            </w:pPr>
            <w:r>
              <w:rPr>
                <w:rFonts w:cs="Times New Roman"/>
                <w:b/>
                <w:bCs/>
                <w:szCs w:val="24"/>
              </w:rPr>
              <w:t xml:space="preserve">GAF: </w:t>
            </w:r>
            <w:r w:rsidRPr="00F017D9">
              <w:rPr>
                <w:rFonts w:cs="Times New Roman"/>
                <w:b/>
                <w:bCs/>
                <w:szCs w:val="24"/>
              </w:rPr>
              <w:t xml:space="preserve">Global </w:t>
            </w:r>
            <w:r>
              <w:rPr>
                <w:rFonts w:cs="Times New Roman"/>
                <w:b/>
                <w:bCs/>
                <w:szCs w:val="24"/>
              </w:rPr>
              <w:t xml:space="preserve">Assessment of Functioning </w:t>
            </w:r>
          </w:p>
          <w:p w14:paraId="50769582" w14:textId="5F62A61D" w:rsidR="00F017D9" w:rsidRPr="00F017D9" w:rsidRDefault="00F017D9" w:rsidP="00F017D9">
            <w:pPr>
              <w:spacing w:after="120"/>
              <w:rPr>
                <w:rFonts w:cs="Times New Roman"/>
                <w:i/>
                <w:szCs w:val="24"/>
              </w:rPr>
            </w:pPr>
            <w:r w:rsidRPr="00F017D9">
              <w:rPr>
                <w:rFonts w:cs="Times New Roman"/>
                <w:i/>
                <w:szCs w:val="24"/>
              </w:rPr>
              <w:t xml:space="preserve">Endicott, Spitzer, Fleiss, and Cohen, 1976; </w:t>
            </w:r>
            <w:proofErr w:type="spellStart"/>
            <w:r w:rsidRPr="00F017D9">
              <w:rPr>
                <w:rFonts w:cs="Times New Roman"/>
                <w:i/>
                <w:szCs w:val="24"/>
              </w:rPr>
              <w:t>Bobes</w:t>
            </w:r>
            <w:proofErr w:type="spellEnd"/>
            <w:r w:rsidRPr="00F017D9">
              <w:rPr>
                <w:rFonts w:cs="Times New Roman"/>
                <w:i/>
                <w:szCs w:val="24"/>
              </w:rPr>
              <w:t xml:space="preserve">, </w:t>
            </w:r>
            <w:proofErr w:type="spellStart"/>
            <w:r w:rsidRPr="00F017D9">
              <w:rPr>
                <w:rFonts w:cs="Times New Roman"/>
                <w:i/>
                <w:szCs w:val="24"/>
              </w:rPr>
              <w:t>García-Portilla</w:t>
            </w:r>
            <w:proofErr w:type="spellEnd"/>
            <w:r w:rsidRPr="00F017D9">
              <w:rPr>
                <w:rFonts w:cs="Times New Roman"/>
                <w:i/>
                <w:szCs w:val="24"/>
              </w:rPr>
              <w:t xml:space="preserve">, </w:t>
            </w:r>
            <w:proofErr w:type="spellStart"/>
            <w:r w:rsidRPr="00F017D9">
              <w:rPr>
                <w:rFonts w:cs="Times New Roman"/>
                <w:i/>
                <w:szCs w:val="24"/>
              </w:rPr>
              <w:t>Bascarán</w:t>
            </w:r>
            <w:proofErr w:type="spellEnd"/>
            <w:r w:rsidRPr="00F017D9">
              <w:rPr>
                <w:rFonts w:cs="Times New Roman"/>
                <w:i/>
                <w:szCs w:val="24"/>
              </w:rPr>
              <w:t xml:space="preserve">, </w:t>
            </w:r>
            <w:proofErr w:type="spellStart"/>
            <w:r w:rsidRPr="00F017D9">
              <w:rPr>
                <w:rFonts w:cs="Times New Roman"/>
                <w:i/>
                <w:szCs w:val="24"/>
              </w:rPr>
              <w:t>Sáiz</w:t>
            </w:r>
            <w:proofErr w:type="spellEnd"/>
            <w:r w:rsidRPr="00F017D9">
              <w:rPr>
                <w:rFonts w:cs="Times New Roman"/>
                <w:i/>
                <w:szCs w:val="24"/>
              </w:rPr>
              <w:t xml:space="preserve">, and </w:t>
            </w:r>
            <w:proofErr w:type="spellStart"/>
            <w:r w:rsidRPr="00F017D9">
              <w:rPr>
                <w:rFonts w:cs="Times New Roman"/>
                <w:i/>
                <w:szCs w:val="24"/>
              </w:rPr>
              <w:t>Bousoño</w:t>
            </w:r>
            <w:proofErr w:type="spellEnd"/>
            <w:r w:rsidRPr="00F017D9">
              <w:rPr>
                <w:rFonts w:cs="Times New Roman"/>
                <w:i/>
                <w:szCs w:val="24"/>
              </w:rPr>
              <w:t>, 2002</w:t>
            </w:r>
          </w:p>
          <w:p w14:paraId="3A127D1B" w14:textId="77777777" w:rsidR="00835517" w:rsidRDefault="00835517" w:rsidP="00F017D9">
            <w:pPr>
              <w:spacing w:after="120"/>
              <w:rPr>
                <w:rFonts w:cs="Times New Roman"/>
                <w:szCs w:val="24"/>
              </w:rPr>
            </w:pPr>
          </w:p>
        </w:tc>
        <w:tc>
          <w:tcPr>
            <w:tcW w:w="2836" w:type="dxa"/>
          </w:tcPr>
          <w:p w14:paraId="26B9FE51" w14:textId="77777777" w:rsidR="00F017D9" w:rsidRPr="00F017D9" w:rsidRDefault="00F017D9" w:rsidP="00F017D9">
            <w:pPr>
              <w:spacing w:after="120"/>
              <w:rPr>
                <w:rFonts w:cs="Times New Roman"/>
                <w:szCs w:val="24"/>
                <w:lang w:val="es-ES"/>
              </w:rPr>
            </w:pPr>
            <w:r w:rsidRPr="00F017D9">
              <w:rPr>
                <w:rFonts w:cs="Times New Roman"/>
                <w:szCs w:val="24"/>
              </w:rPr>
              <w:t xml:space="preserve">General functioning </w:t>
            </w:r>
          </w:p>
          <w:p w14:paraId="725648A7" w14:textId="77777777" w:rsidR="00835517" w:rsidRDefault="00835517" w:rsidP="00F017D9">
            <w:pPr>
              <w:spacing w:after="120"/>
              <w:rPr>
                <w:rFonts w:cs="Times New Roman"/>
                <w:szCs w:val="24"/>
              </w:rPr>
            </w:pPr>
          </w:p>
        </w:tc>
        <w:tc>
          <w:tcPr>
            <w:tcW w:w="3676" w:type="dxa"/>
          </w:tcPr>
          <w:p w14:paraId="2FD9126E" w14:textId="77777777" w:rsidR="00F017D9" w:rsidRPr="00F017D9" w:rsidRDefault="00F017D9" w:rsidP="00F017D9">
            <w:pPr>
              <w:spacing w:after="120"/>
              <w:rPr>
                <w:rFonts w:cs="Times New Roman"/>
                <w:szCs w:val="24"/>
              </w:rPr>
            </w:pPr>
            <w:r w:rsidRPr="00F017D9">
              <w:rPr>
                <w:rFonts w:cs="Times New Roman"/>
                <w:szCs w:val="24"/>
              </w:rPr>
              <w:t xml:space="preserve">Higher scores indicate better general functioning (scores 0 to 100) </w:t>
            </w:r>
          </w:p>
          <w:p w14:paraId="732E1252" w14:textId="77777777" w:rsidR="00835517" w:rsidRDefault="00835517" w:rsidP="00F017D9">
            <w:pPr>
              <w:spacing w:after="120"/>
              <w:rPr>
                <w:rFonts w:cs="Times New Roman"/>
                <w:szCs w:val="24"/>
              </w:rPr>
            </w:pPr>
          </w:p>
        </w:tc>
      </w:tr>
      <w:tr w:rsidR="00835517" w14:paraId="75BB5C41" w14:textId="77777777" w:rsidTr="00835517">
        <w:tc>
          <w:tcPr>
            <w:tcW w:w="3255" w:type="dxa"/>
          </w:tcPr>
          <w:p w14:paraId="556A5DFB" w14:textId="345A9081" w:rsidR="00F017D9" w:rsidRDefault="00F017D9" w:rsidP="00F017D9">
            <w:pPr>
              <w:spacing w:after="120"/>
              <w:rPr>
                <w:rFonts w:cs="Times New Roman"/>
                <w:szCs w:val="24"/>
              </w:rPr>
            </w:pPr>
            <w:r>
              <w:rPr>
                <w:rFonts w:cs="Times New Roman"/>
                <w:b/>
                <w:bCs/>
                <w:szCs w:val="24"/>
              </w:rPr>
              <w:t xml:space="preserve">WHODAS 2.0: </w:t>
            </w:r>
            <w:r w:rsidRPr="00F017D9">
              <w:rPr>
                <w:rFonts w:cs="Times New Roman"/>
                <w:b/>
                <w:bCs/>
                <w:szCs w:val="24"/>
              </w:rPr>
              <w:t>WHO Disability Asse</w:t>
            </w:r>
            <w:r>
              <w:rPr>
                <w:rFonts w:cs="Times New Roman"/>
                <w:b/>
                <w:bCs/>
                <w:szCs w:val="24"/>
              </w:rPr>
              <w:t>ssment Schedule 2.0</w:t>
            </w:r>
            <w:r w:rsidRPr="00F017D9">
              <w:rPr>
                <w:rFonts w:cs="Times New Roman"/>
                <w:b/>
                <w:bCs/>
                <w:szCs w:val="24"/>
              </w:rPr>
              <w:t xml:space="preserve"> </w:t>
            </w:r>
          </w:p>
          <w:p w14:paraId="1CA94C48" w14:textId="05EA586E" w:rsidR="00F017D9" w:rsidRPr="00F017D9" w:rsidRDefault="00F017D9" w:rsidP="00F017D9">
            <w:pPr>
              <w:spacing w:after="120"/>
              <w:rPr>
                <w:rFonts w:cs="Times New Roman"/>
                <w:i/>
                <w:szCs w:val="24"/>
              </w:rPr>
            </w:pPr>
            <w:r w:rsidRPr="00F017D9">
              <w:rPr>
                <w:rFonts w:cs="Times New Roman"/>
                <w:i/>
                <w:szCs w:val="24"/>
              </w:rPr>
              <w:t>World Health Organization, 2010</w:t>
            </w:r>
          </w:p>
          <w:p w14:paraId="2B720635" w14:textId="5F16E392" w:rsidR="00835517" w:rsidRDefault="00835517" w:rsidP="00F017D9">
            <w:pPr>
              <w:spacing w:after="120"/>
              <w:rPr>
                <w:rFonts w:cs="Times New Roman"/>
                <w:szCs w:val="24"/>
              </w:rPr>
            </w:pPr>
          </w:p>
        </w:tc>
        <w:tc>
          <w:tcPr>
            <w:tcW w:w="2836" w:type="dxa"/>
          </w:tcPr>
          <w:p w14:paraId="2FB21F01" w14:textId="77777777" w:rsidR="00F017D9" w:rsidRPr="00F017D9" w:rsidRDefault="00F017D9" w:rsidP="00F017D9">
            <w:pPr>
              <w:spacing w:after="120"/>
              <w:rPr>
                <w:rFonts w:cs="Times New Roman"/>
                <w:szCs w:val="24"/>
                <w:lang w:val="es-ES"/>
              </w:rPr>
            </w:pPr>
            <w:r w:rsidRPr="00F017D9">
              <w:rPr>
                <w:rFonts w:cs="Times New Roman"/>
                <w:szCs w:val="24"/>
              </w:rPr>
              <w:t xml:space="preserve">Health and disability </w:t>
            </w:r>
          </w:p>
          <w:p w14:paraId="5064EA55" w14:textId="77777777" w:rsidR="00835517" w:rsidRDefault="00835517" w:rsidP="00F017D9">
            <w:pPr>
              <w:spacing w:after="120"/>
              <w:rPr>
                <w:rFonts w:cs="Times New Roman"/>
                <w:szCs w:val="24"/>
              </w:rPr>
            </w:pPr>
          </w:p>
        </w:tc>
        <w:tc>
          <w:tcPr>
            <w:tcW w:w="3676" w:type="dxa"/>
          </w:tcPr>
          <w:p w14:paraId="15726B43" w14:textId="77777777" w:rsidR="00F017D9" w:rsidRPr="00F017D9" w:rsidRDefault="00F017D9" w:rsidP="00F017D9">
            <w:pPr>
              <w:spacing w:after="120"/>
              <w:rPr>
                <w:rFonts w:cs="Times New Roman"/>
                <w:szCs w:val="24"/>
              </w:rPr>
            </w:pPr>
            <w:r w:rsidRPr="00F017D9">
              <w:rPr>
                <w:rFonts w:cs="Times New Roman"/>
                <w:szCs w:val="24"/>
              </w:rPr>
              <w:t xml:space="preserve">Higher scores indicate higher levels of disability </w:t>
            </w:r>
          </w:p>
          <w:p w14:paraId="4A7E98DE" w14:textId="77777777" w:rsidR="00835517" w:rsidRDefault="00835517" w:rsidP="00F017D9">
            <w:pPr>
              <w:spacing w:after="120"/>
              <w:rPr>
                <w:rFonts w:cs="Times New Roman"/>
                <w:szCs w:val="24"/>
              </w:rPr>
            </w:pPr>
          </w:p>
        </w:tc>
      </w:tr>
      <w:tr w:rsidR="00835517" w14:paraId="3E93A970" w14:textId="77777777" w:rsidTr="00835517">
        <w:tc>
          <w:tcPr>
            <w:tcW w:w="9767" w:type="dxa"/>
            <w:gridSpan w:val="3"/>
            <w:shd w:val="clear" w:color="auto" w:fill="D9D9D9" w:themeFill="background1" w:themeFillShade="D9"/>
          </w:tcPr>
          <w:p w14:paraId="4D2FD1E2" w14:textId="2399B6FF" w:rsidR="00835517" w:rsidRPr="00835517" w:rsidRDefault="00835517" w:rsidP="00654752">
            <w:pPr>
              <w:jc w:val="both"/>
              <w:rPr>
                <w:rFonts w:cs="Times New Roman"/>
                <w:b/>
                <w:szCs w:val="24"/>
              </w:rPr>
            </w:pPr>
            <w:r w:rsidRPr="00835517">
              <w:rPr>
                <w:rFonts w:cs="Times New Roman"/>
                <w:b/>
                <w:szCs w:val="24"/>
              </w:rPr>
              <w:t>Social stigma</w:t>
            </w:r>
          </w:p>
        </w:tc>
      </w:tr>
      <w:tr w:rsidR="00835517" w14:paraId="447FF94B" w14:textId="77777777" w:rsidTr="00835517">
        <w:tc>
          <w:tcPr>
            <w:tcW w:w="3255" w:type="dxa"/>
          </w:tcPr>
          <w:p w14:paraId="0A65F79A" w14:textId="77777777" w:rsidR="00F017D9" w:rsidRDefault="00F017D9" w:rsidP="00F017D9">
            <w:pPr>
              <w:spacing w:after="120"/>
              <w:rPr>
                <w:rFonts w:cs="Times New Roman"/>
                <w:szCs w:val="24"/>
              </w:rPr>
            </w:pPr>
            <w:r>
              <w:rPr>
                <w:rFonts w:cs="Times New Roman"/>
                <w:b/>
                <w:bCs/>
                <w:szCs w:val="24"/>
                <w:lang w:val="fr-FR"/>
              </w:rPr>
              <w:t xml:space="preserve">SSQ : </w:t>
            </w:r>
            <w:r w:rsidRPr="00F017D9">
              <w:rPr>
                <w:rFonts w:cs="Times New Roman"/>
                <w:b/>
                <w:bCs/>
                <w:szCs w:val="24"/>
                <w:lang w:val="fr-FR"/>
              </w:rPr>
              <w:t>Self-Stigma Questionna</w:t>
            </w:r>
            <w:r>
              <w:rPr>
                <w:rFonts w:cs="Times New Roman"/>
                <w:b/>
                <w:bCs/>
                <w:szCs w:val="24"/>
                <w:lang w:val="fr-FR"/>
              </w:rPr>
              <w:t>ire</w:t>
            </w:r>
          </w:p>
          <w:p w14:paraId="2E349E34" w14:textId="0ADAE3E8" w:rsidR="00F017D9" w:rsidRPr="00F017D9" w:rsidRDefault="00F017D9" w:rsidP="00F017D9">
            <w:pPr>
              <w:spacing w:after="120"/>
              <w:rPr>
                <w:rFonts w:cs="Times New Roman"/>
                <w:i/>
                <w:szCs w:val="24"/>
              </w:rPr>
            </w:pPr>
            <w:r w:rsidRPr="00F017D9">
              <w:rPr>
                <w:rFonts w:cs="Times New Roman"/>
                <w:i/>
                <w:szCs w:val="24"/>
                <w:lang w:val="fr-FR"/>
              </w:rPr>
              <w:t>Ochoa, 2015</w:t>
            </w:r>
          </w:p>
          <w:p w14:paraId="32977458" w14:textId="77777777" w:rsidR="00835517" w:rsidRDefault="00835517" w:rsidP="00F017D9">
            <w:pPr>
              <w:spacing w:after="120"/>
              <w:rPr>
                <w:rFonts w:cs="Times New Roman"/>
                <w:szCs w:val="24"/>
              </w:rPr>
            </w:pPr>
          </w:p>
        </w:tc>
        <w:tc>
          <w:tcPr>
            <w:tcW w:w="2836" w:type="dxa"/>
          </w:tcPr>
          <w:p w14:paraId="332289D8" w14:textId="77777777" w:rsidR="00F017D9" w:rsidRPr="00F017D9" w:rsidRDefault="00F017D9" w:rsidP="00F017D9">
            <w:pPr>
              <w:spacing w:after="120"/>
              <w:rPr>
                <w:rFonts w:cs="Times New Roman"/>
                <w:szCs w:val="24"/>
                <w:lang w:val="es-ES"/>
              </w:rPr>
            </w:pPr>
            <w:r w:rsidRPr="00F017D9">
              <w:rPr>
                <w:rFonts w:cs="Times New Roman"/>
                <w:szCs w:val="24"/>
              </w:rPr>
              <w:t xml:space="preserve">Self-stigma </w:t>
            </w:r>
          </w:p>
          <w:p w14:paraId="77571800" w14:textId="77777777" w:rsidR="00835517" w:rsidRDefault="00835517" w:rsidP="00F017D9">
            <w:pPr>
              <w:spacing w:after="120"/>
              <w:rPr>
                <w:rFonts w:cs="Times New Roman"/>
                <w:szCs w:val="24"/>
              </w:rPr>
            </w:pPr>
          </w:p>
        </w:tc>
        <w:tc>
          <w:tcPr>
            <w:tcW w:w="3676" w:type="dxa"/>
          </w:tcPr>
          <w:p w14:paraId="6C603728" w14:textId="69000EBB" w:rsidR="00F017D9" w:rsidRPr="00F017D9" w:rsidRDefault="00F017D9" w:rsidP="00F017D9">
            <w:pPr>
              <w:spacing w:after="120"/>
              <w:rPr>
                <w:rFonts w:cs="Times New Roman"/>
                <w:szCs w:val="24"/>
              </w:rPr>
            </w:pPr>
            <w:r w:rsidRPr="00F017D9">
              <w:rPr>
                <w:rFonts w:cs="Times New Roman"/>
                <w:szCs w:val="24"/>
              </w:rPr>
              <w:t>Higher scores indicate a h</w:t>
            </w:r>
            <w:r>
              <w:rPr>
                <w:rFonts w:cs="Times New Roman"/>
                <w:szCs w:val="24"/>
              </w:rPr>
              <w:t>igher perception of self-stigma: scores 14-98</w:t>
            </w:r>
          </w:p>
          <w:p w14:paraId="6340B581" w14:textId="77777777" w:rsidR="00835517" w:rsidRDefault="00835517" w:rsidP="00F017D9">
            <w:pPr>
              <w:spacing w:after="120"/>
              <w:rPr>
                <w:rFonts w:cs="Times New Roman"/>
                <w:szCs w:val="24"/>
              </w:rPr>
            </w:pPr>
          </w:p>
        </w:tc>
      </w:tr>
      <w:tr w:rsidR="00835517" w14:paraId="794AE340" w14:textId="77777777" w:rsidTr="00835517">
        <w:tc>
          <w:tcPr>
            <w:tcW w:w="9767" w:type="dxa"/>
            <w:gridSpan w:val="3"/>
            <w:shd w:val="clear" w:color="auto" w:fill="D9D9D9" w:themeFill="background1" w:themeFillShade="D9"/>
          </w:tcPr>
          <w:p w14:paraId="327CD02C" w14:textId="020A9A4A" w:rsidR="00835517" w:rsidRPr="00835517" w:rsidRDefault="00835517" w:rsidP="00654752">
            <w:pPr>
              <w:jc w:val="both"/>
              <w:rPr>
                <w:rFonts w:cs="Times New Roman"/>
                <w:b/>
                <w:szCs w:val="24"/>
              </w:rPr>
            </w:pPr>
            <w:r w:rsidRPr="00835517">
              <w:rPr>
                <w:rFonts w:cs="Times New Roman"/>
                <w:b/>
                <w:szCs w:val="24"/>
              </w:rPr>
              <w:t>Quality of life</w:t>
            </w:r>
          </w:p>
        </w:tc>
      </w:tr>
      <w:tr w:rsidR="00835517" w:rsidRPr="00F017D9" w14:paraId="0D29D313" w14:textId="77777777" w:rsidTr="00835517">
        <w:tc>
          <w:tcPr>
            <w:tcW w:w="3255" w:type="dxa"/>
          </w:tcPr>
          <w:p w14:paraId="4A4CC562" w14:textId="6C7463E7" w:rsidR="00F017D9" w:rsidRPr="00F017D9" w:rsidRDefault="00F017D9" w:rsidP="00EB55F5">
            <w:pPr>
              <w:spacing w:after="120"/>
              <w:rPr>
                <w:rFonts w:cs="Times New Roman"/>
                <w:szCs w:val="24"/>
                <w:lang w:val="es-ES"/>
              </w:rPr>
            </w:pPr>
            <w:r>
              <w:rPr>
                <w:rFonts w:cs="Times New Roman"/>
                <w:b/>
                <w:bCs/>
                <w:szCs w:val="24"/>
                <w:lang w:val="es-ES"/>
              </w:rPr>
              <w:t xml:space="preserve">EQ-5D </w:t>
            </w:r>
            <w:proofErr w:type="spellStart"/>
            <w:r>
              <w:rPr>
                <w:rFonts w:cs="Times New Roman"/>
                <w:b/>
                <w:bCs/>
                <w:szCs w:val="24"/>
                <w:lang w:val="es-ES"/>
              </w:rPr>
              <w:t>EuroQoL</w:t>
            </w:r>
            <w:proofErr w:type="spellEnd"/>
          </w:p>
          <w:p w14:paraId="7E3D1DE2" w14:textId="4A0A467C" w:rsidR="00F017D9" w:rsidRPr="00F017D9" w:rsidRDefault="00F017D9" w:rsidP="00EB55F5">
            <w:pPr>
              <w:spacing w:after="120"/>
              <w:rPr>
                <w:rFonts w:cs="Times New Roman"/>
                <w:i/>
                <w:szCs w:val="24"/>
                <w:lang w:val="es-ES"/>
              </w:rPr>
            </w:pPr>
            <w:proofErr w:type="spellStart"/>
            <w:r w:rsidRPr="00F017D9">
              <w:rPr>
                <w:rFonts w:cs="Times New Roman"/>
                <w:i/>
                <w:szCs w:val="24"/>
                <w:lang w:val="es-ES"/>
              </w:rPr>
              <w:t>Badia</w:t>
            </w:r>
            <w:proofErr w:type="spellEnd"/>
            <w:r w:rsidRPr="00F017D9">
              <w:rPr>
                <w:rFonts w:cs="Times New Roman"/>
                <w:i/>
                <w:szCs w:val="24"/>
                <w:lang w:val="es-ES"/>
              </w:rPr>
              <w:t xml:space="preserve"> et al., 1999</w:t>
            </w:r>
          </w:p>
          <w:p w14:paraId="5499AFD2" w14:textId="77777777" w:rsidR="00835517" w:rsidRPr="00F017D9" w:rsidRDefault="00835517" w:rsidP="00EB55F5">
            <w:pPr>
              <w:spacing w:after="120"/>
              <w:rPr>
                <w:rFonts w:cs="Times New Roman"/>
                <w:szCs w:val="24"/>
                <w:lang w:val="es-ES"/>
              </w:rPr>
            </w:pPr>
          </w:p>
        </w:tc>
        <w:tc>
          <w:tcPr>
            <w:tcW w:w="2836" w:type="dxa"/>
          </w:tcPr>
          <w:p w14:paraId="5CD88059" w14:textId="77777777" w:rsidR="00F017D9" w:rsidRPr="00F017D9" w:rsidRDefault="00F017D9" w:rsidP="00EB55F5">
            <w:pPr>
              <w:spacing w:after="120"/>
              <w:rPr>
                <w:rFonts w:cs="Times New Roman"/>
                <w:szCs w:val="24"/>
                <w:lang w:val="es-ES"/>
              </w:rPr>
            </w:pPr>
            <w:r w:rsidRPr="00F017D9">
              <w:rPr>
                <w:rFonts w:cs="Times New Roman"/>
                <w:szCs w:val="24"/>
              </w:rPr>
              <w:t>Quality of life</w:t>
            </w:r>
          </w:p>
          <w:p w14:paraId="26FAF145" w14:textId="77777777" w:rsidR="00835517" w:rsidRPr="00F017D9" w:rsidRDefault="00835517" w:rsidP="00EB55F5">
            <w:pPr>
              <w:spacing w:after="120"/>
              <w:rPr>
                <w:rFonts w:cs="Times New Roman"/>
                <w:szCs w:val="24"/>
                <w:lang w:val="es-ES"/>
              </w:rPr>
            </w:pPr>
          </w:p>
        </w:tc>
        <w:tc>
          <w:tcPr>
            <w:tcW w:w="3676" w:type="dxa"/>
          </w:tcPr>
          <w:p w14:paraId="04069FB7" w14:textId="4935FB52" w:rsidR="00835517" w:rsidRPr="00F017D9" w:rsidRDefault="00F017D9" w:rsidP="00EB55F5">
            <w:pPr>
              <w:spacing w:after="120"/>
              <w:rPr>
                <w:rFonts w:cs="Times New Roman"/>
                <w:szCs w:val="24"/>
              </w:rPr>
            </w:pPr>
            <w:r w:rsidRPr="00F017D9">
              <w:rPr>
                <w:rFonts w:cs="Times New Roman"/>
                <w:szCs w:val="24"/>
              </w:rPr>
              <w:t>3-point scale ranging from absence, moderate, and extreme health problems, or difficulties. General health status score: higher score indicates a better perce</w:t>
            </w:r>
            <w:r>
              <w:rPr>
                <w:rFonts w:cs="Times New Roman"/>
                <w:szCs w:val="24"/>
              </w:rPr>
              <w:t xml:space="preserve">ption of general health status: </w:t>
            </w:r>
            <w:r w:rsidRPr="00F017D9">
              <w:rPr>
                <w:rFonts w:cs="Times New Roman"/>
                <w:szCs w:val="24"/>
              </w:rPr>
              <w:t>score 0 - 100</w:t>
            </w:r>
          </w:p>
        </w:tc>
      </w:tr>
      <w:tr w:rsidR="00835517" w:rsidRPr="00F017D9" w14:paraId="17F24086" w14:textId="77777777" w:rsidTr="00835517">
        <w:tc>
          <w:tcPr>
            <w:tcW w:w="3255" w:type="dxa"/>
          </w:tcPr>
          <w:p w14:paraId="10BBE626" w14:textId="277EA91D" w:rsidR="00F017D9" w:rsidRPr="00F017D9" w:rsidRDefault="00F017D9" w:rsidP="00EB55F5">
            <w:pPr>
              <w:spacing w:after="120"/>
              <w:rPr>
                <w:rFonts w:cs="Times New Roman"/>
                <w:szCs w:val="24"/>
              </w:rPr>
            </w:pPr>
            <w:r>
              <w:rPr>
                <w:rFonts w:cs="Times New Roman"/>
                <w:b/>
                <w:bCs/>
                <w:szCs w:val="24"/>
                <w:lang w:val="fr-FR"/>
              </w:rPr>
              <w:t xml:space="preserve">IPAQ : </w:t>
            </w:r>
            <w:r w:rsidRPr="00F017D9">
              <w:rPr>
                <w:rFonts w:cs="Times New Roman"/>
                <w:b/>
                <w:bCs/>
                <w:szCs w:val="24"/>
                <w:lang w:val="fr-FR"/>
              </w:rPr>
              <w:t>International Physica</w:t>
            </w:r>
            <w:r>
              <w:rPr>
                <w:rFonts w:cs="Times New Roman"/>
                <w:b/>
                <w:bCs/>
                <w:szCs w:val="24"/>
                <w:lang w:val="fr-FR"/>
              </w:rPr>
              <w:t>l Activity Questionnaire</w:t>
            </w:r>
          </w:p>
          <w:p w14:paraId="13790AA9" w14:textId="17672267" w:rsidR="00F017D9" w:rsidRPr="00F017D9" w:rsidRDefault="00F017D9" w:rsidP="00EB55F5">
            <w:pPr>
              <w:spacing w:after="120"/>
              <w:rPr>
                <w:rFonts w:cs="Times New Roman"/>
                <w:i/>
                <w:szCs w:val="24"/>
              </w:rPr>
            </w:pPr>
            <w:r w:rsidRPr="00F017D9">
              <w:rPr>
                <w:rFonts w:cs="Times New Roman"/>
                <w:i/>
                <w:szCs w:val="24"/>
                <w:lang w:val="fr-FR"/>
              </w:rPr>
              <w:t>Booth, 2000; Carrera, 2017</w:t>
            </w:r>
          </w:p>
          <w:p w14:paraId="3E40F795" w14:textId="77777777" w:rsidR="00835517" w:rsidRPr="00F017D9" w:rsidRDefault="00835517" w:rsidP="00EB55F5">
            <w:pPr>
              <w:spacing w:after="120"/>
              <w:rPr>
                <w:rFonts w:cs="Times New Roman"/>
                <w:szCs w:val="24"/>
              </w:rPr>
            </w:pPr>
          </w:p>
        </w:tc>
        <w:tc>
          <w:tcPr>
            <w:tcW w:w="2836" w:type="dxa"/>
          </w:tcPr>
          <w:p w14:paraId="65A8D858" w14:textId="77777777" w:rsidR="00F017D9" w:rsidRPr="00F017D9" w:rsidRDefault="00F017D9" w:rsidP="00EB55F5">
            <w:pPr>
              <w:spacing w:after="120"/>
              <w:rPr>
                <w:rFonts w:cs="Times New Roman"/>
                <w:szCs w:val="24"/>
              </w:rPr>
            </w:pPr>
            <w:r w:rsidRPr="00F017D9">
              <w:rPr>
                <w:rFonts w:cs="Times New Roman"/>
                <w:szCs w:val="24"/>
              </w:rPr>
              <w:t xml:space="preserve">Intensity of physical activity and sitting time </w:t>
            </w:r>
          </w:p>
          <w:p w14:paraId="5D66D7E2" w14:textId="77777777" w:rsidR="00835517" w:rsidRPr="00F017D9" w:rsidRDefault="00835517" w:rsidP="00EB55F5">
            <w:pPr>
              <w:spacing w:after="120"/>
              <w:rPr>
                <w:rFonts w:cs="Times New Roman"/>
                <w:szCs w:val="24"/>
              </w:rPr>
            </w:pPr>
          </w:p>
        </w:tc>
        <w:tc>
          <w:tcPr>
            <w:tcW w:w="3676" w:type="dxa"/>
          </w:tcPr>
          <w:p w14:paraId="6FB76B97" w14:textId="77777777" w:rsidR="00EB55F5" w:rsidRDefault="00F017D9" w:rsidP="00EB55F5">
            <w:pPr>
              <w:spacing w:after="120"/>
              <w:rPr>
                <w:rFonts w:cs="Times New Roman"/>
                <w:szCs w:val="24"/>
              </w:rPr>
            </w:pPr>
            <w:r w:rsidRPr="00F017D9">
              <w:rPr>
                <w:rFonts w:cs="Times New Roman"/>
                <w:szCs w:val="24"/>
              </w:rPr>
              <w:t xml:space="preserve">Physical activities: vigorous, moderate, and walking, measured in days per week and minutes per day (higher scores indicate higher level of physical activity). </w:t>
            </w:r>
          </w:p>
          <w:p w14:paraId="1D13288A" w14:textId="66DE0D77" w:rsidR="00F017D9" w:rsidRPr="00F017D9" w:rsidRDefault="00F017D9" w:rsidP="00EB55F5">
            <w:pPr>
              <w:spacing w:after="120"/>
              <w:rPr>
                <w:rFonts w:cs="Times New Roman"/>
                <w:szCs w:val="24"/>
              </w:rPr>
            </w:pPr>
            <w:r w:rsidRPr="00F017D9">
              <w:rPr>
                <w:rFonts w:cs="Times New Roman"/>
                <w:szCs w:val="24"/>
              </w:rPr>
              <w:t xml:space="preserve">Sitting time: measured in minutes per day (higher scores indicate higher level of </w:t>
            </w:r>
            <w:proofErr w:type="spellStart"/>
            <w:r w:rsidRPr="00F017D9">
              <w:rPr>
                <w:rFonts w:cs="Times New Roman"/>
                <w:szCs w:val="24"/>
              </w:rPr>
              <w:t>sedentarism</w:t>
            </w:r>
            <w:proofErr w:type="spellEnd"/>
            <w:r w:rsidRPr="00F017D9">
              <w:rPr>
                <w:rFonts w:cs="Times New Roman"/>
                <w:szCs w:val="24"/>
              </w:rPr>
              <w:t>)</w:t>
            </w:r>
          </w:p>
          <w:p w14:paraId="4D74E140" w14:textId="77777777" w:rsidR="00835517" w:rsidRPr="00F017D9" w:rsidRDefault="00835517" w:rsidP="00EB55F5">
            <w:pPr>
              <w:spacing w:after="120"/>
              <w:rPr>
                <w:rFonts w:cs="Times New Roman"/>
                <w:szCs w:val="24"/>
              </w:rPr>
            </w:pPr>
          </w:p>
        </w:tc>
      </w:tr>
      <w:tr w:rsidR="00835517" w:rsidRPr="00F017D9" w14:paraId="24F9A49F" w14:textId="77777777" w:rsidTr="00835517">
        <w:tc>
          <w:tcPr>
            <w:tcW w:w="3255" w:type="dxa"/>
          </w:tcPr>
          <w:p w14:paraId="3DC5DE59" w14:textId="141F9488" w:rsidR="00F017D9" w:rsidRPr="00F017D9" w:rsidRDefault="00F017D9" w:rsidP="00EB55F5">
            <w:pPr>
              <w:spacing w:after="120"/>
              <w:rPr>
                <w:rFonts w:cs="Times New Roman"/>
                <w:szCs w:val="24"/>
                <w:lang w:val="es-ES"/>
              </w:rPr>
            </w:pPr>
            <w:r>
              <w:rPr>
                <w:rFonts w:cs="Times New Roman"/>
                <w:b/>
                <w:bCs/>
                <w:szCs w:val="24"/>
                <w:lang w:val="fr-FR"/>
              </w:rPr>
              <w:t xml:space="preserve">OSQ : </w:t>
            </w:r>
            <w:r w:rsidRPr="00F017D9">
              <w:rPr>
                <w:rFonts w:cs="Times New Roman"/>
                <w:b/>
                <w:bCs/>
                <w:szCs w:val="24"/>
                <w:lang w:val="fr-FR"/>
              </w:rPr>
              <w:t>O</w:t>
            </w:r>
            <w:r>
              <w:rPr>
                <w:rFonts w:cs="Times New Roman"/>
                <w:b/>
                <w:bCs/>
                <w:szCs w:val="24"/>
                <w:lang w:val="fr-FR"/>
              </w:rPr>
              <w:t xml:space="preserve">viedo Sleep Questionnaire </w:t>
            </w:r>
          </w:p>
          <w:p w14:paraId="6AEFDE90" w14:textId="1BF40584" w:rsidR="00F017D9" w:rsidRPr="00F017D9" w:rsidRDefault="00F017D9" w:rsidP="00EB55F5">
            <w:pPr>
              <w:spacing w:after="120"/>
              <w:rPr>
                <w:rFonts w:cs="Times New Roman"/>
                <w:i/>
                <w:szCs w:val="24"/>
                <w:lang w:val="es-ES"/>
              </w:rPr>
            </w:pPr>
            <w:r w:rsidRPr="00F017D9">
              <w:rPr>
                <w:rFonts w:cs="Times New Roman"/>
                <w:i/>
                <w:szCs w:val="24"/>
                <w:lang w:val="fr-FR"/>
              </w:rPr>
              <w:t>Bobes, 2000</w:t>
            </w:r>
          </w:p>
          <w:p w14:paraId="6C8AE9BB" w14:textId="77777777" w:rsidR="00835517" w:rsidRPr="00F017D9" w:rsidRDefault="00835517" w:rsidP="00EB55F5">
            <w:pPr>
              <w:spacing w:after="120"/>
              <w:rPr>
                <w:rFonts w:cs="Times New Roman"/>
                <w:szCs w:val="24"/>
              </w:rPr>
            </w:pPr>
          </w:p>
        </w:tc>
        <w:tc>
          <w:tcPr>
            <w:tcW w:w="2836" w:type="dxa"/>
          </w:tcPr>
          <w:p w14:paraId="3E2B5E58" w14:textId="77777777" w:rsidR="00F017D9" w:rsidRPr="00F017D9" w:rsidRDefault="00F017D9" w:rsidP="00EB55F5">
            <w:pPr>
              <w:spacing w:after="120"/>
              <w:rPr>
                <w:rFonts w:cs="Times New Roman"/>
                <w:szCs w:val="24"/>
                <w:lang w:val="es-ES"/>
              </w:rPr>
            </w:pPr>
            <w:r w:rsidRPr="00F017D9">
              <w:rPr>
                <w:rFonts w:cs="Times New Roman"/>
                <w:szCs w:val="24"/>
              </w:rPr>
              <w:t xml:space="preserve">Sleep quality </w:t>
            </w:r>
          </w:p>
          <w:p w14:paraId="2835964F" w14:textId="77777777" w:rsidR="00835517" w:rsidRPr="00F017D9" w:rsidRDefault="00835517" w:rsidP="00EB55F5">
            <w:pPr>
              <w:spacing w:after="120"/>
              <w:rPr>
                <w:rFonts w:cs="Times New Roman"/>
                <w:szCs w:val="24"/>
              </w:rPr>
            </w:pPr>
          </w:p>
        </w:tc>
        <w:tc>
          <w:tcPr>
            <w:tcW w:w="3676" w:type="dxa"/>
          </w:tcPr>
          <w:p w14:paraId="5D462BD8" w14:textId="77777777" w:rsidR="00F017D9" w:rsidRPr="00F017D9" w:rsidRDefault="00F017D9" w:rsidP="00EB55F5">
            <w:pPr>
              <w:spacing w:after="120"/>
              <w:rPr>
                <w:rFonts w:cs="Times New Roman"/>
                <w:szCs w:val="24"/>
                <w:lang w:val="es-ES"/>
              </w:rPr>
            </w:pPr>
            <w:r w:rsidRPr="00F017D9">
              <w:rPr>
                <w:rFonts w:cs="Times New Roman"/>
                <w:szCs w:val="24"/>
              </w:rPr>
              <w:t xml:space="preserve">Different response ranges throughout 11 items </w:t>
            </w:r>
          </w:p>
          <w:p w14:paraId="2AD4136A" w14:textId="77777777" w:rsidR="00835517" w:rsidRPr="00F017D9" w:rsidRDefault="00835517" w:rsidP="00EB55F5">
            <w:pPr>
              <w:spacing w:after="120"/>
              <w:rPr>
                <w:rFonts w:cs="Times New Roman"/>
                <w:szCs w:val="24"/>
              </w:rPr>
            </w:pPr>
          </w:p>
        </w:tc>
      </w:tr>
    </w:tbl>
    <w:p w14:paraId="6763BDA7" w14:textId="77777777" w:rsidR="00EB55F5" w:rsidRDefault="00EB55F5" w:rsidP="00324A8A">
      <w:pPr>
        <w:pStyle w:val="Ttulo1"/>
        <w:numPr>
          <w:ilvl w:val="0"/>
          <w:numId w:val="0"/>
        </w:numPr>
        <w:rPr>
          <w:rFonts w:eastAsiaTheme="minorHAnsi"/>
          <w:b w:val="0"/>
        </w:rPr>
      </w:pPr>
    </w:p>
    <w:p w14:paraId="5E584EE8" w14:textId="316AC065" w:rsidR="00994A3D" w:rsidRPr="00994A3D" w:rsidRDefault="00324A8A" w:rsidP="00324A8A">
      <w:pPr>
        <w:pStyle w:val="Ttulo1"/>
        <w:numPr>
          <w:ilvl w:val="0"/>
          <w:numId w:val="0"/>
        </w:numPr>
      </w:pPr>
      <w:r>
        <w:rPr>
          <w:rFonts w:eastAsiaTheme="minorHAnsi"/>
          <w:b w:val="0"/>
        </w:rPr>
        <w:t>Table 2 – Metacognitive Training sessions</w:t>
      </w:r>
    </w:p>
    <w:tbl>
      <w:tblPr>
        <w:tblStyle w:val="Tablaconcuadrcula"/>
        <w:tblW w:w="9776" w:type="dxa"/>
        <w:tblLook w:val="04A0" w:firstRow="1" w:lastRow="0" w:firstColumn="1" w:lastColumn="0" w:noHBand="0" w:noVBand="1"/>
      </w:tblPr>
      <w:tblGrid>
        <w:gridCol w:w="3256"/>
        <w:gridCol w:w="6520"/>
      </w:tblGrid>
      <w:tr w:rsidR="00CD2808" w14:paraId="3780CDA9" w14:textId="77777777" w:rsidTr="00CD2808">
        <w:tc>
          <w:tcPr>
            <w:tcW w:w="3256" w:type="dxa"/>
            <w:shd w:val="clear" w:color="auto" w:fill="D9D9D9" w:themeFill="background1" w:themeFillShade="D9"/>
          </w:tcPr>
          <w:p w14:paraId="73155058" w14:textId="19A3EF8C" w:rsidR="00CD2808" w:rsidRPr="00CD2808" w:rsidRDefault="00CD2808" w:rsidP="00CD2808">
            <w:pPr>
              <w:spacing w:after="120"/>
              <w:rPr>
                <w:b/>
              </w:rPr>
            </w:pPr>
            <w:r w:rsidRPr="00CD2808">
              <w:rPr>
                <w:b/>
              </w:rPr>
              <w:t>STRUCTURE OF THE SESS</w:t>
            </w:r>
            <w:r>
              <w:rPr>
                <w:b/>
              </w:rPr>
              <w:t>I</w:t>
            </w:r>
            <w:r w:rsidRPr="00CD2808">
              <w:rPr>
                <w:b/>
              </w:rPr>
              <w:t>ONS</w:t>
            </w:r>
          </w:p>
        </w:tc>
        <w:tc>
          <w:tcPr>
            <w:tcW w:w="6520" w:type="dxa"/>
          </w:tcPr>
          <w:p w14:paraId="1150431E" w14:textId="77777777" w:rsidR="00CD2808" w:rsidRDefault="00CD2808" w:rsidP="00CD2808">
            <w:pPr>
              <w:pStyle w:val="Prrafodelista"/>
              <w:numPr>
                <w:ilvl w:val="0"/>
                <w:numId w:val="20"/>
              </w:numPr>
              <w:spacing w:after="120"/>
            </w:pPr>
            <w:r w:rsidRPr="00CD2808">
              <w:t>Introduction: Explanation of metacognition and the aim of the module.</w:t>
            </w:r>
          </w:p>
          <w:p w14:paraId="23C1CD8B" w14:textId="77777777" w:rsidR="00CD2808" w:rsidRDefault="00CD2808" w:rsidP="00CD2808">
            <w:pPr>
              <w:pStyle w:val="Prrafodelista"/>
              <w:numPr>
                <w:ilvl w:val="0"/>
                <w:numId w:val="20"/>
              </w:numPr>
              <w:spacing w:after="120"/>
            </w:pPr>
            <w:r w:rsidRPr="00CD2808">
              <w:t>Presentation of the content and explanation of the different cognitive exercises.</w:t>
            </w:r>
          </w:p>
          <w:p w14:paraId="0636F508" w14:textId="77777777" w:rsidR="00CD2808" w:rsidRDefault="00CD2808" w:rsidP="00CD2808">
            <w:pPr>
              <w:pStyle w:val="Prrafodelista"/>
              <w:numPr>
                <w:ilvl w:val="0"/>
                <w:numId w:val="20"/>
              </w:numPr>
              <w:spacing w:after="120"/>
            </w:pPr>
            <w:r w:rsidRPr="00CD2808">
              <w:t>Realization of the different exercises.</w:t>
            </w:r>
          </w:p>
          <w:p w14:paraId="13B83396" w14:textId="55A3C12E" w:rsidR="00CD2808" w:rsidRDefault="00CD2808" w:rsidP="00CD2808">
            <w:pPr>
              <w:pStyle w:val="Prrafodelista"/>
              <w:numPr>
                <w:ilvl w:val="0"/>
                <w:numId w:val="20"/>
              </w:numPr>
              <w:spacing w:after="120"/>
            </w:pPr>
            <w:r w:rsidRPr="00CD2808">
              <w:t>End of the session: Application of the concept to daily life, summary of objectives, training and tasks</w:t>
            </w:r>
          </w:p>
        </w:tc>
      </w:tr>
      <w:tr w:rsidR="00CD2808" w14:paraId="36993580" w14:textId="77777777" w:rsidTr="00CD2808">
        <w:tc>
          <w:tcPr>
            <w:tcW w:w="3256" w:type="dxa"/>
            <w:shd w:val="clear" w:color="auto" w:fill="D9D9D9" w:themeFill="background1" w:themeFillShade="D9"/>
          </w:tcPr>
          <w:p w14:paraId="3DA2DAD3" w14:textId="77777777" w:rsidR="00CD2808" w:rsidRPr="00CD2808" w:rsidRDefault="00CD2808" w:rsidP="00CD2808">
            <w:pPr>
              <w:spacing w:after="120"/>
              <w:rPr>
                <w:b/>
              </w:rPr>
            </w:pPr>
            <w:r w:rsidRPr="00CD2808">
              <w:rPr>
                <w:b/>
              </w:rPr>
              <w:t>SESSION 1:</w:t>
            </w:r>
          </w:p>
          <w:p w14:paraId="635EA449" w14:textId="415E1E0B" w:rsidR="00CD2808" w:rsidRPr="00CD2808" w:rsidRDefault="00CD2808" w:rsidP="00CD2808">
            <w:pPr>
              <w:spacing w:after="120"/>
              <w:rPr>
                <w:b/>
              </w:rPr>
            </w:pPr>
            <w:r w:rsidRPr="00CD2808">
              <w:rPr>
                <w:b/>
              </w:rPr>
              <w:t>ACCUSE AND TAKE CREDIT</w:t>
            </w:r>
          </w:p>
        </w:tc>
        <w:tc>
          <w:tcPr>
            <w:tcW w:w="6520" w:type="dxa"/>
          </w:tcPr>
          <w:p w14:paraId="3E180A6E" w14:textId="7EA8EB2C" w:rsidR="00CD2808" w:rsidRPr="00CD2808" w:rsidRDefault="00CD2808" w:rsidP="00CD2808">
            <w:r w:rsidRPr="00CD2808">
              <w:rPr>
                <w:u w:val="single"/>
              </w:rPr>
              <w:t>Focus</w:t>
            </w:r>
            <w:r w:rsidRPr="00CD2808">
              <w:t>: External attributi</w:t>
            </w:r>
            <w:r>
              <w:t xml:space="preserve">onal style for negative events. </w:t>
            </w:r>
            <w:proofErr w:type="spellStart"/>
            <w:r>
              <w:t>Monocausal</w:t>
            </w:r>
            <w:proofErr w:type="spellEnd"/>
            <w:r>
              <w:t xml:space="preserve"> inferences: </w:t>
            </w:r>
            <w:r w:rsidR="003255A5">
              <w:t>only one explanation</w:t>
            </w:r>
            <w:r w:rsidRPr="00CD2808">
              <w:t xml:space="preserve"> considered to understa</w:t>
            </w:r>
            <w:r>
              <w:t>nd the cause of a complex event</w:t>
            </w:r>
            <w:r w:rsidRPr="00CD2808">
              <w:t>.</w:t>
            </w:r>
          </w:p>
          <w:p w14:paraId="40D160D5" w14:textId="2C4EC0B4" w:rsidR="00CD2808" w:rsidRDefault="00CD2808" w:rsidP="002B4A57">
            <w:r w:rsidRPr="00CD2808">
              <w:rPr>
                <w:u w:val="single"/>
              </w:rPr>
              <w:t>Aim</w:t>
            </w:r>
            <w:r w:rsidRPr="00CD2808">
              <w:t>: To point out that multiple fac</w:t>
            </w:r>
            <w:r w:rsidR="003255A5">
              <w:t xml:space="preserve">tors can contribute to an event or </w:t>
            </w:r>
            <w:r w:rsidRPr="00CD2808">
              <w:t>situation.</w:t>
            </w:r>
          </w:p>
        </w:tc>
      </w:tr>
      <w:tr w:rsidR="00CD2808" w14:paraId="5068C454" w14:textId="77777777" w:rsidTr="00CD2808">
        <w:tc>
          <w:tcPr>
            <w:tcW w:w="3256" w:type="dxa"/>
            <w:shd w:val="clear" w:color="auto" w:fill="D9D9D9" w:themeFill="background1" w:themeFillShade="D9"/>
          </w:tcPr>
          <w:p w14:paraId="3DE788AA" w14:textId="77777777" w:rsidR="00CD2808" w:rsidRPr="00CD2808" w:rsidRDefault="00CD2808" w:rsidP="00CD2808">
            <w:pPr>
              <w:spacing w:after="120"/>
              <w:rPr>
                <w:b/>
              </w:rPr>
            </w:pPr>
            <w:r w:rsidRPr="00CD2808">
              <w:rPr>
                <w:b/>
              </w:rPr>
              <w:t xml:space="preserve">SESSION 2: </w:t>
            </w:r>
          </w:p>
          <w:p w14:paraId="2EA64A17" w14:textId="078CC17D" w:rsidR="00CD2808" w:rsidRPr="00CD2808" w:rsidRDefault="00CD2808" w:rsidP="00CD2808">
            <w:pPr>
              <w:spacing w:after="120"/>
              <w:rPr>
                <w:b/>
              </w:rPr>
            </w:pPr>
            <w:r w:rsidRPr="00CD2808">
              <w:rPr>
                <w:b/>
              </w:rPr>
              <w:t>JUMPING TO CONCLUSIONS</w:t>
            </w:r>
          </w:p>
        </w:tc>
        <w:tc>
          <w:tcPr>
            <w:tcW w:w="6520" w:type="dxa"/>
          </w:tcPr>
          <w:p w14:paraId="49111816" w14:textId="77777777" w:rsidR="00CD2808" w:rsidRPr="00CD2808" w:rsidRDefault="00CD2808" w:rsidP="00CD2808">
            <w:r w:rsidRPr="00CD2808">
              <w:rPr>
                <w:u w:val="single"/>
              </w:rPr>
              <w:t>Focus</w:t>
            </w:r>
            <w:r w:rsidRPr="00CD2808">
              <w:t>: Jumping to conclusions bias.</w:t>
            </w:r>
          </w:p>
          <w:p w14:paraId="3C751EFC" w14:textId="19F18029" w:rsidR="00CD2808" w:rsidRDefault="00CD2808" w:rsidP="003255A5">
            <w:r w:rsidRPr="00CD2808">
              <w:rPr>
                <w:u w:val="single"/>
              </w:rPr>
              <w:t>Aim</w:t>
            </w:r>
            <w:r w:rsidRPr="00CD2808">
              <w:t xml:space="preserve">: </w:t>
            </w:r>
            <w:r w:rsidR="003255A5">
              <w:t>To learn to avoid giving in</w:t>
            </w:r>
            <w:r w:rsidRPr="00CD2808">
              <w:t xml:space="preserve"> to first impressions, which can lead to misinterpretations. To find a middle ground </w:t>
            </w:r>
            <w:r w:rsidR="003255A5" w:rsidRPr="00CD2808">
              <w:t>between making</w:t>
            </w:r>
            <w:r w:rsidR="003255A5">
              <w:t xml:space="preserve"> hasty decisions, which has the risk of making bad decisions, and being too precise, which may lead to unnecessary loss of time.</w:t>
            </w:r>
          </w:p>
        </w:tc>
      </w:tr>
      <w:tr w:rsidR="00CD2808" w14:paraId="0DEB6C42" w14:textId="77777777" w:rsidTr="00CD2808">
        <w:tc>
          <w:tcPr>
            <w:tcW w:w="3256" w:type="dxa"/>
            <w:shd w:val="clear" w:color="auto" w:fill="D9D9D9" w:themeFill="background1" w:themeFillShade="D9"/>
          </w:tcPr>
          <w:p w14:paraId="654C61E4" w14:textId="77777777" w:rsidR="00CD2808" w:rsidRPr="00CD2808" w:rsidRDefault="00CD2808" w:rsidP="00CD2808">
            <w:pPr>
              <w:spacing w:after="120"/>
              <w:rPr>
                <w:b/>
                <w:lang w:val="ca-ES"/>
              </w:rPr>
            </w:pPr>
            <w:r w:rsidRPr="00CD2808">
              <w:rPr>
                <w:b/>
                <w:lang w:val="ca-ES"/>
              </w:rPr>
              <w:t xml:space="preserve">SESSION 3: </w:t>
            </w:r>
          </w:p>
          <w:p w14:paraId="5E409990" w14:textId="4EC7E296" w:rsidR="00CD2808" w:rsidRPr="00CD2808" w:rsidRDefault="00CD2808" w:rsidP="00CD2808">
            <w:pPr>
              <w:spacing w:after="120"/>
              <w:rPr>
                <w:b/>
                <w:lang w:val="es-ES"/>
              </w:rPr>
            </w:pPr>
            <w:r w:rsidRPr="00CD2808">
              <w:rPr>
                <w:b/>
                <w:lang w:val="ca-ES"/>
              </w:rPr>
              <w:t>CHANGING BELIEFS</w:t>
            </w:r>
          </w:p>
        </w:tc>
        <w:tc>
          <w:tcPr>
            <w:tcW w:w="6520" w:type="dxa"/>
          </w:tcPr>
          <w:p w14:paraId="783DA782" w14:textId="6D7A569C" w:rsidR="00E665C4" w:rsidRPr="00E665C4" w:rsidRDefault="00E665C4" w:rsidP="00E665C4">
            <w:r w:rsidRPr="00E665C4">
              <w:rPr>
                <w:u w:val="single"/>
              </w:rPr>
              <w:t>Focus</w:t>
            </w:r>
            <w:r w:rsidRPr="00E665C4">
              <w:t>: Bias a</w:t>
            </w:r>
            <w:r>
              <w:t xml:space="preserve">gainst </w:t>
            </w:r>
            <w:proofErr w:type="spellStart"/>
            <w:r>
              <w:t>disconfirmatory</w:t>
            </w:r>
            <w:proofErr w:type="spellEnd"/>
            <w:r>
              <w:t xml:space="preserve"> evidence, which is the</w:t>
            </w:r>
            <w:r w:rsidRPr="00E665C4">
              <w:t xml:space="preserve"> tendency to cling to previous opinions</w:t>
            </w:r>
            <w:r w:rsidR="005C5015">
              <w:t>,</w:t>
            </w:r>
            <w:r w:rsidRPr="00E665C4">
              <w:t xml:space="preserve"> even when all the evidence indicates that you are wrong.</w:t>
            </w:r>
          </w:p>
          <w:p w14:paraId="6F501B5A" w14:textId="722392A8" w:rsidR="00CD2808" w:rsidRDefault="00E665C4" w:rsidP="002B4A57">
            <w:r w:rsidRPr="00E665C4">
              <w:rPr>
                <w:u w:val="single"/>
              </w:rPr>
              <w:t>Aim</w:t>
            </w:r>
            <w:r w:rsidRPr="00E665C4">
              <w:t>: To explain to the group that it is often important to address the common tendency to cling to first impressions. This response bias favors incorrect decisions. It is therefore advisable to keep an open mind.</w:t>
            </w:r>
          </w:p>
        </w:tc>
      </w:tr>
      <w:tr w:rsidR="00CD2808" w14:paraId="1991A085" w14:textId="77777777" w:rsidTr="00CD2808">
        <w:tc>
          <w:tcPr>
            <w:tcW w:w="3256" w:type="dxa"/>
            <w:shd w:val="clear" w:color="auto" w:fill="D9D9D9" w:themeFill="background1" w:themeFillShade="D9"/>
          </w:tcPr>
          <w:p w14:paraId="78CC160C" w14:textId="77777777" w:rsidR="00CD2808" w:rsidRPr="00CD2808" w:rsidRDefault="00CD2808" w:rsidP="00CD2808">
            <w:pPr>
              <w:spacing w:after="120"/>
              <w:rPr>
                <w:b/>
                <w:lang w:val="ca-ES"/>
              </w:rPr>
            </w:pPr>
            <w:r w:rsidRPr="00CD2808">
              <w:rPr>
                <w:b/>
                <w:lang w:val="ca-ES"/>
              </w:rPr>
              <w:t xml:space="preserve">SESSION 4: </w:t>
            </w:r>
          </w:p>
          <w:p w14:paraId="1BA4D4CE" w14:textId="357F8989" w:rsidR="00CD2808" w:rsidRPr="00CD2808" w:rsidRDefault="00CD2808" w:rsidP="00CD2808">
            <w:pPr>
              <w:spacing w:after="120"/>
              <w:rPr>
                <w:b/>
              </w:rPr>
            </w:pPr>
            <w:r w:rsidRPr="00CD2808">
              <w:rPr>
                <w:b/>
                <w:lang w:val="ca-ES"/>
              </w:rPr>
              <w:t>EMPATHIZE (I)</w:t>
            </w:r>
          </w:p>
        </w:tc>
        <w:tc>
          <w:tcPr>
            <w:tcW w:w="6520" w:type="dxa"/>
          </w:tcPr>
          <w:p w14:paraId="0510508D" w14:textId="77777777" w:rsidR="005C5015" w:rsidRPr="005C5015" w:rsidRDefault="005C5015" w:rsidP="005C5015">
            <w:r w:rsidRPr="005C5015">
              <w:rPr>
                <w:u w:val="single"/>
              </w:rPr>
              <w:t>Focus</w:t>
            </w:r>
            <w:r w:rsidRPr="005C5015">
              <w:t>: Theory of mind, perception of emotions.</w:t>
            </w:r>
          </w:p>
          <w:p w14:paraId="1D84987D" w14:textId="7CBF3DA6" w:rsidR="00CD2808" w:rsidRDefault="005C5015" w:rsidP="005C5015">
            <w:r w:rsidRPr="005C5015">
              <w:rPr>
                <w:u w:val="single"/>
              </w:rPr>
              <w:t>Aim</w:t>
            </w:r>
            <w:r w:rsidRPr="005C5015">
              <w:t>: To demonstrate that</w:t>
            </w:r>
            <w:r>
              <w:t>,</w:t>
            </w:r>
            <w:r w:rsidRPr="005C5015">
              <w:t xml:space="preserve"> although facial expressions are very important for understanding a person's state of mind and feelings, </w:t>
            </w:r>
            <w:r>
              <w:t xml:space="preserve">we </w:t>
            </w:r>
            <w:r w:rsidRPr="005C5015">
              <w:t xml:space="preserve">can also </w:t>
            </w:r>
            <w:r>
              <w:t>easily misinterpret them</w:t>
            </w:r>
            <w:r w:rsidRPr="005C5015">
              <w:t>. To interpret a facial expression</w:t>
            </w:r>
            <w:r>
              <w:t xml:space="preserve"> </w:t>
            </w:r>
            <w:r w:rsidRPr="005C5015">
              <w:t>properly</w:t>
            </w:r>
            <w:r w:rsidRPr="005C5015">
              <w:t xml:space="preserve"> it is important to consider other sources of information (</w:t>
            </w:r>
            <w:r w:rsidRPr="005C5015">
              <w:rPr>
                <w:i/>
                <w:iCs/>
              </w:rPr>
              <w:t>context; previous personal history…</w:t>
            </w:r>
            <w:r w:rsidRPr="005C5015">
              <w:t>). Participants learn to consider a variety of contextual information rather than relying on isolated details.</w:t>
            </w:r>
          </w:p>
        </w:tc>
      </w:tr>
      <w:tr w:rsidR="00CD2808" w14:paraId="4F418DF9" w14:textId="77777777" w:rsidTr="00CD2808">
        <w:tc>
          <w:tcPr>
            <w:tcW w:w="3256" w:type="dxa"/>
            <w:shd w:val="clear" w:color="auto" w:fill="D9D9D9" w:themeFill="background1" w:themeFillShade="D9"/>
          </w:tcPr>
          <w:p w14:paraId="75B788F8" w14:textId="77777777" w:rsidR="00CD2808" w:rsidRPr="00CD2808" w:rsidRDefault="00CD2808" w:rsidP="00CD2808">
            <w:pPr>
              <w:spacing w:after="120"/>
              <w:rPr>
                <w:b/>
                <w:lang w:val="ca-ES"/>
              </w:rPr>
            </w:pPr>
            <w:r w:rsidRPr="00CD2808">
              <w:rPr>
                <w:b/>
                <w:lang w:val="ca-ES"/>
              </w:rPr>
              <w:t xml:space="preserve">SESSION 5: </w:t>
            </w:r>
          </w:p>
          <w:p w14:paraId="02C7C10D" w14:textId="039DA936" w:rsidR="00CD2808" w:rsidRPr="00CD2808" w:rsidRDefault="00CD2808" w:rsidP="00CD2808">
            <w:pPr>
              <w:spacing w:after="120"/>
              <w:rPr>
                <w:b/>
                <w:lang w:val="es-ES"/>
              </w:rPr>
            </w:pPr>
            <w:r w:rsidRPr="00CD2808">
              <w:rPr>
                <w:b/>
                <w:lang w:val="ca-ES"/>
              </w:rPr>
              <w:t>MEMORY</w:t>
            </w:r>
          </w:p>
        </w:tc>
        <w:tc>
          <w:tcPr>
            <w:tcW w:w="6520" w:type="dxa"/>
          </w:tcPr>
          <w:p w14:paraId="789220B2" w14:textId="77777777" w:rsidR="00E13BE0" w:rsidRPr="00E13BE0" w:rsidRDefault="00E13BE0" w:rsidP="00E13BE0">
            <w:r w:rsidRPr="00E13BE0">
              <w:rPr>
                <w:u w:val="single"/>
              </w:rPr>
              <w:t>Focus</w:t>
            </w:r>
            <w:r w:rsidRPr="00E13BE0">
              <w:t>: Overconfidence in errors.</w:t>
            </w:r>
          </w:p>
          <w:p w14:paraId="4445B2B7" w14:textId="5C2A98A1" w:rsidR="00CD2808" w:rsidRDefault="00E13BE0" w:rsidP="00EE5E3C">
            <w:r w:rsidRPr="00E13BE0">
              <w:rPr>
                <w:u w:val="single"/>
              </w:rPr>
              <w:t>Aim</w:t>
            </w:r>
            <w:r w:rsidRPr="00E13BE0">
              <w:t xml:space="preserve">: </w:t>
            </w:r>
            <w:r w:rsidR="00EE5E3C">
              <w:t>To</w:t>
            </w:r>
            <w:r w:rsidRPr="00E13BE0">
              <w:t xml:space="preserve"> learn that memory is constructive and does not function as a recorder. One of the </w:t>
            </w:r>
            <w:r>
              <w:t>aims</w:t>
            </w:r>
            <w:r w:rsidRPr="00E13BE0">
              <w:t xml:space="preserve"> of this module is to teach the patients to question </w:t>
            </w:r>
            <w:r w:rsidR="00D003DA">
              <w:t>memories</w:t>
            </w:r>
            <w:r w:rsidRPr="00E13BE0">
              <w:t xml:space="preserve"> if a </w:t>
            </w:r>
            <w:r w:rsidR="00D003DA">
              <w:t>vivid</w:t>
            </w:r>
            <w:r w:rsidRPr="00E13BE0">
              <w:t xml:space="preserve"> recollection is not possible. In this case, more evidence </w:t>
            </w:r>
            <w:proofErr w:type="gramStart"/>
            <w:r w:rsidRPr="00E13BE0">
              <w:t>is needed</w:t>
            </w:r>
            <w:proofErr w:type="gramEnd"/>
            <w:r w:rsidR="00D003DA">
              <w:t xml:space="preserve"> to remember properly</w:t>
            </w:r>
            <w:r w:rsidRPr="00E13BE0">
              <w:t>, particularly for significant interpersonal situations (e.g., conflicts).</w:t>
            </w:r>
          </w:p>
        </w:tc>
      </w:tr>
      <w:tr w:rsidR="00CD2808" w14:paraId="3FC8AC87" w14:textId="77777777" w:rsidTr="00CD2808">
        <w:tc>
          <w:tcPr>
            <w:tcW w:w="3256" w:type="dxa"/>
            <w:shd w:val="clear" w:color="auto" w:fill="D9D9D9" w:themeFill="background1" w:themeFillShade="D9"/>
          </w:tcPr>
          <w:p w14:paraId="70B5DE40" w14:textId="77777777" w:rsidR="00CD2808" w:rsidRPr="00CD2808" w:rsidRDefault="00CD2808" w:rsidP="00CD2808">
            <w:pPr>
              <w:spacing w:after="120"/>
              <w:rPr>
                <w:b/>
              </w:rPr>
            </w:pPr>
            <w:r w:rsidRPr="00CD2808">
              <w:rPr>
                <w:b/>
              </w:rPr>
              <w:t xml:space="preserve">SESSION 6: </w:t>
            </w:r>
          </w:p>
          <w:p w14:paraId="20F06F49" w14:textId="3E762795" w:rsidR="00CD2808" w:rsidRPr="00CD2808" w:rsidRDefault="00CD2808" w:rsidP="00CD2808">
            <w:pPr>
              <w:spacing w:after="120"/>
              <w:rPr>
                <w:b/>
              </w:rPr>
            </w:pPr>
            <w:r w:rsidRPr="00CD2808">
              <w:rPr>
                <w:b/>
              </w:rPr>
              <w:t>EMPATHIZE (II)</w:t>
            </w:r>
          </w:p>
        </w:tc>
        <w:tc>
          <w:tcPr>
            <w:tcW w:w="6520" w:type="dxa"/>
          </w:tcPr>
          <w:p w14:paraId="534A12AB" w14:textId="77777777" w:rsidR="00D003DA" w:rsidRPr="00D003DA" w:rsidRDefault="00D003DA" w:rsidP="00D003DA">
            <w:r w:rsidRPr="00D003DA">
              <w:rPr>
                <w:u w:val="single"/>
              </w:rPr>
              <w:t>Focus</w:t>
            </w:r>
            <w:r w:rsidRPr="00D003DA">
              <w:t>: Theory of mind, need for closure on issues of concern, no tolerance of open-endedness or ambiguity.</w:t>
            </w:r>
          </w:p>
          <w:p w14:paraId="42EA1797" w14:textId="22F1A74F" w:rsidR="00CD2808" w:rsidRDefault="00D003DA" w:rsidP="00EE5E3C">
            <w:r w:rsidRPr="00D003DA">
              <w:rPr>
                <w:u w:val="single"/>
              </w:rPr>
              <w:t>Aim</w:t>
            </w:r>
            <w:r w:rsidRPr="00D003DA">
              <w:t xml:space="preserve">: </w:t>
            </w:r>
            <w:r w:rsidR="00EE5E3C">
              <w:t>To</w:t>
            </w:r>
            <w:r w:rsidRPr="00D003DA">
              <w:t xml:space="preserve"> </w:t>
            </w:r>
            <w:r>
              <w:t xml:space="preserve">learn </w:t>
            </w:r>
            <w:r w:rsidRPr="00D003DA">
              <w:t>the difference between</w:t>
            </w:r>
            <w:r>
              <w:t xml:space="preserve"> the information they may have and the information available in the exercises.</w:t>
            </w:r>
          </w:p>
        </w:tc>
      </w:tr>
      <w:tr w:rsidR="00CD2808" w14:paraId="7818DA69" w14:textId="77777777" w:rsidTr="00CD2808">
        <w:tc>
          <w:tcPr>
            <w:tcW w:w="3256" w:type="dxa"/>
            <w:shd w:val="clear" w:color="auto" w:fill="D9D9D9" w:themeFill="background1" w:themeFillShade="D9"/>
          </w:tcPr>
          <w:p w14:paraId="4484C47B" w14:textId="77777777" w:rsidR="00CD2808" w:rsidRPr="00CD2808" w:rsidRDefault="00CD2808" w:rsidP="00CD2808">
            <w:pPr>
              <w:spacing w:after="120"/>
              <w:rPr>
                <w:b/>
              </w:rPr>
            </w:pPr>
            <w:r w:rsidRPr="00CD2808">
              <w:rPr>
                <w:b/>
              </w:rPr>
              <w:t xml:space="preserve">SESSION 7: </w:t>
            </w:r>
          </w:p>
          <w:p w14:paraId="108F8ECA" w14:textId="20C99E70" w:rsidR="00CD2808" w:rsidRPr="00CD2808" w:rsidRDefault="00CD2808" w:rsidP="00CD2808">
            <w:pPr>
              <w:spacing w:after="120"/>
              <w:rPr>
                <w:b/>
              </w:rPr>
            </w:pPr>
            <w:r w:rsidRPr="00CD2808">
              <w:rPr>
                <w:b/>
              </w:rPr>
              <w:t>JUMPING TO CONCLUSIONS (II)</w:t>
            </w:r>
          </w:p>
        </w:tc>
        <w:tc>
          <w:tcPr>
            <w:tcW w:w="6520" w:type="dxa"/>
          </w:tcPr>
          <w:p w14:paraId="151AA7BF" w14:textId="77777777" w:rsidR="00EE5E3C" w:rsidRPr="00EE5E3C" w:rsidRDefault="00EE5E3C" w:rsidP="00EE5E3C">
            <w:r w:rsidRPr="00EE5E3C">
              <w:rPr>
                <w:u w:val="single"/>
              </w:rPr>
              <w:t>Focus</w:t>
            </w:r>
            <w:r w:rsidRPr="00EE5E3C">
              <w:t>: Jumping to conclusions bias.</w:t>
            </w:r>
          </w:p>
          <w:p w14:paraId="6E658364" w14:textId="524D3F6F" w:rsidR="00CD2808" w:rsidRDefault="00EE5E3C" w:rsidP="00EE5E3C">
            <w:r w:rsidRPr="00EE5E3C">
              <w:rPr>
                <w:u w:val="single"/>
              </w:rPr>
              <w:t>Aim:</w:t>
            </w:r>
            <w:r w:rsidRPr="00EE5E3C">
              <w:t xml:space="preserve"> </w:t>
            </w:r>
            <w:r>
              <w:t>To</w:t>
            </w:r>
            <w:r w:rsidRPr="00EE5E3C">
              <w:t xml:space="preserve"> learn that it is essential to invest sufficient time in solving complex problems. Participants </w:t>
            </w:r>
            <w:proofErr w:type="gramStart"/>
            <w:r w:rsidRPr="00EE5E3C">
              <w:t>are shown</w:t>
            </w:r>
            <w:proofErr w:type="gramEnd"/>
            <w:r w:rsidRPr="00EE5E3C">
              <w:t xml:space="preserve"> several charts. Their tas</w:t>
            </w:r>
            <w:r>
              <w:t xml:space="preserve">k is to deduce the title of an illustration or picture </w:t>
            </w:r>
            <w:r w:rsidRPr="00EE5E3C">
              <w:t>from among four possible options. While for some pictures the solution is obvious, for others it only becomes clear after thorough consideration.</w:t>
            </w:r>
          </w:p>
        </w:tc>
      </w:tr>
      <w:tr w:rsidR="00CD2808" w14:paraId="0F32B38E" w14:textId="77777777" w:rsidTr="00CD2808">
        <w:tc>
          <w:tcPr>
            <w:tcW w:w="3256" w:type="dxa"/>
            <w:shd w:val="clear" w:color="auto" w:fill="D9D9D9" w:themeFill="background1" w:themeFillShade="D9"/>
          </w:tcPr>
          <w:p w14:paraId="11371A1B" w14:textId="77777777" w:rsidR="00CD2808" w:rsidRPr="00CD2808" w:rsidRDefault="00CD2808" w:rsidP="00CD2808">
            <w:pPr>
              <w:spacing w:after="120"/>
              <w:rPr>
                <w:b/>
              </w:rPr>
            </w:pPr>
            <w:r w:rsidRPr="00CD2808">
              <w:rPr>
                <w:b/>
              </w:rPr>
              <w:t>SESSION 8:</w:t>
            </w:r>
          </w:p>
          <w:p w14:paraId="40641331" w14:textId="037465E0" w:rsidR="00CD2808" w:rsidRPr="00CD2808" w:rsidRDefault="00CD2808" w:rsidP="00CD2808">
            <w:pPr>
              <w:spacing w:after="120"/>
              <w:rPr>
                <w:b/>
              </w:rPr>
            </w:pPr>
            <w:r w:rsidRPr="00CD2808">
              <w:rPr>
                <w:b/>
              </w:rPr>
              <w:t>MOOD</w:t>
            </w:r>
          </w:p>
        </w:tc>
        <w:tc>
          <w:tcPr>
            <w:tcW w:w="6520" w:type="dxa"/>
          </w:tcPr>
          <w:p w14:paraId="25814937" w14:textId="77777777" w:rsidR="00EE5E3C" w:rsidRPr="00EE5E3C" w:rsidRDefault="00EE5E3C" w:rsidP="00EE5E3C">
            <w:r w:rsidRPr="00EE5E3C">
              <w:t>Focus: Negative cognitive schemas.</w:t>
            </w:r>
          </w:p>
          <w:p w14:paraId="5A411E42" w14:textId="63FC84D2" w:rsidR="00CD2808" w:rsidRDefault="00EE5E3C" w:rsidP="00EE5E3C">
            <w:r w:rsidRPr="00EE5E3C">
              <w:t xml:space="preserve">Aim: </w:t>
            </w:r>
            <w:r>
              <w:t>To learn</w:t>
            </w:r>
            <w:r w:rsidRPr="00EE5E3C">
              <w:t xml:space="preserve"> about </w:t>
            </w:r>
            <w:r>
              <w:t>cognitive biases</w:t>
            </w:r>
            <w:r w:rsidRPr="00EE5E3C">
              <w:t xml:space="preserve"> that may contribute to the origin and maintenance of depression and low self-esteem.</w:t>
            </w:r>
          </w:p>
        </w:tc>
      </w:tr>
    </w:tbl>
    <w:p w14:paraId="3CF0FA6A" w14:textId="412BB6E4" w:rsidR="00324A8A" w:rsidRDefault="00324A8A" w:rsidP="002B4A57"/>
    <w:p w14:paraId="58F1AED1" w14:textId="7981BC0C" w:rsidR="00DE23E8" w:rsidRDefault="00870348" w:rsidP="00654E8F">
      <w:pPr>
        <w:spacing w:before="240"/>
      </w:pPr>
      <w:r>
        <w:t xml:space="preserve">Figure </w:t>
      </w:r>
      <w:proofErr w:type="gramStart"/>
      <w:r>
        <w:t>1</w:t>
      </w:r>
      <w:proofErr w:type="gramEnd"/>
      <w:r>
        <w:t xml:space="preserve"> – Flowchart of the study</w:t>
      </w:r>
    </w:p>
    <w:p w14:paraId="01181A5D" w14:textId="01B74576" w:rsidR="00870348" w:rsidRDefault="00D140F4" w:rsidP="00654E8F">
      <w:pPr>
        <w:spacing w:before="240"/>
      </w:pPr>
      <w:r>
        <w:rPr>
          <w:noProof/>
          <w:lang w:val="es-ES" w:eastAsia="es-ES"/>
        </w:rPr>
        <w:drawing>
          <wp:anchor distT="0" distB="0" distL="114300" distR="114300" simplePos="0" relativeHeight="251658240" behindDoc="0" locked="0" layoutInCell="1" allowOverlap="1" wp14:anchorId="1A688D5E" wp14:editId="2690A71D">
            <wp:simplePos x="0" y="0"/>
            <wp:positionH relativeFrom="margin">
              <wp:align>left</wp:align>
            </wp:positionH>
            <wp:positionV relativeFrom="paragraph">
              <wp:posOffset>3810</wp:posOffset>
            </wp:positionV>
            <wp:extent cx="5890260" cy="57736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 flowchart.PNG"/>
                    <pic:cNvPicPr/>
                  </pic:nvPicPr>
                  <pic:blipFill rotWithShape="1">
                    <a:blip r:embed="rId12">
                      <a:extLst>
                        <a:ext uri="{28A0092B-C50C-407E-A947-70E740481C1C}">
                          <a14:useLocalDpi xmlns:a14="http://schemas.microsoft.com/office/drawing/2010/main" val="0"/>
                        </a:ext>
                      </a:extLst>
                    </a:blip>
                    <a:srcRect l="3210" t="1369" r="1893" b="2303"/>
                    <a:stretch/>
                  </pic:blipFill>
                  <pic:spPr bwMode="auto">
                    <a:xfrm>
                      <a:off x="0" y="0"/>
                      <a:ext cx="5890260" cy="5773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542EA0" w14:textId="6DD50D2A" w:rsidR="00870348" w:rsidRPr="001549D3" w:rsidRDefault="00870348" w:rsidP="00654E8F">
      <w:pPr>
        <w:spacing w:before="240"/>
      </w:pPr>
      <w:bookmarkStart w:id="0" w:name="_GoBack"/>
      <w:bookmarkEnd w:id="0"/>
    </w:p>
    <w:sectPr w:rsidR="00870348"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AD8FC" w14:textId="77777777" w:rsidR="003D2D47" w:rsidRDefault="003D2D47" w:rsidP="00117666">
      <w:pPr>
        <w:spacing w:after="0"/>
      </w:pPr>
      <w:r>
        <w:separator/>
      </w:r>
    </w:p>
  </w:endnote>
  <w:endnote w:type="continuationSeparator" w:id="0">
    <w:p w14:paraId="68A94BCB" w14:textId="77777777" w:rsidR="003D2D47" w:rsidRDefault="003D2D4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AB28" w14:textId="77777777" w:rsidR="00995F6A" w:rsidRPr="00577C4C" w:rsidRDefault="00C52A7B">
    <w:pPr>
      <w:rPr>
        <w:color w:val="C00000"/>
        <w:szCs w:val="24"/>
      </w:rPr>
    </w:pPr>
    <w:r>
      <w:rPr>
        <w:noProof/>
        <w:lang w:val="es-ES" w:eastAsia="es-ES"/>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423E76D0"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140F4">
                            <w:rPr>
                              <w:noProof/>
                              <w:color w:val="000000" w:themeColor="text1"/>
                              <w:szCs w:val="40"/>
                            </w:rPr>
                            <w:t>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423E76D0"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140F4">
                      <w:rPr>
                        <w:noProof/>
                        <w:color w:val="000000" w:themeColor="text1"/>
                        <w:szCs w:val="40"/>
                      </w:rPr>
                      <w:t>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FF27" w14:textId="77777777" w:rsidR="00995F6A" w:rsidRPr="00577C4C" w:rsidRDefault="00C52A7B">
    <w:pPr>
      <w:rPr>
        <w:b/>
        <w:sz w:val="20"/>
        <w:szCs w:val="24"/>
      </w:rPr>
    </w:pPr>
    <w:r>
      <w:rPr>
        <w:noProof/>
        <w:lang w:val="es-ES" w:eastAsia="es-ES"/>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1ACC3D7C"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140F4">
                            <w:rPr>
                              <w:noProof/>
                              <w:color w:val="000000" w:themeColor="text1"/>
                              <w:szCs w:val="40"/>
                            </w:rPr>
                            <w:t>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1ACC3D7C"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140F4">
                      <w:rPr>
                        <w:noProof/>
                        <w:color w:val="000000" w:themeColor="text1"/>
                        <w:szCs w:val="40"/>
                      </w:rPr>
                      <w:t>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B35AC" w14:textId="77777777" w:rsidR="003D2D47" w:rsidRDefault="003D2D47" w:rsidP="00117666">
      <w:pPr>
        <w:spacing w:after="0"/>
      </w:pPr>
      <w:r>
        <w:separator/>
      </w:r>
    </w:p>
  </w:footnote>
  <w:footnote w:type="continuationSeparator" w:id="0">
    <w:p w14:paraId="6A0AA9D1" w14:textId="77777777" w:rsidR="003D2D47" w:rsidRDefault="003D2D4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1A5B" w14:textId="77777777" w:rsidR="00995F6A" w:rsidRDefault="0093429D" w:rsidP="0093429D">
    <w:r w:rsidRPr="005A1D84">
      <w:rPr>
        <w:b/>
        <w:noProof/>
        <w:color w:val="A6A6A6" w:themeColor="background1" w:themeShade="A6"/>
        <w:lang w:val="es-ES" w:eastAsia="es-ES"/>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1F0241BC"/>
    <w:multiLevelType w:val="hybridMultilevel"/>
    <w:tmpl w:val="34AC1AD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7"/>
  </w:num>
  <w:num w:numId="9">
    <w:abstractNumId w:val="7"/>
  </w:num>
  <w:num w:numId="10">
    <w:abstractNumId w:val="7"/>
  </w:num>
  <w:num w:numId="11">
    <w:abstractNumId w:val="7"/>
  </w:num>
  <w:num w:numId="12">
    <w:abstractNumId w:val="7"/>
  </w:num>
  <w:num w:numId="13">
    <w:abstractNumId w:val="4"/>
  </w:num>
  <w:num w:numId="14">
    <w:abstractNumId w:val="2"/>
  </w:num>
  <w:num w:numId="15">
    <w:abstractNumId w:val="2"/>
  </w:num>
  <w:num w:numId="16">
    <w:abstractNumId w:val="2"/>
  </w:num>
  <w:num w:numId="17">
    <w:abstractNumId w:val="2"/>
  </w:num>
  <w:num w:numId="18">
    <w:abstractNumId w:val="2"/>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2E0E06"/>
    <w:rsid w:val="00324A8A"/>
    <w:rsid w:val="003255A5"/>
    <w:rsid w:val="003544FB"/>
    <w:rsid w:val="003D2D47"/>
    <w:rsid w:val="003D2F2D"/>
    <w:rsid w:val="00401590"/>
    <w:rsid w:val="00447801"/>
    <w:rsid w:val="00452E9C"/>
    <w:rsid w:val="004735C8"/>
    <w:rsid w:val="004961FF"/>
    <w:rsid w:val="00517A89"/>
    <w:rsid w:val="005250F2"/>
    <w:rsid w:val="00593EEA"/>
    <w:rsid w:val="005A5EEE"/>
    <w:rsid w:val="005C5015"/>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35517"/>
    <w:rsid w:val="00870348"/>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D2808"/>
    <w:rsid w:val="00CE4FEE"/>
    <w:rsid w:val="00D003DA"/>
    <w:rsid w:val="00D140F4"/>
    <w:rsid w:val="00DB3507"/>
    <w:rsid w:val="00DB59C3"/>
    <w:rsid w:val="00DC259A"/>
    <w:rsid w:val="00DE23E8"/>
    <w:rsid w:val="00E13BE0"/>
    <w:rsid w:val="00E52377"/>
    <w:rsid w:val="00E64E17"/>
    <w:rsid w:val="00E665C4"/>
    <w:rsid w:val="00E866C9"/>
    <w:rsid w:val="00EA3D3C"/>
    <w:rsid w:val="00EB55F5"/>
    <w:rsid w:val="00EE5E3C"/>
    <w:rsid w:val="00F017D9"/>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Revisi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6369">
      <w:bodyDiv w:val="1"/>
      <w:marLeft w:val="0"/>
      <w:marRight w:val="0"/>
      <w:marTop w:val="0"/>
      <w:marBottom w:val="0"/>
      <w:divBdr>
        <w:top w:val="none" w:sz="0" w:space="0" w:color="auto"/>
        <w:left w:val="none" w:sz="0" w:space="0" w:color="auto"/>
        <w:bottom w:val="none" w:sz="0" w:space="0" w:color="auto"/>
        <w:right w:val="none" w:sz="0" w:space="0" w:color="auto"/>
      </w:divBdr>
    </w:div>
    <w:div w:id="95254819">
      <w:bodyDiv w:val="1"/>
      <w:marLeft w:val="0"/>
      <w:marRight w:val="0"/>
      <w:marTop w:val="0"/>
      <w:marBottom w:val="0"/>
      <w:divBdr>
        <w:top w:val="none" w:sz="0" w:space="0" w:color="auto"/>
        <w:left w:val="none" w:sz="0" w:space="0" w:color="auto"/>
        <w:bottom w:val="none" w:sz="0" w:space="0" w:color="auto"/>
        <w:right w:val="none" w:sz="0" w:space="0" w:color="auto"/>
      </w:divBdr>
    </w:div>
    <w:div w:id="141309455">
      <w:bodyDiv w:val="1"/>
      <w:marLeft w:val="0"/>
      <w:marRight w:val="0"/>
      <w:marTop w:val="0"/>
      <w:marBottom w:val="0"/>
      <w:divBdr>
        <w:top w:val="none" w:sz="0" w:space="0" w:color="auto"/>
        <w:left w:val="none" w:sz="0" w:space="0" w:color="auto"/>
        <w:bottom w:val="none" w:sz="0" w:space="0" w:color="auto"/>
        <w:right w:val="none" w:sz="0" w:space="0" w:color="auto"/>
      </w:divBdr>
    </w:div>
    <w:div w:id="146437894">
      <w:bodyDiv w:val="1"/>
      <w:marLeft w:val="0"/>
      <w:marRight w:val="0"/>
      <w:marTop w:val="0"/>
      <w:marBottom w:val="0"/>
      <w:divBdr>
        <w:top w:val="none" w:sz="0" w:space="0" w:color="auto"/>
        <w:left w:val="none" w:sz="0" w:space="0" w:color="auto"/>
        <w:bottom w:val="none" w:sz="0" w:space="0" w:color="auto"/>
        <w:right w:val="none" w:sz="0" w:space="0" w:color="auto"/>
      </w:divBdr>
    </w:div>
    <w:div w:id="149371080">
      <w:bodyDiv w:val="1"/>
      <w:marLeft w:val="0"/>
      <w:marRight w:val="0"/>
      <w:marTop w:val="0"/>
      <w:marBottom w:val="0"/>
      <w:divBdr>
        <w:top w:val="none" w:sz="0" w:space="0" w:color="auto"/>
        <w:left w:val="none" w:sz="0" w:space="0" w:color="auto"/>
        <w:bottom w:val="none" w:sz="0" w:space="0" w:color="auto"/>
        <w:right w:val="none" w:sz="0" w:space="0" w:color="auto"/>
      </w:divBdr>
    </w:div>
    <w:div w:id="149712517">
      <w:bodyDiv w:val="1"/>
      <w:marLeft w:val="0"/>
      <w:marRight w:val="0"/>
      <w:marTop w:val="0"/>
      <w:marBottom w:val="0"/>
      <w:divBdr>
        <w:top w:val="none" w:sz="0" w:space="0" w:color="auto"/>
        <w:left w:val="none" w:sz="0" w:space="0" w:color="auto"/>
        <w:bottom w:val="none" w:sz="0" w:space="0" w:color="auto"/>
        <w:right w:val="none" w:sz="0" w:space="0" w:color="auto"/>
      </w:divBdr>
    </w:div>
    <w:div w:id="166334853">
      <w:bodyDiv w:val="1"/>
      <w:marLeft w:val="0"/>
      <w:marRight w:val="0"/>
      <w:marTop w:val="0"/>
      <w:marBottom w:val="0"/>
      <w:divBdr>
        <w:top w:val="none" w:sz="0" w:space="0" w:color="auto"/>
        <w:left w:val="none" w:sz="0" w:space="0" w:color="auto"/>
        <w:bottom w:val="none" w:sz="0" w:space="0" w:color="auto"/>
        <w:right w:val="none" w:sz="0" w:space="0" w:color="auto"/>
      </w:divBdr>
    </w:div>
    <w:div w:id="170603854">
      <w:bodyDiv w:val="1"/>
      <w:marLeft w:val="0"/>
      <w:marRight w:val="0"/>
      <w:marTop w:val="0"/>
      <w:marBottom w:val="0"/>
      <w:divBdr>
        <w:top w:val="none" w:sz="0" w:space="0" w:color="auto"/>
        <w:left w:val="none" w:sz="0" w:space="0" w:color="auto"/>
        <w:bottom w:val="none" w:sz="0" w:space="0" w:color="auto"/>
        <w:right w:val="none" w:sz="0" w:space="0" w:color="auto"/>
      </w:divBdr>
    </w:div>
    <w:div w:id="198133091">
      <w:bodyDiv w:val="1"/>
      <w:marLeft w:val="0"/>
      <w:marRight w:val="0"/>
      <w:marTop w:val="0"/>
      <w:marBottom w:val="0"/>
      <w:divBdr>
        <w:top w:val="none" w:sz="0" w:space="0" w:color="auto"/>
        <w:left w:val="none" w:sz="0" w:space="0" w:color="auto"/>
        <w:bottom w:val="none" w:sz="0" w:space="0" w:color="auto"/>
        <w:right w:val="none" w:sz="0" w:space="0" w:color="auto"/>
      </w:divBdr>
    </w:div>
    <w:div w:id="319431710">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27826494">
      <w:bodyDiv w:val="1"/>
      <w:marLeft w:val="0"/>
      <w:marRight w:val="0"/>
      <w:marTop w:val="0"/>
      <w:marBottom w:val="0"/>
      <w:divBdr>
        <w:top w:val="none" w:sz="0" w:space="0" w:color="auto"/>
        <w:left w:val="none" w:sz="0" w:space="0" w:color="auto"/>
        <w:bottom w:val="none" w:sz="0" w:space="0" w:color="auto"/>
        <w:right w:val="none" w:sz="0" w:space="0" w:color="auto"/>
      </w:divBdr>
    </w:div>
    <w:div w:id="377511060">
      <w:bodyDiv w:val="1"/>
      <w:marLeft w:val="0"/>
      <w:marRight w:val="0"/>
      <w:marTop w:val="0"/>
      <w:marBottom w:val="0"/>
      <w:divBdr>
        <w:top w:val="none" w:sz="0" w:space="0" w:color="auto"/>
        <w:left w:val="none" w:sz="0" w:space="0" w:color="auto"/>
        <w:bottom w:val="none" w:sz="0" w:space="0" w:color="auto"/>
        <w:right w:val="none" w:sz="0" w:space="0" w:color="auto"/>
      </w:divBdr>
    </w:div>
    <w:div w:id="380639443">
      <w:bodyDiv w:val="1"/>
      <w:marLeft w:val="0"/>
      <w:marRight w:val="0"/>
      <w:marTop w:val="0"/>
      <w:marBottom w:val="0"/>
      <w:divBdr>
        <w:top w:val="none" w:sz="0" w:space="0" w:color="auto"/>
        <w:left w:val="none" w:sz="0" w:space="0" w:color="auto"/>
        <w:bottom w:val="none" w:sz="0" w:space="0" w:color="auto"/>
        <w:right w:val="none" w:sz="0" w:space="0" w:color="auto"/>
      </w:divBdr>
    </w:div>
    <w:div w:id="385877244">
      <w:bodyDiv w:val="1"/>
      <w:marLeft w:val="0"/>
      <w:marRight w:val="0"/>
      <w:marTop w:val="0"/>
      <w:marBottom w:val="0"/>
      <w:divBdr>
        <w:top w:val="none" w:sz="0" w:space="0" w:color="auto"/>
        <w:left w:val="none" w:sz="0" w:space="0" w:color="auto"/>
        <w:bottom w:val="none" w:sz="0" w:space="0" w:color="auto"/>
        <w:right w:val="none" w:sz="0" w:space="0" w:color="auto"/>
      </w:divBdr>
    </w:div>
    <w:div w:id="400297281">
      <w:bodyDiv w:val="1"/>
      <w:marLeft w:val="0"/>
      <w:marRight w:val="0"/>
      <w:marTop w:val="0"/>
      <w:marBottom w:val="0"/>
      <w:divBdr>
        <w:top w:val="none" w:sz="0" w:space="0" w:color="auto"/>
        <w:left w:val="none" w:sz="0" w:space="0" w:color="auto"/>
        <w:bottom w:val="none" w:sz="0" w:space="0" w:color="auto"/>
        <w:right w:val="none" w:sz="0" w:space="0" w:color="auto"/>
      </w:divBdr>
    </w:div>
    <w:div w:id="414085707">
      <w:bodyDiv w:val="1"/>
      <w:marLeft w:val="0"/>
      <w:marRight w:val="0"/>
      <w:marTop w:val="0"/>
      <w:marBottom w:val="0"/>
      <w:divBdr>
        <w:top w:val="none" w:sz="0" w:space="0" w:color="auto"/>
        <w:left w:val="none" w:sz="0" w:space="0" w:color="auto"/>
        <w:bottom w:val="none" w:sz="0" w:space="0" w:color="auto"/>
        <w:right w:val="none" w:sz="0" w:space="0" w:color="auto"/>
      </w:divBdr>
    </w:div>
    <w:div w:id="427654253">
      <w:bodyDiv w:val="1"/>
      <w:marLeft w:val="0"/>
      <w:marRight w:val="0"/>
      <w:marTop w:val="0"/>
      <w:marBottom w:val="0"/>
      <w:divBdr>
        <w:top w:val="none" w:sz="0" w:space="0" w:color="auto"/>
        <w:left w:val="none" w:sz="0" w:space="0" w:color="auto"/>
        <w:bottom w:val="none" w:sz="0" w:space="0" w:color="auto"/>
        <w:right w:val="none" w:sz="0" w:space="0" w:color="auto"/>
      </w:divBdr>
    </w:div>
    <w:div w:id="530534241">
      <w:bodyDiv w:val="1"/>
      <w:marLeft w:val="0"/>
      <w:marRight w:val="0"/>
      <w:marTop w:val="0"/>
      <w:marBottom w:val="0"/>
      <w:divBdr>
        <w:top w:val="none" w:sz="0" w:space="0" w:color="auto"/>
        <w:left w:val="none" w:sz="0" w:space="0" w:color="auto"/>
        <w:bottom w:val="none" w:sz="0" w:space="0" w:color="auto"/>
        <w:right w:val="none" w:sz="0" w:space="0" w:color="auto"/>
      </w:divBdr>
    </w:div>
    <w:div w:id="551772170">
      <w:bodyDiv w:val="1"/>
      <w:marLeft w:val="0"/>
      <w:marRight w:val="0"/>
      <w:marTop w:val="0"/>
      <w:marBottom w:val="0"/>
      <w:divBdr>
        <w:top w:val="none" w:sz="0" w:space="0" w:color="auto"/>
        <w:left w:val="none" w:sz="0" w:space="0" w:color="auto"/>
        <w:bottom w:val="none" w:sz="0" w:space="0" w:color="auto"/>
        <w:right w:val="none" w:sz="0" w:space="0" w:color="auto"/>
      </w:divBdr>
    </w:div>
    <w:div w:id="618804194">
      <w:bodyDiv w:val="1"/>
      <w:marLeft w:val="0"/>
      <w:marRight w:val="0"/>
      <w:marTop w:val="0"/>
      <w:marBottom w:val="0"/>
      <w:divBdr>
        <w:top w:val="none" w:sz="0" w:space="0" w:color="auto"/>
        <w:left w:val="none" w:sz="0" w:space="0" w:color="auto"/>
        <w:bottom w:val="none" w:sz="0" w:space="0" w:color="auto"/>
        <w:right w:val="none" w:sz="0" w:space="0" w:color="auto"/>
      </w:divBdr>
    </w:div>
    <w:div w:id="621887640">
      <w:bodyDiv w:val="1"/>
      <w:marLeft w:val="0"/>
      <w:marRight w:val="0"/>
      <w:marTop w:val="0"/>
      <w:marBottom w:val="0"/>
      <w:divBdr>
        <w:top w:val="none" w:sz="0" w:space="0" w:color="auto"/>
        <w:left w:val="none" w:sz="0" w:space="0" w:color="auto"/>
        <w:bottom w:val="none" w:sz="0" w:space="0" w:color="auto"/>
        <w:right w:val="none" w:sz="0" w:space="0" w:color="auto"/>
      </w:divBdr>
    </w:div>
    <w:div w:id="680547636">
      <w:bodyDiv w:val="1"/>
      <w:marLeft w:val="0"/>
      <w:marRight w:val="0"/>
      <w:marTop w:val="0"/>
      <w:marBottom w:val="0"/>
      <w:divBdr>
        <w:top w:val="none" w:sz="0" w:space="0" w:color="auto"/>
        <w:left w:val="none" w:sz="0" w:space="0" w:color="auto"/>
        <w:bottom w:val="none" w:sz="0" w:space="0" w:color="auto"/>
        <w:right w:val="none" w:sz="0" w:space="0" w:color="auto"/>
      </w:divBdr>
    </w:div>
    <w:div w:id="732700597">
      <w:bodyDiv w:val="1"/>
      <w:marLeft w:val="0"/>
      <w:marRight w:val="0"/>
      <w:marTop w:val="0"/>
      <w:marBottom w:val="0"/>
      <w:divBdr>
        <w:top w:val="none" w:sz="0" w:space="0" w:color="auto"/>
        <w:left w:val="none" w:sz="0" w:space="0" w:color="auto"/>
        <w:bottom w:val="none" w:sz="0" w:space="0" w:color="auto"/>
        <w:right w:val="none" w:sz="0" w:space="0" w:color="auto"/>
      </w:divBdr>
    </w:div>
    <w:div w:id="778719617">
      <w:bodyDiv w:val="1"/>
      <w:marLeft w:val="0"/>
      <w:marRight w:val="0"/>
      <w:marTop w:val="0"/>
      <w:marBottom w:val="0"/>
      <w:divBdr>
        <w:top w:val="none" w:sz="0" w:space="0" w:color="auto"/>
        <w:left w:val="none" w:sz="0" w:space="0" w:color="auto"/>
        <w:bottom w:val="none" w:sz="0" w:space="0" w:color="auto"/>
        <w:right w:val="none" w:sz="0" w:space="0" w:color="auto"/>
      </w:divBdr>
    </w:div>
    <w:div w:id="779032075">
      <w:bodyDiv w:val="1"/>
      <w:marLeft w:val="0"/>
      <w:marRight w:val="0"/>
      <w:marTop w:val="0"/>
      <w:marBottom w:val="0"/>
      <w:divBdr>
        <w:top w:val="none" w:sz="0" w:space="0" w:color="auto"/>
        <w:left w:val="none" w:sz="0" w:space="0" w:color="auto"/>
        <w:bottom w:val="none" w:sz="0" w:space="0" w:color="auto"/>
        <w:right w:val="none" w:sz="0" w:space="0" w:color="auto"/>
      </w:divBdr>
    </w:div>
    <w:div w:id="817502910">
      <w:bodyDiv w:val="1"/>
      <w:marLeft w:val="0"/>
      <w:marRight w:val="0"/>
      <w:marTop w:val="0"/>
      <w:marBottom w:val="0"/>
      <w:divBdr>
        <w:top w:val="none" w:sz="0" w:space="0" w:color="auto"/>
        <w:left w:val="none" w:sz="0" w:space="0" w:color="auto"/>
        <w:bottom w:val="none" w:sz="0" w:space="0" w:color="auto"/>
        <w:right w:val="none" w:sz="0" w:space="0" w:color="auto"/>
      </w:divBdr>
    </w:div>
    <w:div w:id="833422686">
      <w:bodyDiv w:val="1"/>
      <w:marLeft w:val="0"/>
      <w:marRight w:val="0"/>
      <w:marTop w:val="0"/>
      <w:marBottom w:val="0"/>
      <w:divBdr>
        <w:top w:val="none" w:sz="0" w:space="0" w:color="auto"/>
        <w:left w:val="none" w:sz="0" w:space="0" w:color="auto"/>
        <w:bottom w:val="none" w:sz="0" w:space="0" w:color="auto"/>
        <w:right w:val="none" w:sz="0" w:space="0" w:color="auto"/>
      </w:divBdr>
    </w:div>
    <w:div w:id="870074617">
      <w:bodyDiv w:val="1"/>
      <w:marLeft w:val="0"/>
      <w:marRight w:val="0"/>
      <w:marTop w:val="0"/>
      <w:marBottom w:val="0"/>
      <w:divBdr>
        <w:top w:val="none" w:sz="0" w:space="0" w:color="auto"/>
        <w:left w:val="none" w:sz="0" w:space="0" w:color="auto"/>
        <w:bottom w:val="none" w:sz="0" w:space="0" w:color="auto"/>
        <w:right w:val="none" w:sz="0" w:space="0" w:color="auto"/>
      </w:divBdr>
    </w:div>
    <w:div w:id="1042902158">
      <w:bodyDiv w:val="1"/>
      <w:marLeft w:val="0"/>
      <w:marRight w:val="0"/>
      <w:marTop w:val="0"/>
      <w:marBottom w:val="0"/>
      <w:divBdr>
        <w:top w:val="none" w:sz="0" w:space="0" w:color="auto"/>
        <w:left w:val="none" w:sz="0" w:space="0" w:color="auto"/>
        <w:bottom w:val="none" w:sz="0" w:space="0" w:color="auto"/>
        <w:right w:val="none" w:sz="0" w:space="0" w:color="auto"/>
      </w:divBdr>
    </w:div>
    <w:div w:id="1050424441">
      <w:bodyDiv w:val="1"/>
      <w:marLeft w:val="0"/>
      <w:marRight w:val="0"/>
      <w:marTop w:val="0"/>
      <w:marBottom w:val="0"/>
      <w:divBdr>
        <w:top w:val="none" w:sz="0" w:space="0" w:color="auto"/>
        <w:left w:val="none" w:sz="0" w:space="0" w:color="auto"/>
        <w:bottom w:val="none" w:sz="0" w:space="0" w:color="auto"/>
        <w:right w:val="none" w:sz="0" w:space="0" w:color="auto"/>
      </w:divBdr>
    </w:div>
    <w:div w:id="1073552462">
      <w:bodyDiv w:val="1"/>
      <w:marLeft w:val="0"/>
      <w:marRight w:val="0"/>
      <w:marTop w:val="0"/>
      <w:marBottom w:val="0"/>
      <w:divBdr>
        <w:top w:val="none" w:sz="0" w:space="0" w:color="auto"/>
        <w:left w:val="none" w:sz="0" w:space="0" w:color="auto"/>
        <w:bottom w:val="none" w:sz="0" w:space="0" w:color="auto"/>
        <w:right w:val="none" w:sz="0" w:space="0" w:color="auto"/>
      </w:divBdr>
    </w:div>
    <w:div w:id="1127894689">
      <w:bodyDiv w:val="1"/>
      <w:marLeft w:val="0"/>
      <w:marRight w:val="0"/>
      <w:marTop w:val="0"/>
      <w:marBottom w:val="0"/>
      <w:divBdr>
        <w:top w:val="none" w:sz="0" w:space="0" w:color="auto"/>
        <w:left w:val="none" w:sz="0" w:space="0" w:color="auto"/>
        <w:bottom w:val="none" w:sz="0" w:space="0" w:color="auto"/>
        <w:right w:val="none" w:sz="0" w:space="0" w:color="auto"/>
      </w:divBdr>
    </w:div>
    <w:div w:id="1167020851">
      <w:bodyDiv w:val="1"/>
      <w:marLeft w:val="0"/>
      <w:marRight w:val="0"/>
      <w:marTop w:val="0"/>
      <w:marBottom w:val="0"/>
      <w:divBdr>
        <w:top w:val="none" w:sz="0" w:space="0" w:color="auto"/>
        <w:left w:val="none" w:sz="0" w:space="0" w:color="auto"/>
        <w:bottom w:val="none" w:sz="0" w:space="0" w:color="auto"/>
        <w:right w:val="none" w:sz="0" w:space="0" w:color="auto"/>
      </w:divBdr>
    </w:div>
    <w:div w:id="1194810210">
      <w:bodyDiv w:val="1"/>
      <w:marLeft w:val="0"/>
      <w:marRight w:val="0"/>
      <w:marTop w:val="0"/>
      <w:marBottom w:val="0"/>
      <w:divBdr>
        <w:top w:val="none" w:sz="0" w:space="0" w:color="auto"/>
        <w:left w:val="none" w:sz="0" w:space="0" w:color="auto"/>
        <w:bottom w:val="none" w:sz="0" w:space="0" w:color="auto"/>
        <w:right w:val="none" w:sz="0" w:space="0" w:color="auto"/>
      </w:divBdr>
    </w:div>
    <w:div w:id="1204444459">
      <w:bodyDiv w:val="1"/>
      <w:marLeft w:val="0"/>
      <w:marRight w:val="0"/>
      <w:marTop w:val="0"/>
      <w:marBottom w:val="0"/>
      <w:divBdr>
        <w:top w:val="none" w:sz="0" w:space="0" w:color="auto"/>
        <w:left w:val="none" w:sz="0" w:space="0" w:color="auto"/>
        <w:bottom w:val="none" w:sz="0" w:space="0" w:color="auto"/>
        <w:right w:val="none" w:sz="0" w:space="0" w:color="auto"/>
      </w:divBdr>
    </w:div>
    <w:div w:id="1342972639">
      <w:bodyDiv w:val="1"/>
      <w:marLeft w:val="0"/>
      <w:marRight w:val="0"/>
      <w:marTop w:val="0"/>
      <w:marBottom w:val="0"/>
      <w:divBdr>
        <w:top w:val="none" w:sz="0" w:space="0" w:color="auto"/>
        <w:left w:val="none" w:sz="0" w:space="0" w:color="auto"/>
        <w:bottom w:val="none" w:sz="0" w:space="0" w:color="auto"/>
        <w:right w:val="none" w:sz="0" w:space="0" w:color="auto"/>
      </w:divBdr>
    </w:div>
    <w:div w:id="1385593532">
      <w:bodyDiv w:val="1"/>
      <w:marLeft w:val="0"/>
      <w:marRight w:val="0"/>
      <w:marTop w:val="0"/>
      <w:marBottom w:val="0"/>
      <w:divBdr>
        <w:top w:val="none" w:sz="0" w:space="0" w:color="auto"/>
        <w:left w:val="none" w:sz="0" w:space="0" w:color="auto"/>
        <w:bottom w:val="none" w:sz="0" w:space="0" w:color="auto"/>
        <w:right w:val="none" w:sz="0" w:space="0" w:color="auto"/>
      </w:divBdr>
    </w:div>
    <w:div w:id="1414737734">
      <w:bodyDiv w:val="1"/>
      <w:marLeft w:val="0"/>
      <w:marRight w:val="0"/>
      <w:marTop w:val="0"/>
      <w:marBottom w:val="0"/>
      <w:divBdr>
        <w:top w:val="none" w:sz="0" w:space="0" w:color="auto"/>
        <w:left w:val="none" w:sz="0" w:space="0" w:color="auto"/>
        <w:bottom w:val="none" w:sz="0" w:space="0" w:color="auto"/>
        <w:right w:val="none" w:sz="0" w:space="0" w:color="auto"/>
      </w:divBdr>
    </w:div>
    <w:div w:id="149364030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45672176">
      <w:bodyDiv w:val="1"/>
      <w:marLeft w:val="0"/>
      <w:marRight w:val="0"/>
      <w:marTop w:val="0"/>
      <w:marBottom w:val="0"/>
      <w:divBdr>
        <w:top w:val="none" w:sz="0" w:space="0" w:color="auto"/>
        <w:left w:val="none" w:sz="0" w:space="0" w:color="auto"/>
        <w:bottom w:val="none" w:sz="0" w:space="0" w:color="auto"/>
        <w:right w:val="none" w:sz="0" w:space="0" w:color="auto"/>
      </w:divBdr>
    </w:div>
    <w:div w:id="1602762075">
      <w:bodyDiv w:val="1"/>
      <w:marLeft w:val="0"/>
      <w:marRight w:val="0"/>
      <w:marTop w:val="0"/>
      <w:marBottom w:val="0"/>
      <w:divBdr>
        <w:top w:val="none" w:sz="0" w:space="0" w:color="auto"/>
        <w:left w:val="none" w:sz="0" w:space="0" w:color="auto"/>
        <w:bottom w:val="none" w:sz="0" w:space="0" w:color="auto"/>
        <w:right w:val="none" w:sz="0" w:space="0" w:color="auto"/>
      </w:divBdr>
    </w:div>
    <w:div w:id="1609190356">
      <w:bodyDiv w:val="1"/>
      <w:marLeft w:val="0"/>
      <w:marRight w:val="0"/>
      <w:marTop w:val="0"/>
      <w:marBottom w:val="0"/>
      <w:divBdr>
        <w:top w:val="none" w:sz="0" w:space="0" w:color="auto"/>
        <w:left w:val="none" w:sz="0" w:space="0" w:color="auto"/>
        <w:bottom w:val="none" w:sz="0" w:space="0" w:color="auto"/>
        <w:right w:val="none" w:sz="0" w:space="0" w:color="auto"/>
      </w:divBdr>
    </w:div>
    <w:div w:id="1691446080">
      <w:bodyDiv w:val="1"/>
      <w:marLeft w:val="0"/>
      <w:marRight w:val="0"/>
      <w:marTop w:val="0"/>
      <w:marBottom w:val="0"/>
      <w:divBdr>
        <w:top w:val="none" w:sz="0" w:space="0" w:color="auto"/>
        <w:left w:val="none" w:sz="0" w:space="0" w:color="auto"/>
        <w:bottom w:val="none" w:sz="0" w:space="0" w:color="auto"/>
        <w:right w:val="none" w:sz="0" w:space="0" w:color="auto"/>
      </w:divBdr>
    </w:div>
    <w:div w:id="1728072375">
      <w:bodyDiv w:val="1"/>
      <w:marLeft w:val="0"/>
      <w:marRight w:val="0"/>
      <w:marTop w:val="0"/>
      <w:marBottom w:val="0"/>
      <w:divBdr>
        <w:top w:val="none" w:sz="0" w:space="0" w:color="auto"/>
        <w:left w:val="none" w:sz="0" w:space="0" w:color="auto"/>
        <w:bottom w:val="none" w:sz="0" w:space="0" w:color="auto"/>
        <w:right w:val="none" w:sz="0" w:space="0" w:color="auto"/>
      </w:divBdr>
    </w:div>
    <w:div w:id="1728458266">
      <w:bodyDiv w:val="1"/>
      <w:marLeft w:val="0"/>
      <w:marRight w:val="0"/>
      <w:marTop w:val="0"/>
      <w:marBottom w:val="0"/>
      <w:divBdr>
        <w:top w:val="none" w:sz="0" w:space="0" w:color="auto"/>
        <w:left w:val="none" w:sz="0" w:space="0" w:color="auto"/>
        <w:bottom w:val="none" w:sz="0" w:space="0" w:color="auto"/>
        <w:right w:val="none" w:sz="0" w:space="0" w:color="auto"/>
      </w:divBdr>
    </w:div>
    <w:div w:id="1728603782">
      <w:bodyDiv w:val="1"/>
      <w:marLeft w:val="0"/>
      <w:marRight w:val="0"/>
      <w:marTop w:val="0"/>
      <w:marBottom w:val="0"/>
      <w:divBdr>
        <w:top w:val="none" w:sz="0" w:space="0" w:color="auto"/>
        <w:left w:val="none" w:sz="0" w:space="0" w:color="auto"/>
        <w:bottom w:val="none" w:sz="0" w:space="0" w:color="auto"/>
        <w:right w:val="none" w:sz="0" w:space="0" w:color="auto"/>
      </w:divBdr>
    </w:div>
    <w:div w:id="1758751498">
      <w:bodyDiv w:val="1"/>
      <w:marLeft w:val="0"/>
      <w:marRight w:val="0"/>
      <w:marTop w:val="0"/>
      <w:marBottom w:val="0"/>
      <w:divBdr>
        <w:top w:val="none" w:sz="0" w:space="0" w:color="auto"/>
        <w:left w:val="none" w:sz="0" w:space="0" w:color="auto"/>
        <w:bottom w:val="none" w:sz="0" w:space="0" w:color="auto"/>
        <w:right w:val="none" w:sz="0" w:space="0" w:color="auto"/>
      </w:divBdr>
    </w:div>
    <w:div w:id="1771392131">
      <w:bodyDiv w:val="1"/>
      <w:marLeft w:val="0"/>
      <w:marRight w:val="0"/>
      <w:marTop w:val="0"/>
      <w:marBottom w:val="0"/>
      <w:divBdr>
        <w:top w:val="none" w:sz="0" w:space="0" w:color="auto"/>
        <w:left w:val="none" w:sz="0" w:space="0" w:color="auto"/>
        <w:bottom w:val="none" w:sz="0" w:space="0" w:color="auto"/>
        <w:right w:val="none" w:sz="0" w:space="0" w:color="auto"/>
      </w:divBdr>
    </w:div>
    <w:div w:id="1825655205">
      <w:bodyDiv w:val="1"/>
      <w:marLeft w:val="0"/>
      <w:marRight w:val="0"/>
      <w:marTop w:val="0"/>
      <w:marBottom w:val="0"/>
      <w:divBdr>
        <w:top w:val="none" w:sz="0" w:space="0" w:color="auto"/>
        <w:left w:val="none" w:sz="0" w:space="0" w:color="auto"/>
        <w:bottom w:val="none" w:sz="0" w:space="0" w:color="auto"/>
        <w:right w:val="none" w:sz="0" w:space="0" w:color="auto"/>
      </w:divBdr>
    </w:div>
    <w:div w:id="1830367478">
      <w:bodyDiv w:val="1"/>
      <w:marLeft w:val="0"/>
      <w:marRight w:val="0"/>
      <w:marTop w:val="0"/>
      <w:marBottom w:val="0"/>
      <w:divBdr>
        <w:top w:val="none" w:sz="0" w:space="0" w:color="auto"/>
        <w:left w:val="none" w:sz="0" w:space="0" w:color="auto"/>
        <w:bottom w:val="none" w:sz="0" w:space="0" w:color="auto"/>
        <w:right w:val="none" w:sz="0" w:space="0" w:color="auto"/>
      </w:divBdr>
    </w:div>
    <w:div w:id="1894344905">
      <w:bodyDiv w:val="1"/>
      <w:marLeft w:val="0"/>
      <w:marRight w:val="0"/>
      <w:marTop w:val="0"/>
      <w:marBottom w:val="0"/>
      <w:divBdr>
        <w:top w:val="none" w:sz="0" w:space="0" w:color="auto"/>
        <w:left w:val="none" w:sz="0" w:space="0" w:color="auto"/>
        <w:bottom w:val="none" w:sz="0" w:space="0" w:color="auto"/>
        <w:right w:val="none" w:sz="0" w:space="0" w:color="auto"/>
      </w:divBdr>
    </w:div>
    <w:div w:id="1900434885">
      <w:bodyDiv w:val="1"/>
      <w:marLeft w:val="0"/>
      <w:marRight w:val="0"/>
      <w:marTop w:val="0"/>
      <w:marBottom w:val="0"/>
      <w:divBdr>
        <w:top w:val="none" w:sz="0" w:space="0" w:color="auto"/>
        <w:left w:val="none" w:sz="0" w:space="0" w:color="auto"/>
        <w:bottom w:val="none" w:sz="0" w:space="0" w:color="auto"/>
        <w:right w:val="none" w:sz="0" w:space="0" w:color="auto"/>
      </w:divBdr>
    </w:div>
    <w:div w:id="1953783590">
      <w:bodyDiv w:val="1"/>
      <w:marLeft w:val="0"/>
      <w:marRight w:val="0"/>
      <w:marTop w:val="0"/>
      <w:marBottom w:val="0"/>
      <w:divBdr>
        <w:top w:val="none" w:sz="0" w:space="0" w:color="auto"/>
        <w:left w:val="none" w:sz="0" w:space="0" w:color="auto"/>
        <w:bottom w:val="none" w:sz="0" w:space="0" w:color="auto"/>
        <w:right w:val="none" w:sz="0" w:space="0" w:color="auto"/>
      </w:divBdr>
    </w:div>
    <w:div w:id="1954441742">
      <w:bodyDiv w:val="1"/>
      <w:marLeft w:val="0"/>
      <w:marRight w:val="0"/>
      <w:marTop w:val="0"/>
      <w:marBottom w:val="0"/>
      <w:divBdr>
        <w:top w:val="none" w:sz="0" w:space="0" w:color="auto"/>
        <w:left w:val="none" w:sz="0" w:space="0" w:color="auto"/>
        <w:bottom w:val="none" w:sz="0" w:space="0" w:color="auto"/>
        <w:right w:val="none" w:sz="0" w:space="0" w:color="auto"/>
      </w:divBdr>
    </w:div>
    <w:div w:id="1963808479">
      <w:bodyDiv w:val="1"/>
      <w:marLeft w:val="0"/>
      <w:marRight w:val="0"/>
      <w:marTop w:val="0"/>
      <w:marBottom w:val="0"/>
      <w:divBdr>
        <w:top w:val="none" w:sz="0" w:space="0" w:color="auto"/>
        <w:left w:val="none" w:sz="0" w:space="0" w:color="auto"/>
        <w:bottom w:val="none" w:sz="0" w:space="0" w:color="auto"/>
        <w:right w:val="none" w:sz="0" w:space="0" w:color="auto"/>
      </w:divBdr>
    </w:div>
    <w:div w:id="1965964319">
      <w:bodyDiv w:val="1"/>
      <w:marLeft w:val="0"/>
      <w:marRight w:val="0"/>
      <w:marTop w:val="0"/>
      <w:marBottom w:val="0"/>
      <w:divBdr>
        <w:top w:val="none" w:sz="0" w:space="0" w:color="auto"/>
        <w:left w:val="none" w:sz="0" w:space="0" w:color="auto"/>
        <w:bottom w:val="none" w:sz="0" w:space="0" w:color="auto"/>
        <w:right w:val="none" w:sz="0" w:space="0" w:color="auto"/>
      </w:divBdr>
    </w:div>
    <w:div w:id="1967471144">
      <w:bodyDiv w:val="1"/>
      <w:marLeft w:val="0"/>
      <w:marRight w:val="0"/>
      <w:marTop w:val="0"/>
      <w:marBottom w:val="0"/>
      <w:divBdr>
        <w:top w:val="none" w:sz="0" w:space="0" w:color="auto"/>
        <w:left w:val="none" w:sz="0" w:space="0" w:color="auto"/>
        <w:bottom w:val="none" w:sz="0" w:space="0" w:color="auto"/>
        <w:right w:val="none" w:sz="0" w:space="0" w:color="auto"/>
      </w:divBdr>
    </w:div>
    <w:div w:id="1972322346">
      <w:bodyDiv w:val="1"/>
      <w:marLeft w:val="0"/>
      <w:marRight w:val="0"/>
      <w:marTop w:val="0"/>
      <w:marBottom w:val="0"/>
      <w:divBdr>
        <w:top w:val="none" w:sz="0" w:space="0" w:color="auto"/>
        <w:left w:val="none" w:sz="0" w:space="0" w:color="auto"/>
        <w:bottom w:val="none" w:sz="0" w:space="0" w:color="auto"/>
        <w:right w:val="none" w:sz="0" w:space="0" w:color="auto"/>
      </w:divBdr>
    </w:div>
    <w:div w:id="1973243773">
      <w:bodyDiv w:val="1"/>
      <w:marLeft w:val="0"/>
      <w:marRight w:val="0"/>
      <w:marTop w:val="0"/>
      <w:marBottom w:val="0"/>
      <w:divBdr>
        <w:top w:val="none" w:sz="0" w:space="0" w:color="auto"/>
        <w:left w:val="none" w:sz="0" w:space="0" w:color="auto"/>
        <w:bottom w:val="none" w:sz="0" w:space="0" w:color="auto"/>
        <w:right w:val="none" w:sz="0" w:space="0" w:color="auto"/>
      </w:divBdr>
    </w:div>
    <w:div w:id="2004509952">
      <w:bodyDiv w:val="1"/>
      <w:marLeft w:val="0"/>
      <w:marRight w:val="0"/>
      <w:marTop w:val="0"/>
      <w:marBottom w:val="0"/>
      <w:divBdr>
        <w:top w:val="none" w:sz="0" w:space="0" w:color="auto"/>
        <w:left w:val="none" w:sz="0" w:space="0" w:color="auto"/>
        <w:bottom w:val="none" w:sz="0" w:space="0" w:color="auto"/>
        <w:right w:val="none" w:sz="0" w:space="0" w:color="auto"/>
      </w:divBdr>
    </w:div>
    <w:div w:id="2005232917">
      <w:bodyDiv w:val="1"/>
      <w:marLeft w:val="0"/>
      <w:marRight w:val="0"/>
      <w:marTop w:val="0"/>
      <w:marBottom w:val="0"/>
      <w:divBdr>
        <w:top w:val="none" w:sz="0" w:space="0" w:color="auto"/>
        <w:left w:val="none" w:sz="0" w:space="0" w:color="auto"/>
        <w:bottom w:val="none" w:sz="0" w:space="0" w:color="auto"/>
        <w:right w:val="none" w:sz="0" w:space="0" w:color="auto"/>
      </w:divBdr>
    </w:div>
    <w:div w:id="2034574681">
      <w:bodyDiv w:val="1"/>
      <w:marLeft w:val="0"/>
      <w:marRight w:val="0"/>
      <w:marTop w:val="0"/>
      <w:marBottom w:val="0"/>
      <w:divBdr>
        <w:top w:val="none" w:sz="0" w:space="0" w:color="auto"/>
        <w:left w:val="none" w:sz="0" w:space="0" w:color="auto"/>
        <w:bottom w:val="none" w:sz="0" w:space="0" w:color="auto"/>
        <w:right w:val="none" w:sz="0" w:space="0" w:color="auto"/>
      </w:divBdr>
    </w:div>
    <w:div w:id="2045212397">
      <w:bodyDiv w:val="1"/>
      <w:marLeft w:val="0"/>
      <w:marRight w:val="0"/>
      <w:marTop w:val="0"/>
      <w:marBottom w:val="0"/>
      <w:divBdr>
        <w:top w:val="none" w:sz="0" w:space="0" w:color="auto"/>
        <w:left w:val="none" w:sz="0" w:space="0" w:color="auto"/>
        <w:bottom w:val="none" w:sz="0" w:space="0" w:color="auto"/>
        <w:right w:val="none" w:sz="0" w:space="0" w:color="auto"/>
      </w:divBdr>
    </w:div>
    <w:div w:id="2064794932">
      <w:bodyDiv w:val="1"/>
      <w:marLeft w:val="0"/>
      <w:marRight w:val="0"/>
      <w:marTop w:val="0"/>
      <w:marBottom w:val="0"/>
      <w:divBdr>
        <w:top w:val="none" w:sz="0" w:space="0" w:color="auto"/>
        <w:left w:val="none" w:sz="0" w:space="0" w:color="auto"/>
        <w:bottom w:val="none" w:sz="0" w:space="0" w:color="auto"/>
        <w:right w:val="none" w:sz="0" w:space="0" w:color="auto"/>
      </w:divBdr>
    </w:div>
    <w:div w:id="2102873834">
      <w:bodyDiv w:val="1"/>
      <w:marLeft w:val="0"/>
      <w:marRight w:val="0"/>
      <w:marTop w:val="0"/>
      <w:marBottom w:val="0"/>
      <w:divBdr>
        <w:top w:val="none" w:sz="0" w:space="0" w:color="auto"/>
        <w:left w:val="none" w:sz="0" w:space="0" w:color="auto"/>
        <w:bottom w:val="none" w:sz="0" w:space="0" w:color="auto"/>
        <w:right w:val="none" w:sz="0" w:space="0" w:color="auto"/>
      </w:divBdr>
    </w:div>
    <w:div w:id="21049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purl.org/dc/dcmitype/"/>
    <ds:schemaRef ds:uri="http://schemas.microsoft.com/office/2006/documentManagement/types"/>
    <ds:schemaRef ds:uri="http://schemas.microsoft.com/office/infopath/2007/PartnerControls"/>
    <ds:schemaRef ds:uri="http://www.w3.org/XML/1998/namespace"/>
    <ds:schemaRef ds:uri="26005759-6815-4540-b8ea-913958d74f23"/>
    <ds:schemaRef ds:uri="http://purl.org/dc/terms/"/>
    <ds:schemaRef ds:uri="970c08f3-bdc0-46be-888b-e62464d9f78c"/>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B6F16161-7D39-4A47-9BF9-1DE3F098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111</TotalTime>
  <Pages>6</Pages>
  <Words>1184</Words>
  <Characters>6513</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Marina Verdaguer Rodríguez</cp:lastModifiedBy>
  <cp:revision>12</cp:revision>
  <cp:lastPrinted>2013-10-03T12:51:00Z</cp:lastPrinted>
  <dcterms:created xsi:type="dcterms:W3CDTF">2022-11-17T16:58:00Z</dcterms:created>
  <dcterms:modified xsi:type="dcterms:W3CDTF">2023-12-19T13:34:00Z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