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</w:pPr>
      <w:bookmarkStart w:id="0" w:name="OLE_LINK2"/>
    </w:p>
    <w:p>
      <w:pPr>
        <w:spacing w:line="360" w:lineRule="auto"/>
        <w:rPr>
          <w:rFonts w:hint="eastAsia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  <w:drawing>
          <wp:inline distT="0" distB="0" distL="114300" distR="114300">
            <wp:extent cx="5267960" cy="3258185"/>
            <wp:effectExtent l="0" t="0" r="5080" b="3175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b/>
          <w:bCs/>
          <w:szCs w:val="24"/>
          <w:lang w:val="en-US" w:eastAsia="zh-CN"/>
        </w:rPr>
      </w:pPr>
      <w:bookmarkStart w:id="1" w:name="OLE_LINK21"/>
      <w:r>
        <w:rPr>
          <w:rFonts w:hint="eastAsia" w:ascii="Times New Roman" w:hAnsi="Times New Roman" w:eastAsia="宋体" w:cs="Times New Roman"/>
          <w:b/>
          <w:bCs/>
          <w:szCs w:val="24"/>
          <w:lang w:val="en-US" w:eastAsia="zh-CN"/>
        </w:rPr>
        <w:t>Supplementary</w:t>
      </w:r>
      <w:bookmarkEnd w:id="1"/>
      <w:r>
        <w:rPr>
          <w:rFonts w:hint="eastAsia" w:ascii="Times New Roman" w:hAnsi="Times New Roman" w:eastAsia="宋体" w:cs="Times New Roman"/>
          <w:b/>
          <w:bCs/>
          <w:szCs w:val="24"/>
          <w:lang w:val="en-US" w:eastAsia="zh-CN"/>
        </w:rPr>
        <w:t xml:space="preserve"> Figure 1 Association between ePWV and the risk of all-cause and CVD-specifc mortality in various subgroups.</w:t>
      </w:r>
      <w:r>
        <w:rPr>
          <w:rFonts w:hint="eastAsia" w:ascii="Times New Roman" w:hAnsi="Times New Roman" w:eastAsia="宋体" w:cs="Times New Roman"/>
          <w:b w:val="0"/>
          <w:bCs w:val="0"/>
          <w:szCs w:val="24"/>
          <w:lang w:val="en-US" w:eastAsia="zh-CN"/>
        </w:rPr>
        <w:t xml:space="preserve"> Each subgroup analysis adjusted, if not stratified, sex, BMI, pulse, diabetes,stroke, CHD, AF, smoking status, drinking status, Hcy, FBG, TC, TG, uric acid, HDL-c, LDL-c, serum albumin, eGFR, antihypertensive drugs, hypoglycemic drugs, lipid-lowering drugs, antiplatelet drugs.</w:t>
      </w:r>
    </w:p>
    <w:p>
      <w:pPr>
        <w:spacing w:line="360" w:lineRule="auto"/>
        <w:rPr>
          <w:rFonts w:hint="eastAsia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  <w:t xml:space="preserve">Supplementary Table </w:t>
      </w:r>
      <w:bookmarkEnd w:id="0"/>
      <w:r>
        <w:rPr>
          <w:rFonts w:hint="eastAsia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  <w:t>1 Hazard ratios and 95% confidence intervals of allcause mortality and CVD-specific mortality (excluding patients who died within 1 year)</w:t>
      </w:r>
    </w:p>
    <w:tbl>
      <w:tblPr>
        <w:tblStyle w:val="4"/>
        <w:tblW w:w="1054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8"/>
        <w:gridCol w:w="1433"/>
        <w:gridCol w:w="2300"/>
        <w:gridCol w:w="2517"/>
        <w:gridCol w:w="22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ePWV,  m/s</w:t>
            </w:r>
          </w:p>
        </w:tc>
        <w:tc>
          <w:tcPr>
            <w:tcW w:w="143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Events (%)</w:t>
            </w:r>
          </w:p>
        </w:tc>
        <w:tc>
          <w:tcPr>
            <w:tcW w:w="4817" w:type="dxa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</w:t>
            </w:r>
            <w:r>
              <w:rPr>
                <w:rStyle w:val="8"/>
                <w:rFonts w:hint="default" w:ascii="Times New Roman" w:hAnsi="Times New Roman" w:eastAsia="宋体" w:cs="Times New Roman"/>
                <w:sz w:val="18"/>
                <w:szCs w:val="18"/>
                <w:lang w:val="en-US" w:eastAsia="zh-CN" w:bidi="ar"/>
              </w:rPr>
              <w:t>R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(95%CI), </w:t>
            </w:r>
            <w:r>
              <w:rPr>
                <w:rStyle w:val="8"/>
                <w:rFonts w:hint="default" w:ascii="Times New Roman" w:hAnsi="Times New Roman" w:eastAsia="宋体" w:cs="Times New Roman"/>
                <w:sz w:val="18"/>
                <w:szCs w:val="18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value</w:t>
            </w:r>
          </w:p>
        </w:tc>
        <w:tc>
          <w:tcPr>
            <w:tcW w:w="225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3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0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 1</w:t>
            </w:r>
          </w:p>
        </w:tc>
        <w:tc>
          <w:tcPr>
            <w:tcW w:w="251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 2</w:t>
            </w:r>
          </w:p>
        </w:tc>
        <w:tc>
          <w:tcPr>
            <w:tcW w:w="225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 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All-cause mortality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 1 m/s increase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657 (4.67%)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1.67 (1.60, 1.75) &lt;0.0001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1.56 (1.50, 1.64) &lt;0.0001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1.40 (1.33, 1.47)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sz w:val="18"/>
                <w:szCs w:val="16"/>
              </w:rPr>
              <w:t>Q1(&lt;10.25)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 (1.21%)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sz w:val="18"/>
                <w:szCs w:val="16"/>
              </w:rPr>
              <w:t>Q2 (10.25 &lt;11.32)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 (2.29%)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1.96 (1.36, 2.83) 0.0003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1.86 (1.29, 2.69) 0.0009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1.60 (1.10, 2.32) 0.01</w:t>
            </w:r>
            <w:r>
              <w:rPr>
                <w:rFonts w:hint="eastAsia"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sz w:val="18"/>
                <w:szCs w:val="16"/>
              </w:rPr>
              <w:t>Q3 (11.32 to&lt;12.40)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158 (4.48%)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3.74 (2.67, 5.24) &lt;0.0001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3.27 (2.33, 4.59) &lt;0.0001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2.44 (1.74, 3.44)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sz w:val="18"/>
                <w:szCs w:val="16"/>
              </w:rPr>
              <w:t>Q4(≥12.40)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375 (10.81%)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9.52 (6.94, 13.04) &lt;0.0001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7.34 (5.33, 10.09) &lt;0.0001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4.40 (3.17, 6.11)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&lt;0.0001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&lt;0.0001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CVD-specific mortality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 1 m/s increase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322 (2.29%)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1.82 (1.71, 1.93) &lt;0.0001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1.72 (1.61, 1.83) &lt;0.0001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1.56 (1.45, 1.67)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sz w:val="18"/>
                <w:szCs w:val="16"/>
              </w:rPr>
              <w:t>Q1(&lt;10.25)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 (0.51%)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sz w:val="18"/>
                <w:szCs w:val="16"/>
              </w:rPr>
              <w:t>Q2 (10.25 to&lt;11.32)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 (0.85%)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1.73 (0.97, 3.09) 0.0642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1.65 (0.92, 2.95) 0.0919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1.49 (0.83, 2.68) 0.177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sz w:val="18"/>
                <w:szCs w:val="16"/>
              </w:rPr>
              <w:t>Q3 (11.32 to&lt;12.40)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 (1.87%)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3.74 (2.22, 6.29) &lt;0.0001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3.30 (1.95, 5.56) &lt;0.0001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2.56 (1.51, 4.33) 0.0005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华光报宋_CNKI" w:cs="Times New Roman"/>
                <w:sz w:val="18"/>
                <w:szCs w:val="16"/>
              </w:rPr>
              <w:t>Q4 (≥12.40)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208 (5.99%)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12.58 (7.77, 20.36) &lt;0.0001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9.86 (6.06, 16.03) &lt;0.0001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6.25 (3.80, 10.30)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38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1433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&lt;0.0001</w:t>
            </w:r>
          </w:p>
        </w:tc>
        <w:tc>
          <w:tcPr>
            <w:tcW w:w="251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&lt;0.0001</w:t>
            </w:r>
          </w:p>
        </w:tc>
        <w:tc>
          <w:tcPr>
            <w:tcW w:w="225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&lt;0.0001</w:t>
            </w:r>
          </w:p>
        </w:tc>
      </w:tr>
    </w:tbl>
    <w:p>
      <w:pPr>
        <w:jc w:val="left"/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</w:pPr>
    </w:p>
    <w:p>
      <w:pPr>
        <w:rPr>
          <w:rFonts w:hint="default" w:ascii="Times New Roman" w:hAnsi="Times New Roman" w:cs="Times New Roman"/>
          <w:sz w:val="20"/>
          <w:szCs w:val="21"/>
        </w:rPr>
      </w:pPr>
      <w:r>
        <w:rPr>
          <w:rFonts w:hint="default" w:ascii="Times New Roman" w:hAnsi="Times New Roman" w:cs="Times New Roman"/>
          <w:sz w:val="20"/>
          <w:szCs w:val="21"/>
        </w:rPr>
        <w:t>Non-adjusted model adjust for: None</w:t>
      </w:r>
    </w:p>
    <w:p>
      <w:pPr>
        <w:rPr>
          <w:rFonts w:hint="default" w:ascii="Times New Roman" w:hAnsi="Times New Roman" w:cs="Times New Roman"/>
          <w:sz w:val="20"/>
          <w:szCs w:val="21"/>
        </w:rPr>
      </w:pPr>
      <w:r>
        <w:rPr>
          <w:rFonts w:hint="default" w:ascii="Times New Roman" w:hAnsi="Times New Roman" w:cs="Times New Roman"/>
          <w:sz w:val="20"/>
          <w:szCs w:val="21"/>
        </w:rPr>
        <w:t>Adjust I model adjust for: sex, BMI, pulse</w:t>
      </w:r>
    </w:p>
    <w:p>
      <w:pPr>
        <w:rPr>
          <w:rFonts w:hint="default" w:ascii="Times New Roman" w:hAnsi="Times New Roman" w:cs="Times New Roman"/>
          <w:sz w:val="20"/>
          <w:szCs w:val="21"/>
        </w:rPr>
      </w:pPr>
      <w:r>
        <w:rPr>
          <w:rFonts w:hint="default" w:ascii="Times New Roman" w:hAnsi="Times New Roman" w:cs="Times New Roman"/>
          <w:sz w:val="20"/>
          <w:szCs w:val="21"/>
        </w:rPr>
        <w:t>Adjust II model adjust for: sex, BMI, pulse, diabetes,stroke, CHD, AF, smoking status, drinking status, Hcy, FBG, TC, TG, uric acid, HDL-c, LDL-c, serum albumin, eGFR, antihypertensive drugs, hypoglycemic drugs, lipid-lowering drugs, antiplatelet drugs</w:t>
      </w: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4"/>
          <w:lang w:val="en-US" w:eastAsia="zh-CN"/>
        </w:rPr>
        <w:t>Supplementary Table 2 Hazard ratios and 95% confidence intervals of allcause mortality and CVD-specific mortality (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vertAlign w:val="baseline"/>
          <w:lang w:val="en-US" w:eastAsia="zh-CN" w:bidi="ar"/>
        </w:rPr>
        <w:t>excluding patients with ABI≤0.9</w:t>
      </w:r>
      <w:r>
        <w:rPr>
          <w:rFonts w:hint="default" w:ascii="Times New Roman" w:hAnsi="Times New Roman" w:eastAsia="宋体" w:cs="Times New Roman"/>
          <w:b w:val="0"/>
          <w:bCs w:val="0"/>
          <w:szCs w:val="24"/>
          <w:lang w:val="en-US" w:eastAsia="zh-CN"/>
        </w:rPr>
        <w:t>)</w:t>
      </w:r>
    </w:p>
    <w:tbl>
      <w:tblPr>
        <w:tblStyle w:val="4"/>
        <w:tblW w:w="1051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3"/>
        <w:gridCol w:w="1300"/>
        <w:gridCol w:w="2250"/>
        <w:gridCol w:w="2762"/>
        <w:gridCol w:w="21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ePWV,  m/s</w:t>
            </w:r>
          </w:p>
        </w:tc>
        <w:tc>
          <w:tcPr>
            <w:tcW w:w="1300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Events (%)</w:t>
            </w:r>
          </w:p>
        </w:tc>
        <w:tc>
          <w:tcPr>
            <w:tcW w:w="5012" w:type="dxa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HR (95%CI), P value</w:t>
            </w:r>
          </w:p>
        </w:tc>
        <w:tc>
          <w:tcPr>
            <w:tcW w:w="215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00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5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 1</w:t>
            </w:r>
          </w:p>
        </w:tc>
        <w:tc>
          <w:tcPr>
            <w:tcW w:w="276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 2</w:t>
            </w:r>
          </w:p>
        </w:tc>
        <w:tc>
          <w:tcPr>
            <w:tcW w:w="215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 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All-cause mortality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 1 m/s increase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520 (4.93%)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1.64 (1.56, 1.72) &lt;0.0001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1.54 (1.46, 1.62) &lt;0.0001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1.37 (1.29, 1.44)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/>
                <w:sz w:val="18"/>
                <w:szCs w:val="16"/>
              </w:rPr>
              <w:t>Q1(&lt;10.25)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 (1.53%)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/>
                <w:sz w:val="18"/>
                <w:szCs w:val="16"/>
              </w:rPr>
              <w:t>Q2 (10.25 &lt;11.32)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 (2.31%)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1.52 (1.02, 2.25) 0.0396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1.44 (0.97, 2.14) 0.0710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1.19 (0.80, 1.78) 0.3833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/>
                <w:sz w:val="18"/>
                <w:szCs w:val="16"/>
              </w:rPr>
              <w:t>Q3 (11.32 to&lt;12.40)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 (5.10%)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3.38 (2.38, 4.81) &lt;0.0001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2.97 (2.08, 4.23) &lt;0.0001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2.15 (1.50, 3.08)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/>
                <w:sz w:val="18"/>
                <w:szCs w:val="16"/>
              </w:rPr>
              <w:t>Q4(≥12.40)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280 (11.07%)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7.58 (5.44, 10.55) &lt;0.0001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5.92 (4.23, 8.28) &lt;0.0001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3.49 (2.47, 4.95)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 xml:space="preserve"> &lt;0.0001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 xml:space="preserve"> &lt;0.0001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 xml:space="preserve">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CVD-specific mortality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 1 m/s increase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247 (2.34%) 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1.79 (1.67, 1.92) &lt;0.0001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1.70 (1.58, 1.83) &lt;0.0001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1.55 (1.43, 1.68)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/>
                <w:sz w:val="18"/>
                <w:szCs w:val="16"/>
              </w:rPr>
              <w:t>Q1(&lt;10.25)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 (0.65%)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/>
                <w:sz w:val="18"/>
                <w:szCs w:val="16"/>
              </w:rPr>
              <w:t>Q2 (10.25 to&lt;11.32)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 (0.73%)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1.13 (0.59, 2.16) 0.7061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1.09 (0.57, 2.08) 0.7992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0.95 (0.49, 1.81) 0.8651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/>
                <w:sz w:val="18"/>
                <w:szCs w:val="16"/>
              </w:rPr>
              <w:t>Q3 (11.32 to&lt;12.40)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 (2.12%)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3.31 (1.93, 5.69) &lt;0.0001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2.97 (1.73, 5.12) &lt;0.0001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2.27 (1.31, 3.94) 0.0034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/>
                <w:sz w:val="18"/>
                <w:szCs w:val="16"/>
              </w:rPr>
              <w:t>Q4 (≥12.40)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153 (6.05%)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9.75 (5.91, 16.10) &lt;0.0001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7.91 (4.76, 13.13) &lt;0.0001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>5.08 (3.00, 8.58)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043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 xml:space="preserve"> &lt;0.0001</w:t>
            </w:r>
          </w:p>
        </w:tc>
        <w:tc>
          <w:tcPr>
            <w:tcW w:w="2762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 xml:space="preserve"> &lt;0.0001</w:t>
            </w:r>
          </w:p>
        </w:tc>
        <w:tc>
          <w:tcPr>
            <w:tcW w:w="215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_CNKI" w:cs="Times New Roman"/>
                <w:color w:val="000000"/>
                <w:kern w:val="0"/>
                <w:sz w:val="18"/>
                <w:szCs w:val="16"/>
              </w:rPr>
              <w:t xml:space="preserve"> &lt;0.0001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1"/>
        </w:rPr>
      </w:pPr>
      <w:bookmarkStart w:id="2" w:name="OLE_LINK1"/>
      <w:r>
        <w:rPr>
          <w:rFonts w:hint="default" w:ascii="Times New Roman" w:hAnsi="Times New Roman" w:cs="Times New Roman"/>
          <w:sz w:val="20"/>
          <w:szCs w:val="21"/>
        </w:rPr>
        <w:t>Non-adjusted model adjust for: None</w:t>
      </w:r>
    </w:p>
    <w:p>
      <w:pPr>
        <w:rPr>
          <w:rFonts w:hint="default" w:ascii="Times New Roman" w:hAnsi="Times New Roman" w:cs="Times New Roman"/>
          <w:sz w:val="20"/>
          <w:szCs w:val="21"/>
        </w:rPr>
      </w:pPr>
      <w:r>
        <w:rPr>
          <w:rFonts w:hint="default" w:ascii="Times New Roman" w:hAnsi="Times New Roman" w:cs="Times New Roman"/>
          <w:sz w:val="20"/>
          <w:szCs w:val="21"/>
        </w:rPr>
        <w:t>Adjust I model adjust for: sex, BMI, pulse</w:t>
      </w:r>
    </w:p>
    <w:p>
      <w:pPr>
        <w:rPr>
          <w:rFonts w:hint="eastAsia" w:ascii="Times New Roman" w:hAnsi="Times New Roman" w:eastAsia="宋体" w:cs="Times New Roman"/>
          <w:b/>
          <w:bCs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1"/>
        </w:rPr>
        <w:t>Adjust II model adjust for: sex, BMI, pulse, diabetes,stroke, CHD, AF, smoking status, drinking status, Hcy, FBG, TC, TG, uric acid, HDL-c, LDL-c, serum albumin, eGFR, antihypertensive drugs, hypoglycemic drugs, lipid-lowering drugs, antiplatelet drugs</w:t>
      </w:r>
    </w:p>
    <w:bookmarkEnd w:id="2"/>
    <w:p>
      <w:pPr>
        <w:spacing w:line="360" w:lineRule="auto"/>
        <w:rPr>
          <w:rFonts w:hint="eastAsia" w:ascii="Times New Roman" w:hAnsi="Times New Roman" w:eastAsia="宋体" w:cs="Times New Roman"/>
          <w:b w:val="0"/>
          <w:bCs w:val="0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4"/>
          <w:lang w:val="en-US" w:eastAsia="zh-CN"/>
        </w:rPr>
        <w:t>Supplementary Table 3 Hazard ratios and 95% confidence intervals of allcause mortality and CVD-specific mortality (</w:t>
      </w:r>
      <w:r>
        <w:rPr>
          <w:rFonts w:hint="default" w:ascii="Times New Roman" w:hAnsi="Times New Roman" w:eastAsia="宋体" w:cs="Times New Roman"/>
          <w:b w:val="0"/>
          <w:bCs w:val="0"/>
          <w:szCs w:val="24"/>
          <w:lang w:val="en-US" w:eastAsia="zh-CN"/>
        </w:rPr>
        <w:t>excluding patients who died from cancer</w:t>
      </w:r>
      <w:r>
        <w:rPr>
          <w:rFonts w:hint="eastAsia" w:ascii="Times New Roman" w:hAnsi="Times New Roman" w:eastAsia="宋体" w:cs="Times New Roman"/>
          <w:b w:val="0"/>
          <w:bCs w:val="0"/>
          <w:szCs w:val="24"/>
          <w:lang w:val="en-US" w:eastAsia="zh-CN"/>
        </w:rPr>
        <w:t>)</w:t>
      </w:r>
    </w:p>
    <w:tbl>
      <w:tblPr>
        <w:tblStyle w:val="4"/>
        <w:tblW w:w="970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9"/>
        <w:gridCol w:w="1237"/>
        <w:gridCol w:w="2258"/>
        <w:gridCol w:w="2167"/>
        <w:gridCol w:w="20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  <w:jc w:val="center"/>
        </w:trPr>
        <w:tc>
          <w:tcPr>
            <w:tcW w:w="1949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ePWV,  m/s</w:t>
            </w:r>
          </w:p>
        </w:tc>
        <w:tc>
          <w:tcPr>
            <w:tcW w:w="1237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Events (%)</w:t>
            </w:r>
          </w:p>
        </w:tc>
        <w:tc>
          <w:tcPr>
            <w:tcW w:w="4425" w:type="dxa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HR (95%CI), P value</w:t>
            </w:r>
          </w:p>
        </w:tc>
        <w:tc>
          <w:tcPr>
            <w:tcW w:w="209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3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5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 1</w:t>
            </w:r>
          </w:p>
        </w:tc>
        <w:tc>
          <w:tcPr>
            <w:tcW w:w="216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 2</w:t>
            </w:r>
          </w:p>
        </w:tc>
        <w:tc>
          <w:tcPr>
            <w:tcW w:w="209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 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All-cause mortality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 1 m/s increase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626 (4.45%)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1.74 (1.67, 1.82) &lt;0.0001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1.62 (1.55, 1.69) &lt;0.0001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1.41 (1.34, 1.48)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/>
                <w:sz w:val="18"/>
                <w:szCs w:val="13"/>
              </w:rPr>
              <w:t>Q1(&lt;10.25)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 (1.16%)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/>
                <w:sz w:val="18"/>
                <w:szCs w:val="13"/>
              </w:rPr>
              <w:t>Q2 (10.25 &lt;11.32)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 (1.84%)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1.60 (1.08, 2.36)  0.01</w:t>
            </w:r>
            <w:r>
              <w:rPr>
                <w:rFonts w:hint="eastAsia"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1.52 (1.03, 2.24)  0.037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1.30 (0.88, 1.93)  0.193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/>
                <w:sz w:val="18"/>
                <w:szCs w:val="13"/>
              </w:rPr>
              <w:t>Q3 (11.32 to&lt;12.40)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 (3.83%)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3.35 (2.36, 4.75) &lt;0.0001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2.92 (2.06, 4.15) &lt;0.0001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2.07 (1.45, 2.95)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/>
                <w:sz w:val="18"/>
                <w:szCs w:val="13"/>
              </w:rPr>
              <w:t>Q4(≥12.40)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386 (11.09%)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10.08 (7.31, 13.91) &lt;0.0001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7.66 (5.53, 10.61) &lt;0.0001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4.06 (2.91, 5.68)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 xml:space="preserve"> &lt;0.0001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 xml:space="preserve"> &lt;0.0001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 xml:space="preserve">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CVD-specific mortality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per 1 m/s increase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397 (2.83%) 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1.79 (1.69, 1.89) &lt;0.0001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1.69 (1.59, 1.79) &lt;0.0001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1.52 (1.42, 1.62)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/>
                <w:sz w:val="18"/>
                <w:szCs w:val="13"/>
              </w:rPr>
              <w:t>Q1(&lt;10.25)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 (0.65%)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/>
                <w:sz w:val="18"/>
                <w:szCs w:val="13"/>
              </w:rPr>
              <w:t>Q2 (10.25 to&lt;11.32)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 (1.13%)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1.75 (1.05, 2.93) 0.0321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1.69 (1.01, 2.82) 0.04</w:t>
            </w:r>
            <w:r>
              <w:rPr>
                <w:rFonts w:hint="eastAsia"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6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1.57 (0.94, 2.63) 0.086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/>
                <w:sz w:val="18"/>
                <w:szCs w:val="13"/>
              </w:rPr>
              <w:t>Q3 (11.32 to&lt;12.40)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 (2.23%)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3.47 (2.18, 5.53) &lt;0.0001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3.12 (1.96, 4.97) &lt;0.0001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2.45 (1.53, 3.92) 0.0002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/>
                <w:sz w:val="18"/>
                <w:szCs w:val="13"/>
              </w:rPr>
              <w:t>Q4 (≥12.40)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256 (7.35%)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11.92 (7.78, 18.27) &lt;0.0001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9.55 (6.20, 14.69) &lt;0.0001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>5.96 (3.82, 9.29) &lt;0.0001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94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 for trend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 xml:space="preserve"> &lt;0.0001</w:t>
            </w:r>
          </w:p>
        </w:tc>
        <w:tc>
          <w:tcPr>
            <w:tcW w:w="216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 xml:space="preserve"> &lt;0.0001</w:t>
            </w:r>
          </w:p>
        </w:tc>
        <w:tc>
          <w:tcPr>
            <w:tcW w:w="2092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华光报宋二_CNKI" w:cs="Times New Roman"/>
                <w:color w:val="000000"/>
                <w:kern w:val="0"/>
                <w:sz w:val="18"/>
                <w:szCs w:val="13"/>
              </w:rPr>
              <w:t xml:space="preserve"> &lt;0.0001</w:t>
            </w:r>
          </w:p>
        </w:tc>
      </w:tr>
    </w:tbl>
    <w:p>
      <w:pPr>
        <w:spacing w:line="360" w:lineRule="auto"/>
        <w:rPr>
          <w:rFonts w:hint="eastAsia" w:ascii="Times New Roman" w:hAnsi="Times New Roman" w:eastAsia="宋体" w:cs="Times New Roman"/>
          <w:b/>
          <w:bCs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0"/>
          <w:szCs w:val="21"/>
        </w:rPr>
      </w:pPr>
      <w:r>
        <w:rPr>
          <w:rFonts w:hint="default" w:ascii="Times New Roman" w:hAnsi="Times New Roman" w:cs="Times New Roman"/>
          <w:sz w:val="20"/>
          <w:szCs w:val="21"/>
        </w:rPr>
        <w:t>Non-adjusted model adjust for: None</w:t>
      </w:r>
      <w:bookmarkStart w:id="3" w:name="_GoBack"/>
      <w:bookmarkEnd w:id="3"/>
    </w:p>
    <w:p>
      <w:pPr>
        <w:rPr>
          <w:rFonts w:hint="default" w:ascii="Times New Roman" w:hAnsi="Times New Roman" w:cs="Times New Roman"/>
          <w:sz w:val="20"/>
          <w:szCs w:val="21"/>
        </w:rPr>
      </w:pPr>
      <w:r>
        <w:rPr>
          <w:rFonts w:hint="default" w:ascii="Times New Roman" w:hAnsi="Times New Roman" w:cs="Times New Roman"/>
          <w:sz w:val="20"/>
          <w:szCs w:val="21"/>
        </w:rPr>
        <w:t>Adjust I model adjust for: sex, BMI, pulse</w:t>
      </w:r>
    </w:p>
    <w:p>
      <w:pPr>
        <w:rPr>
          <w:rFonts w:hint="eastAsia" w:ascii="Times New Roman" w:hAnsi="Times New Roman" w:eastAsia="宋体" w:cs="Times New Roman"/>
          <w:b/>
          <w:bCs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1"/>
        </w:rPr>
        <w:t>Adjust II model adjust for: sex, BMI, pulse, diabetes,stroke, CHD, AF, smoking status, drinking status, Hcy, FBG, TC, TG, uric acid, HDL-c, LDL-c, serum albumin, eGFR, antihypertensive drugs, hypoglycemic drugs, lipid-lowering drugs, antiplatelet drugs</w:t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光报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报宋二_CNKI">
    <w:panose1 w:val="02000500000000000000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4OTNiMzE0ZTAwMTgwMWFiYWQxNDhlNDJlMDY2ZWIifQ=="/>
    <w:docVar w:name="KY_MEDREF_DOCUID" w:val="{E8D81BD2-E609-4A42-97F1-FA829D9581F9}"/>
    <w:docVar w:name="KY_MEDREF_VERSION" w:val="3"/>
  </w:docVars>
  <w:rsids>
    <w:rsidRoot w:val="6D0E2FAE"/>
    <w:rsid w:val="3B1D009F"/>
    <w:rsid w:val="3D762C5F"/>
    <w:rsid w:val="6D0E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21"/>
    <w:basedOn w:val="5"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7">
    <w:name w:val="font31"/>
    <w:basedOn w:val="5"/>
    <w:uiPriority w:val="0"/>
    <w:rPr>
      <w:rFonts w:hint="default" w:ascii="Times New Roman" w:hAnsi="Times New Roman" w:cs="Times New Roman"/>
      <w:i/>
      <w:iCs/>
      <w:color w:val="000000"/>
      <w:sz w:val="18"/>
      <w:szCs w:val="18"/>
      <w:u w:val="none"/>
    </w:rPr>
  </w:style>
  <w:style w:type="character" w:customStyle="1" w:styleId="8">
    <w:name w:val="font01"/>
    <w:basedOn w:val="5"/>
    <w:qFormat/>
    <w:uiPriority w:val="0"/>
    <w:rPr>
      <w:rFonts w:hint="default" w:ascii="Times New Roman" w:hAnsi="Times New Roman" w:cs="Times New Roman"/>
      <w:i/>
      <w:i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719</Words>
  <Characters>3992</Characters>
  <Lines>0</Lines>
  <Paragraphs>0</Paragraphs>
  <TotalTime>0</TotalTime>
  <ScaleCrop>false</ScaleCrop>
  <LinksUpToDate>false</LinksUpToDate>
  <CharactersWithSpaces>4506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2023-04-18T15:18:00Z</dcterms:created>
  <dc:creator>石雨蒙</dc:creator>
  <cp:lastModifiedBy>石雨蒙</cp:lastModifiedBy>
  <dcterms:modified xsi:type="dcterms:W3CDTF">2023-10-13T09:15:35Z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F5042C56D73C44E2A14879CC8F3C02DB_11</vt:lpwstr>
  </property>
</Properties>
</file>