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 w:eastAsia="宋体" w:asciiTheme="minorAscii" w:hAnsiTheme="minorAscii"/>
          <w:b w:val="0"/>
          <w:color w:val="auto"/>
          <w:sz w:val="22"/>
          <w:szCs w:val="22"/>
          <w:highlight w:val="none"/>
          <w:lang w:val="en-US" w:eastAsia="zh-CN"/>
        </w:rPr>
        <w:t>ST</w:t>
      </w:r>
      <w:r>
        <w:rPr>
          <w:rFonts w:hint="default" w:asciiTheme="minorAscii" w:hAnsiTheme="minorAscii"/>
          <w:b w:val="0"/>
          <w:color w:val="auto"/>
          <w:sz w:val="22"/>
          <w:szCs w:val="22"/>
          <w:highlight w:val="none"/>
          <w:lang w:val="en-US"/>
        </w:rPr>
        <w:t>able 1</w:t>
      </w:r>
      <w:r>
        <w:rPr>
          <w:rFonts w:hint="eastAsia" w:eastAsia="宋体" w:asciiTheme="minorAscii" w:hAnsiTheme="minorAscii"/>
          <w:b w:val="0"/>
          <w:color w:val="auto"/>
          <w:sz w:val="22"/>
          <w:szCs w:val="22"/>
          <w:highlight w:val="none"/>
          <w:lang w:val="en-US" w:eastAsia="zh-CN"/>
        </w:rPr>
        <w:t>。</w:t>
      </w:r>
      <w:bookmarkStart w:id="0" w:name="_GoBack"/>
      <w:r>
        <w:rPr>
          <w:rFonts w:hint="eastAsia" w:eastAsia="宋体" w:asciiTheme="minorAscii" w:hAnsiTheme="minorAscii"/>
          <w:b w:val="0"/>
          <w:color w:val="auto"/>
          <w:sz w:val="22"/>
          <w:szCs w:val="22"/>
          <w:highlight w:val="none"/>
          <w:lang w:val="en-US" w:eastAsia="zh-CN"/>
        </w:rPr>
        <w:t>The temporal trends of cataract age-standardized DALYs attributed to risk factors across different SDI regions, 1990 to 2019</w:t>
      </w:r>
      <w:bookmarkEnd w:id="0"/>
    </w:p>
    <w:tbl>
      <w:tblPr>
        <w:tblStyle w:val="2"/>
        <w:tblW w:w="10338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419"/>
        <w:gridCol w:w="1243"/>
        <w:gridCol w:w="1811"/>
        <w:gridCol w:w="1906"/>
        <w:gridCol w:w="2647"/>
      </w:tblGrid>
      <w:tr>
        <w:trPr>
          <w:trHeight w:val="336" w:hRule="atLeast"/>
        </w:trPr>
        <w:tc>
          <w:tcPr>
            <w:tcW w:w="131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 w:val="0"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Characteristics</w:t>
            </w:r>
          </w:p>
        </w:tc>
        <w:tc>
          <w:tcPr>
            <w:tcW w:w="2662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Number of DALYs * 1000</w:t>
            </w:r>
          </w:p>
        </w:tc>
        <w:tc>
          <w:tcPr>
            <w:tcW w:w="3717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Age-standardized DALY rates (per 100,000 population)</w:t>
            </w:r>
          </w:p>
        </w:tc>
        <w:tc>
          <w:tcPr>
            <w:tcW w:w="264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EAPC of Age-standardized DALY rates 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Years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1990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(95% UI)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(95% UI)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1990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(95% UI)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(95% UI)</w:t>
            </w:r>
          </w:p>
        </w:tc>
        <w:tc>
          <w:tcPr>
            <w:tcW w:w="264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1990-2019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Global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1908.76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(1179.86-2782.82)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50.29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(31.2-73.2)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3114.74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(1913.31-4613.6)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38.49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(23.55-56.96)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-0.68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(-0.8,-0.56)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66.62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(42.52-99.94)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(4.08-9.52)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108.45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(64.6-169.89)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5.58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(3.37-8.7)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-0.44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(-0.51,-0.37)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225.78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(142.75-330.27)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22.68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(14.31-33.27)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372.85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(231.46-550.91)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(11.43-27.25)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-0.42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(-0.61,-0.24)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676.73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(408.49-988.11)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76.25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(45.68-111.36)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1052.1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(636.02-1586.47)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45.64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(27.36-68.65)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-1.49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(-1.65,-1.33)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706.44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(434.43-1033.42)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135.47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(82.97-196.56)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1150.41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(705.58-1694.11)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91.53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(55.93-133.87)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(-1.2,-1)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Low SDI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232.22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(140.46-341.52)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113.23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(67.61-165.67)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429.42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(259.56-632.43)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93.39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(57.03-136.44)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-0.49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(-0.58,-0.39)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13.52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(7.86-20.43)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72.8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(42.16-110.91)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18.75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(10.77-28.79)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34.65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(19.84-53.04)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-2.59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(-2.74,-2.43)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(0.84-1.92)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5.65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(3.66-8.43)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(1.5-3.93)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(3-7.71)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-0.32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(-0.38,-0.26)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5.64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(3.4-8.45)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22.54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(13.57-33.79)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7.94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(4.8-12.06)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15.41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(9.32-23.34)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(-1.3,-1.13)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(9.12-22.85)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35.53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(21.22-52.89)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(9.25-22.84)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24.12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(14.39-36.66)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-1.43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(-1.48,-1.37)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(8.8-20.68)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(6.42-14.9)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17.67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(11.07-26.34)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8.11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(5.09-12)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-0.83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(-0.86,-0.81)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30.9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(18.68-45.83)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41.63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(25.15-61.55)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52.75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(30.34-81.81)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23.3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(13.4-36.02)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-1.92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(-2.01,-1.84)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(2.16-5.51)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20.44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(11.94-30.29)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(3.51-9.05)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14.11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(8.16-21.14)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-1.12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(-1.21,-1.03)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282.13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(174.28-411.31)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39.5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(24.07-57.54)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511.51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(306.19-766.38)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26.36</w:t>
            </w: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(15.62-39.6)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-0.91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(-1.33,-0.49)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24.43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(15.11-37.12)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9.33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(5.83-14.17)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27.17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(16.88-41.1)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7.86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(4.9-11.96)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-0.65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(-0.69,-0.61)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68.47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(40.73-101.87)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97.99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(57.97-144.75)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121.36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(72.79-178.85)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80.32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(47.71-117.6)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-0.66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(-0.7,-0.62)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9.77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(6.29-14.85)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(3.22-7.6)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(10.31-29.32)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3.87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(2.27-6.15)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(-1.08,-0.92)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(11.87-29.47)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(3.33-8.19)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34.46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(20.26-53.7)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5.36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(3.19-8.33)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(0.07-0.24)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76.21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(46.86-115.64)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51.3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(31.78-77.44)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121.69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(74.39-187.25)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31.6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(19.11-49.28)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-1.62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(-1.69,-1.55)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Oceania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2.95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(1.84-4.27)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115.86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(72.64-166.5)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(3.93-9.19)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102.44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(64.21-147.85)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-0.41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(-0.54,-0.28)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795.11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(487.22-1169.33)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167.2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(101.44-244.25)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1348.32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(822.4-2000.28)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(64.1-155.58)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-1.29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(-1.41,-1.16)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363.2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(218.75-539.26)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160.5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(96.74-235.06)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510.98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(303.68-754.42)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92.52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(55.04-137.47)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-1.84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(-1.93,-1.75)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(3.7-9.09)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13.71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(8.41-20.6)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8.42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(5.17-12.9)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(6.16-15.3)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-1.05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(-1.1,-0.99)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(10.25-25.29)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65.81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(39.9-98.48)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(10.86-25.97)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33.9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(21.19-50.72)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-2.34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(-2.45,-2.24)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37.05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(23.23-54.48)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46.88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(29.14-69.23)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54.37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(32.46-82.82)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23.4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(13.9-35.8)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(-2.13,-1.67)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42.97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(26.98-65.23)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7.48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(4.74-11.27)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66.91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(38.68-106.14)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(4.2-11.09)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-0.19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(-0.22,-0.17)</w:t>
            </w:r>
          </w:p>
        </w:tc>
      </w:tr>
      <w:tr>
        <w:trPr>
          <w:trHeight w:val="336" w:hRule="atLeast"/>
        </w:trPr>
        <w:tc>
          <w:tcPr>
            <w:tcW w:w="131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79.79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(47.41-118.82)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102.2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(61.01-151.46)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146.95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(88.94-216.9)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86.57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(52.07-128.06)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-0.57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eastAsia="宋体" w:cs="宋体" w:asciiTheme="minorAscii" w:hAnsiTheme="minorAscii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(-0.68,-0.45)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FE715"/>
    <w:rsid w:val="7E7FE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2023-12-12T17:34:00Z</dcterms:created>
  <dc:creator>WinMooooo</dc:creator>
  <cp:lastModifiedBy>WinMooooo</cp:lastModifiedBy>
  <dcterms:modified xsi:type="dcterms:W3CDTF">2023-12-13T15:06:17Z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55177EC80E4930532B297865B0209FD9_41</vt:lpwstr>
  </property>
</Properties>
</file>