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C01E" w14:textId="77777777" w:rsidR="00D1770F" w:rsidRDefault="00000000">
      <w:pPr>
        <w:jc w:val="center"/>
      </w:pPr>
      <w:r>
        <w:t>Supplementary Online Content</w:t>
      </w:r>
    </w:p>
    <w:p w14:paraId="1B2127CD" w14:textId="77777777" w:rsidR="00D1770F" w:rsidRDefault="00000000">
      <w:pPr>
        <w:jc w:val="left"/>
      </w:pPr>
      <w:r>
        <w:t>etable 1.Search strategy</w:t>
      </w:r>
    </w:p>
    <w:p w14:paraId="6200A256" w14:textId="77777777" w:rsidR="00D1770F" w:rsidRDefault="00000000">
      <w:pPr>
        <w:jc w:val="left"/>
      </w:pPr>
      <w:r>
        <w:t>etable 2. Summary of Included Studies on Safety of Systemic Therapies in Children and Adolescent Patients</w:t>
      </w:r>
    </w:p>
    <w:p w14:paraId="4D60A64B" w14:textId="77777777" w:rsidR="00D1770F" w:rsidRDefault="00000000">
      <w:pPr>
        <w:jc w:val="left"/>
      </w:pPr>
      <w:r>
        <w:t xml:space="preserve">etable 3. Risk of Bias Assessment of Included Studies According to the Newcastle-Ottawa Scale </w:t>
      </w:r>
    </w:p>
    <w:p w14:paraId="0FD8580D" w14:textId="77777777" w:rsidR="00D1770F" w:rsidRDefault="00000000">
      <w:pPr>
        <w:jc w:val="left"/>
      </w:pPr>
      <w:r>
        <w:t xml:space="preserve">etable 4. Risk of Bias Assessment of Included Studies According to the Cochrane Risk of Bias Tool </w:t>
      </w:r>
    </w:p>
    <w:p w14:paraId="79B6A52A" w14:textId="77777777" w:rsidR="00D1770F" w:rsidRDefault="00000000">
      <w:pPr>
        <w:jc w:val="left"/>
      </w:pPr>
      <w:r>
        <w:t>eReferences.</w:t>
      </w:r>
    </w:p>
    <w:p w14:paraId="6EEB302B" w14:textId="77777777" w:rsidR="00D1770F" w:rsidRDefault="00D1770F">
      <w:pPr>
        <w:jc w:val="left"/>
      </w:pPr>
    </w:p>
    <w:p w14:paraId="4FA3E1D3" w14:textId="77777777" w:rsidR="00D1770F" w:rsidRDefault="00D1770F">
      <w:pPr>
        <w:jc w:val="left"/>
      </w:pPr>
    </w:p>
    <w:p w14:paraId="5D1B2D66" w14:textId="77777777" w:rsidR="00D1770F" w:rsidRDefault="00D1770F">
      <w:pPr>
        <w:jc w:val="left"/>
      </w:pPr>
    </w:p>
    <w:p w14:paraId="76A98269" w14:textId="77777777" w:rsidR="00D1770F" w:rsidRDefault="00000000">
      <w:pPr>
        <w:jc w:val="left"/>
      </w:pPr>
      <w:r>
        <w:t>This supplementary material has been provided by the authors to give readers additional information about their work.</w:t>
      </w:r>
    </w:p>
    <w:p w14:paraId="5FFCE69C" w14:textId="77777777" w:rsidR="00D1770F" w:rsidRDefault="00D1770F">
      <w:pPr>
        <w:jc w:val="left"/>
      </w:pPr>
    </w:p>
    <w:p w14:paraId="0427E13E" w14:textId="77777777" w:rsidR="00D1770F" w:rsidRDefault="00D1770F">
      <w:pPr>
        <w:jc w:val="left"/>
      </w:pPr>
    </w:p>
    <w:p w14:paraId="08F8B096" w14:textId="77777777" w:rsidR="00D1770F" w:rsidRDefault="00D1770F">
      <w:pPr>
        <w:jc w:val="left"/>
      </w:pPr>
    </w:p>
    <w:p w14:paraId="479B32A6" w14:textId="77777777" w:rsidR="00D1770F" w:rsidRDefault="00D1770F">
      <w:pPr>
        <w:jc w:val="left"/>
      </w:pPr>
    </w:p>
    <w:p w14:paraId="27F2E113" w14:textId="77777777" w:rsidR="00D1770F" w:rsidRDefault="00D1770F">
      <w:pPr>
        <w:jc w:val="left"/>
      </w:pPr>
    </w:p>
    <w:p w14:paraId="2BB1566B" w14:textId="77777777" w:rsidR="00D1770F" w:rsidRDefault="00D1770F">
      <w:pPr>
        <w:jc w:val="left"/>
      </w:pPr>
    </w:p>
    <w:p w14:paraId="4D4D0968" w14:textId="77777777" w:rsidR="00D1770F" w:rsidRDefault="00D1770F">
      <w:pPr>
        <w:jc w:val="left"/>
      </w:pPr>
    </w:p>
    <w:p w14:paraId="1F6EC003" w14:textId="77777777" w:rsidR="00D1770F" w:rsidRDefault="00D1770F">
      <w:pPr>
        <w:jc w:val="left"/>
      </w:pPr>
    </w:p>
    <w:p w14:paraId="76C8F5C6" w14:textId="77777777" w:rsidR="00D1770F" w:rsidRDefault="00D1770F">
      <w:pPr>
        <w:jc w:val="left"/>
      </w:pPr>
    </w:p>
    <w:p w14:paraId="1689A019" w14:textId="77777777" w:rsidR="00D1770F" w:rsidRDefault="00D1770F">
      <w:pPr>
        <w:jc w:val="left"/>
      </w:pPr>
    </w:p>
    <w:p w14:paraId="38CF999A" w14:textId="77777777" w:rsidR="00D1770F" w:rsidRDefault="00D1770F">
      <w:pPr>
        <w:jc w:val="left"/>
      </w:pPr>
    </w:p>
    <w:p w14:paraId="0F447D78" w14:textId="77777777" w:rsidR="00D1770F" w:rsidRDefault="00D1770F">
      <w:pPr>
        <w:jc w:val="left"/>
      </w:pPr>
    </w:p>
    <w:p w14:paraId="518E13DF" w14:textId="77777777" w:rsidR="00D1770F" w:rsidRDefault="00D1770F">
      <w:pPr>
        <w:jc w:val="left"/>
      </w:pPr>
    </w:p>
    <w:p w14:paraId="529D4374" w14:textId="77777777" w:rsidR="00D1770F" w:rsidRDefault="00D1770F">
      <w:pPr>
        <w:jc w:val="left"/>
      </w:pPr>
    </w:p>
    <w:p w14:paraId="76319320" w14:textId="77777777" w:rsidR="00D1770F" w:rsidRDefault="00D1770F">
      <w:pPr>
        <w:jc w:val="left"/>
      </w:pPr>
    </w:p>
    <w:p w14:paraId="66E63898" w14:textId="77777777" w:rsidR="00D1770F" w:rsidRDefault="00D1770F">
      <w:pPr>
        <w:jc w:val="left"/>
      </w:pPr>
    </w:p>
    <w:p w14:paraId="291616BB" w14:textId="77777777" w:rsidR="00D1770F" w:rsidRDefault="00D1770F">
      <w:pPr>
        <w:jc w:val="left"/>
      </w:pPr>
    </w:p>
    <w:p w14:paraId="4F72D2E8" w14:textId="77777777" w:rsidR="00D1770F" w:rsidRDefault="00D1770F">
      <w:pPr>
        <w:jc w:val="left"/>
      </w:pPr>
    </w:p>
    <w:p w14:paraId="0311F95C" w14:textId="77777777" w:rsidR="00D1770F" w:rsidRDefault="00D1770F">
      <w:pPr>
        <w:jc w:val="left"/>
      </w:pPr>
    </w:p>
    <w:p w14:paraId="6397E130" w14:textId="77777777" w:rsidR="00D1770F" w:rsidRDefault="00D1770F">
      <w:pPr>
        <w:jc w:val="left"/>
      </w:pPr>
    </w:p>
    <w:p w14:paraId="54A6D311" w14:textId="77777777" w:rsidR="00D1770F" w:rsidRDefault="00D1770F">
      <w:pPr>
        <w:jc w:val="left"/>
      </w:pPr>
    </w:p>
    <w:p w14:paraId="1EFC21D9" w14:textId="77777777" w:rsidR="00D1770F" w:rsidRDefault="00D1770F">
      <w:pPr>
        <w:jc w:val="left"/>
      </w:pPr>
    </w:p>
    <w:p w14:paraId="49AB402C" w14:textId="77777777" w:rsidR="00D1770F" w:rsidRDefault="00D1770F">
      <w:pPr>
        <w:jc w:val="left"/>
      </w:pPr>
    </w:p>
    <w:p w14:paraId="49C9B69E" w14:textId="77777777" w:rsidR="00D1770F" w:rsidRDefault="00D1770F">
      <w:pPr>
        <w:jc w:val="left"/>
      </w:pPr>
    </w:p>
    <w:p w14:paraId="5A6FB50C" w14:textId="77777777" w:rsidR="00D1770F" w:rsidRDefault="00D1770F">
      <w:pPr>
        <w:jc w:val="left"/>
      </w:pPr>
    </w:p>
    <w:p w14:paraId="0A816B8C" w14:textId="77777777" w:rsidR="00D1770F" w:rsidRDefault="00D1770F">
      <w:pPr>
        <w:jc w:val="left"/>
      </w:pPr>
    </w:p>
    <w:p w14:paraId="220799B3" w14:textId="77777777" w:rsidR="00D1770F" w:rsidRDefault="00D1770F">
      <w:pPr>
        <w:spacing w:beforeLines="100" w:before="312"/>
        <w:rPr>
          <w:rFonts w:ascii="Times New Roman" w:eastAsiaTheme="minorEastAsia" w:hAnsi="Times New Roman" w:cstheme="minorBidi"/>
          <w:b/>
          <w:szCs w:val="24"/>
        </w:rPr>
      </w:pPr>
    </w:p>
    <w:p w14:paraId="18A03894" w14:textId="77777777" w:rsidR="00D1770F" w:rsidRDefault="00D1770F">
      <w:pPr>
        <w:spacing w:beforeLines="100" w:before="312"/>
        <w:rPr>
          <w:rFonts w:ascii="Times New Roman" w:eastAsiaTheme="minorEastAsia" w:hAnsi="Times New Roman" w:cstheme="minorBidi"/>
          <w:b/>
          <w:szCs w:val="24"/>
        </w:rPr>
      </w:pPr>
    </w:p>
    <w:p w14:paraId="55A7435B" w14:textId="77777777" w:rsidR="00D1770F" w:rsidRDefault="00D1770F">
      <w:pPr>
        <w:spacing w:beforeLines="100" w:before="312"/>
        <w:rPr>
          <w:rFonts w:ascii="Times New Roman" w:eastAsiaTheme="minorEastAsia" w:hAnsi="Times New Roman" w:cstheme="minorBidi"/>
          <w:b/>
          <w:szCs w:val="24"/>
        </w:rPr>
      </w:pPr>
    </w:p>
    <w:p w14:paraId="0CCFDFBD" w14:textId="77777777" w:rsidR="00D1770F" w:rsidRDefault="00000000">
      <w:pPr>
        <w:spacing w:beforeLines="100" w:before="312"/>
        <w:rPr>
          <w:rFonts w:ascii="Times New Roman" w:eastAsiaTheme="minorEastAsia" w:hAnsi="Times New Roman" w:cstheme="minorBidi"/>
          <w:b/>
          <w:szCs w:val="24"/>
        </w:rPr>
      </w:pPr>
      <w:r>
        <w:rPr>
          <w:rFonts w:ascii="Times New Roman" w:eastAsiaTheme="minorEastAsia" w:hAnsi="Times New Roman" w:cstheme="minorBidi"/>
          <w:b/>
          <w:szCs w:val="24"/>
        </w:rPr>
        <w:lastRenderedPageBreak/>
        <w:t>etable 1.Search strategy</w:t>
      </w:r>
    </w:p>
    <w:tbl>
      <w:tblPr>
        <w:tblStyle w:val="61"/>
        <w:tblW w:w="10647" w:type="dxa"/>
        <w:tblInd w:w="-768" w:type="dxa"/>
        <w:tblLayout w:type="fixed"/>
        <w:tblLook w:val="04A0" w:firstRow="1" w:lastRow="0" w:firstColumn="1" w:lastColumn="0" w:noHBand="0" w:noVBand="1"/>
      </w:tblPr>
      <w:tblGrid>
        <w:gridCol w:w="961"/>
        <w:gridCol w:w="9686"/>
      </w:tblGrid>
      <w:tr w:rsidR="00D1770F" w14:paraId="6B738F21" w14:textId="77777777" w:rsidTr="00D17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1" w:type="dxa"/>
          </w:tcPr>
          <w:p w14:paraId="1DC71BCC" w14:textId="77777777" w:rsidR="00D1770F" w:rsidRDefault="00000000">
            <w:pPr>
              <w:jc w:val="left"/>
            </w:pPr>
            <w:r>
              <w:rPr>
                <w:rFonts w:hint="eastAsia"/>
                <w:b w:val="0"/>
                <w:bCs w:val="0"/>
              </w:rPr>
              <w:t>P</w:t>
            </w:r>
            <w:r>
              <w:rPr>
                <w:b w:val="0"/>
                <w:bCs w:val="0"/>
              </w:rPr>
              <w:t>rinciple</w:t>
            </w:r>
          </w:p>
        </w:tc>
        <w:tc>
          <w:tcPr>
            <w:tcW w:w="9686" w:type="dxa"/>
          </w:tcPr>
          <w:p w14:paraId="7A82152E" w14:textId="77777777" w:rsidR="00D1770F" w:rsidRDefault="00000000">
            <w:pPr>
              <w:jc w:val="left"/>
              <w:cnfStyle w:val="100000000000" w:firstRow="1" w:lastRow="0" w:firstColumn="0" w:lastColumn="0" w:oddVBand="0" w:evenVBand="0" w:oddHBand="0" w:evenHBand="0" w:firstRowFirstColumn="0" w:firstRowLastColumn="0" w:lastRowFirstColumn="0" w:lastRowLastColumn="0"/>
            </w:pPr>
            <w:r>
              <w:rPr>
                <w:b w:val="0"/>
                <w:bCs w:val="0"/>
              </w:rPr>
              <w:t>MeSH headings/free words for all systemic drugs AND "MeSH headings/free words for Atopic dermatitis" AND "child/adolescent MeSH headings/free words"</w:t>
            </w:r>
          </w:p>
        </w:tc>
      </w:tr>
      <w:tr w:rsidR="00D1770F" w14:paraId="7A25E5C2" w14:textId="77777777" w:rsidTr="00D1770F">
        <w:tc>
          <w:tcPr>
            <w:cnfStyle w:val="001000000000" w:firstRow="0" w:lastRow="0" w:firstColumn="1" w:lastColumn="0" w:oddVBand="0" w:evenVBand="0" w:oddHBand="0" w:evenHBand="0" w:firstRowFirstColumn="0" w:firstRowLastColumn="0" w:lastRowFirstColumn="0" w:lastRowLastColumn="0"/>
            <w:tcW w:w="961" w:type="dxa"/>
            <w:shd w:val="clear" w:color="auto" w:fill="CCCCCC" w:themeFill="text1" w:themeFillTint="33"/>
          </w:tcPr>
          <w:p w14:paraId="4B46C3EC" w14:textId="77777777" w:rsidR="00D1770F" w:rsidRDefault="00000000">
            <w:pPr>
              <w:jc w:val="left"/>
            </w:pPr>
            <w:r>
              <w:rPr>
                <w:b w:val="0"/>
                <w:bCs w:val="0"/>
              </w:rPr>
              <w:t xml:space="preserve">Systemic </w:t>
            </w:r>
            <w:r>
              <w:rPr>
                <w:rFonts w:hint="eastAsia"/>
                <w:b w:val="0"/>
                <w:bCs w:val="0"/>
              </w:rPr>
              <w:t>D</w:t>
            </w:r>
            <w:r>
              <w:rPr>
                <w:b w:val="0"/>
                <w:bCs w:val="0"/>
              </w:rPr>
              <w:t>rugs</w:t>
            </w:r>
          </w:p>
        </w:tc>
        <w:tc>
          <w:tcPr>
            <w:tcW w:w="9686" w:type="dxa"/>
            <w:shd w:val="clear" w:color="auto" w:fill="CCCCCC" w:themeFill="text1" w:themeFillTint="33"/>
          </w:tcPr>
          <w:p w14:paraId="74D713F7" w14:textId="77777777" w:rsidR="00D1770F" w:rsidRDefault="00000000">
            <w:pPr>
              <w:jc w:val="left"/>
              <w:cnfStyle w:val="000000000000" w:firstRow="0" w:lastRow="0" w:firstColumn="0" w:lastColumn="0" w:oddVBand="0" w:evenVBand="0" w:oddHBand="0" w:evenHBand="0" w:firstRowFirstColumn="0" w:firstRowLastColumn="0" w:lastRowFirstColumn="0" w:lastRowLastColumn="0"/>
              <w:rPr>
                <w:b/>
                <w:bCs/>
              </w:rPr>
            </w:pPr>
            <w:r>
              <w:rPr>
                <w:rFonts w:ascii="Segoe UI" w:hAnsi="Segoe UI" w:cs="Segoe UI"/>
                <w:color w:val="0F0F0F"/>
              </w:rPr>
              <w:t>H1 Antihistamines: Diphenhydramine, Hydroxyzine Systemic Antibiotics: Mupirocin Glucocorticoids Cyclosporine (CsA) Azathioprine (AZP) Mycophenolic acid (MPA) Methotrexate (MTX) Immunomodulators: Intravenous Immunoglobulins (IVIG), interferon-gamma Biologics: Rituximab, Omalizumab, Dupilumab, Lebrikizumab, Nemolizumab, Tralokinumab, Spesolimab Emerging Oral Systemic Agents: Baricitinib, Upadacitinib, Abrocitinib, Gusacitinib Traditional Chinese Medicine: Glycyrrhetinic acid, Doxepin hydrochloride, Thalidomide, Rehmannia</w:t>
            </w:r>
          </w:p>
        </w:tc>
      </w:tr>
      <w:tr w:rsidR="00D1770F" w14:paraId="03B442CF" w14:textId="77777777" w:rsidTr="00D1770F">
        <w:tc>
          <w:tcPr>
            <w:cnfStyle w:val="001000000000" w:firstRow="0" w:lastRow="0" w:firstColumn="1" w:lastColumn="0" w:oddVBand="0" w:evenVBand="0" w:oddHBand="0" w:evenHBand="0" w:firstRowFirstColumn="0" w:firstRowLastColumn="0" w:lastRowFirstColumn="0" w:lastRowLastColumn="0"/>
            <w:tcW w:w="961" w:type="dxa"/>
          </w:tcPr>
          <w:p w14:paraId="1AEC4D92" w14:textId="77777777" w:rsidR="00D1770F" w:rsidRDefault="00000000">
            <w:pPr>
              <w:jc w:val="left"/>
            </w:pPr>
            <w:r>
              <w:rPr>
                <w:rFonts w:hint="eastAsia"/>
                <w:b w:val="0"/>
                <w:bCs w:val="0"/>
              </w:rPr>
              <w:t>Content</w:t>
            </w:r>
          </w:p>
        </w:tc>
        <w:tc>
          <w:tcPr>
            <w:tcW w:w="9686" w:type="dxa"/>
          </w:tcPr>
          <w:p w14:paraId="7668AAE2" w14:textId="77777777" w:rsidR="00D1770F" w:rsidRDefault="00000000">
            <w:pPr>
              <w:cnfStyle w:val="000000000000" w:firstRow="0" w:lastRow="0" w:firstColumn="0" w:lastColumn="0" w:oddVBand="0" w:evenVBand="0" w:oddHBand="0" w:evenHBand="0" w:firstRowFirstColumn="0" w:firstRowLastColumn="0" w:lastRowFirstColumn="0" w:lastRowLastColumn="0"/>
            </w:pPr>
            <w:r>
              <w:t xml:space="preserve">((((((((((((((((((((((((((((("Glucocorticoids"[Mesh] OR Glucocorticoid OR Glucocorticoid Effect OR Effect, Glucocorticoid OR Glucorticoid Effects OR Effects, Glucorticoid) OR ("Diphenhydramine"[Mesh]6. OR Benzhydramine OR Diphenylhydramine OR Diphenylhydramin OR 2-Diphenylmethoxy-N,N-dimethylethylamine OR Benhydramin OR Benadryl OR Benylin OR Diphenhydramine Citrate OR Citrate, Diphenhydramine OR Diphenhydramine Citrate (1:1) OR Diphenhydramine Hydrochloride OR Hydrochloride, Diphenhydramine OR Dormin OR Allerdryl OR Dimedrol)) OR ("Hydroxyzine"[Mesh] OR 2-(2-(4-((4-Chlorophenyl)phenylmethyl)-1-piperazinyl)ethoxy)ethanol OR Hydroxyzine Dihydrochloride OR Vistaril OR Hydroxyzine Pamoate OR Pamoate, Hydroxyzine OR Orgatrax OR Durrax OR Atarax OR Hydroxyzine Hydrochloride)) OR ("Mupirocin"[Mesh] OR Pseudomonic Acid A OR Mupirocin Calcium OR Mupirocin, Sodium Salt OR Mupirocin, Lithium Salt OR BRL-4910A OR BRL 4910A OR BRL4910A OR Mupirocin, 14C-Labeled OR 14C-Labeled Mupirocin OR Mupirocin, 14C Labeled OR Mupirocin, Calcium Salt (2:1) OR Mupirocin, Calcium Salt (2:1), Dihydrate OR Pseudomonic Acid OR Bactroban)) OR ("cyclosporin A, 4-(2-butenyl)-4,4,N-trimethylthreonine(1)-" [Supplementary Concept] OR MeBm2t)-CsA OR N-methyl-4-((E)-2-butenyl)-4,4-dimethylthreonine cyclosporin A OR MeBm(2)t1-CsA OR 4-(2-butenyl)-4,4,N-trimethyl-Tyr(1)-cyclosporin A OR (MeBm(2)t)(1)-CsA OR 4-(2-butenyl)-4,4,N-trimethyl-threonine(1)-cyclosporin A)) OR ("Azathioprine"[Mesh] OR Azothioprine OR Imurel OR Imuran OR Immuran OR Azathioprine Sodium OR Sodium, Azathioprine OR Azathioprine Sodium Salt OR Azathioprine Sulfate)) OR ("Mycophenolic Acid"[Mesh] OR Mycophenolate Mofetil OR Mofetil, Mycophenolate OR Mycophenolic Acid Morpholinoethyl Ester OR Cellcept OR Mycophenolate Sodium OR Sodium Mycophenolate OR Mycophenolate, Sodium OR Myfortic OR Mycophenolate Mofetil Hydrochloride OR Mofetil Hydrochloride, Mycophenolate OR RS 61443 OR RS-61443 OR RS61443)) OR ("Methotrexate"[Mesh] OR Amethopterin OR Methotrexate, (D)-Isomer OR Methotrexate, (DL)-Isomer OR Mexate OR Methotrexate Sodium OR Sodium, Methotrexate OR Methotrexate, Sodium Salt OR Methotrexate, Disodium Salt OR Methotrexate Hydrate OR Hydrate, Methotrexate OR Methotrexate, Dicesium Salt OR Dicesium Salt Methotrexate)) OR ("Immunoglobulins, Intravenous"[Mesh] OR Antibodies, Intravenous OR Intravenous Antibodies OR Immune Globulin, Intravenous OR Intravenous Immune Globulin OR Intravenous Immunoglobulins OR Intravenous IG OR IV Immunoglobulins OR Immunoglobulins, IV OR IVIG OR IV Immunoglobulin OR Immunoglobulin, IV OR Intravenous Immunoglobulin OR Immunoglobulin, Intravenous OR Flebogamma DIF OR Gamunex OR Globulin-N OR Globulin N OR Intraglobin OR Intraglobin F OR Intravenous Immunoglobulins, Human OR Human Intravenous Immunoglobulins OR Immunoglobulins, Human Intravenous OR Immune Globulin Intravenous (Human) OR Immunoglobulins, Intravenous, Human OR Human Intravenous Immunoglobulin OR Immunoglobulin, Human Intravenous OR Intravenous Immunoglobulin, Human OR Gammagard OR Gamimune OR Gamimmune OR Modified Immune Globulin (Anti-Echovirus Antibody) OR Privigen OR Sandoglobulin OR Venoglobulin OR Venoglobulin-I OR Venoglobulin I OR Venimmune OR Iveegam OR Alphaglobin OR Endobulin OR Gamimune N OR Gamimmune N OR Gammonativ)) OR </w:t>
            </w:r>
            <w:r>
              <w:lastRenderedPageBreak/>
              <w:t>("Interferon-gamma"[Mesh] OR gamma-Interferon OR Interferon, Immune OR Immune Interferon OR Type II Interferon OR Interferon, Type II OR Interferon Type II OR Interferon, gamma)) OR ("Rituximab"[Mesh] OR CD20 Antibody, Rituximab OR Rituximab CD20 Antibody OR Mabthera OR IDEC-C2B8 Antibody OR IDEC C2B8 Antibody OR IDEC-C2B8 OR IDEC C2B8 OR GP2013 OR Rituxan)) OR ("Omalizumab"[Mesh] OR Xolair)) OR ("dupilumab" [Supplementary Concept] OR SAR231893 OR SAR-231893 OR Dupixent OR REGN668 OR REGN-668)) OR ("lebrikizumab" [Supplementary Concept] OR RO-5490255 OR RG-3637 OR TNX-650 OR MILR1444A OR MILR-1444A OR PRO301444 OR PRO-301444)) OR ("nemolizumab" [Supplementary Concept] OR CIM331 OR CIM-331)) OR ("tralokinumab" [Supplementary Concept] OR CAT-354)) OR ("itepekimab" [Supplementary Concept] OR REGN-3500 OR REGN3500 OR SAR-440340 OR SAR440340)) OR ("spesolimab" [Supplementary Concept] OR BI 655130 OR BI655130)) OR ("baricitinib" [Supplementary Concept] OR 3-azetidineacetonitrile, 1-(ethylsulfonyl)-3-(4-(7H-pyrrolo(2,3-d)pyrimidin-4-yl)-1H-pyrazol-1-yl)- OR INCB-28050 OR Olumiant OR baricitinib phosphate OR baricitinib phosphate salt OR 3-azetidineacetonitrile, 1-(ethylsulfonyl)-3-(4-(7H-pyrrolo(2,3-d)pyrimidin-4-yl)-1H-pyrazol-1-yl)-, phosphate (1:1) OR INCB028050 OR INCB-028050 OR LY3009104 OR LY-3009104)) OR ("upadacitinib" [Supplementary Concept] OR (3S,4R)-3-ethyl-4-(3H-imidazo(1,2-a)pyrrolo(2,3-e)pyrazin-8-yl)-N-(2,2,2-trifluoroethyl)-1-pyrrolidinecarboxamide OR ABT-494 OR Rinvoq)) OR ("abrocitinib" [Supplementary Concept] OR N-(cis-3-(Methyl(7H-pyrrolo(2,3-d)pyrimidin-4-yl)amino)cyclobutyl)-1-propanesulfonamide OR N-(cis-3-(Methyl(7H-pyrrolo(2,3-d)pyrimidin-4-yl)amino)cyclobutyl)-propane-1-sulfonamide OR 1-Propanesulfonamide, N-(cis-3-(methyl-7H-pyrrolo(2,3-d)pyrimidin-4-ylamino)cyclobutyl)- OR PF-04965842)) OR ("Glycyrrhetinic Acid"[Mesh] OR Acid, Glycyrrhetinic OR Glycyram OR Glycyrrhetic Acid OR Acid, Glycyrrhetic OR Glyciram OR Jintan OR Rhetinic Acid OR Acid, Rhetinic OR Uralenic Acid OR Acid, Uralenic OR Enoxolone OR Arthrodont OR Po 12 OR 12, Po)) OR ("Doxepin"[Mesh] OR Deptran OR Desidox OR Doneurin OR Doxepia OR Doxepin beta OR Doxepin Hydrochloride OR Hydrochloride, Doxepin OR Doxepin Hydrochloride, Cis-Trans Isomer Mixture (approximately 1:5) OR Doxepin-RPh OR Doxepin RPh OR Espadox OR Mareen OR Novo-Doxepin OR Novo Doxepin OR Prudoxin OR Quitaxon OR Sinequan OR Sinquan OR Zonalon OR Xepin OR Aponal OR Apo-Doxepin OR Apo Doxepin OR ApoDoxepin)) OR ("Thalidomide"[Mesh] OR Sedoval OR Thalomid)) OR ("Rehmannia"[Mesh] OR Rehmannia glutinosa OR Foxglove, Chinese OR Chinese Foxglove)) OR (itepekimab)) OR (gusacitinib)) OR (CsA AND (clinicaltrial[Filter] OR randomizedcontrolledtrial[Filter]))) AND ("Dermatitis, Atopic"[Mesh] OR Atopic Dermatitides OR Atopic Dermatitis OR Dermatitides, Atopic OR Neurodermatitis, Atopic OR Atopic Neurodermatitides OR Atopic Neurodermatitis OR Neurodermatitides, Atopic OR Neurodermatitis, Disseminated OR Disseminated Neurodermatitides OR Disseminated Neurodermatitis OR Neurodermatitides, Disseminated OR Eczema, Atopic OR Atopic Eczema OR Eczema, Infantile OR Infantile Eczema)) AND (("Child"[Mesh] OR Children) OR ("Adolescent"[Mesh] Adolescents OR Adolescence OR Teens OR Teen OR Teenagers OR Teenager OR Youth OR Youths OR Adolescents, Female OR Adolescent, Female OR Female Adolescent OR Female Adolescents OR Adolescents, Male OR Adolescent, Male OR Male Adolescent OR Male Adolescents OR))</w:t>
            </w:r>
          </w:p>
          <w:p w14:paraId="28709FEE" w14:textId="77777777" w:rsidR="00D1770F" w:rsidRDefault="00D1770F">
            <w:pPr>
              <w:jc w:val="left"/>
              <w:cnfStyle w:val="000000000000" w:firstRow="0" w:lastRow="0" w:firstColumn="0" w:lastColumn="0" w:oddVBand="0" w:evenVBand="0" w:oddHBand="0" w:evenHBand="0" w:firstRowFirstColumn="0" w:firstRowLastColumn="0" w:lastRowFirstColumn="0" w:lastRowLastColumn="0"/>
            </w:pPr>
          </w:p>
        </w:tc>
      </w:tr>
      <w:tr w:rsidR="00D1770F" w14:paraId="3AFCD4E7" w14:textId="77777777" w:rsidTr="00D1770F">
        <w:tc>
          <w:tcPr>
            <w:cnfStyle w:val="001000000000" w:firstRow="0" w:lastRow="0" w:firstColumn="1" w:lastColumn="0" w:oddVBand="0" w:evenVBand="0" w:oddHBand="0" w:evenHBand="0" w:firstRowFirstColumn="0" w:firstRowLastColumn="0" w:lastRowFirstColumn="0" w:lastRowLastColumn="0"/>
            <w:tcW w:w="961" w:type="dxa"/>
            <w:shd w:val="clear" w:color="auto" w:fill="CCCCCC" w:themeFill="text1" w:themeFillTint="33"/>
          </w:tcPr>
          <w:p w14:paraId="3573AE68" w14:textId="77777777" w:rsidR="00D1770F" w:rsidRDefault="00000000">
            <w:pPr>
              <w:jc w:val="left"/>
            </w:pPr>
            <w:r>
              <w:rPr>
                <w:rFonts w:hint="eastAsia"/>
                <w:b w:val="0"/>
                <w:bCs w:val="0"/>
              </w:rPr>
              <w:lastRenderedPageBreak/>
              <w:t>Result</w:t>
            </w:r>
          </w:p>
        </w:tc>
        <w:tc>
          <w:tcPr>
            <w:tcW w:w="9686" w:type="dxa"/>
            <w:shd w:val="clear" w:color="auto" w:fill="CCCCCC" w:themeFill="text1" w:themeFillTint="33"/>
          </w:tcPr>
          <w:p w14:paraId="31F68FE4" w14:textId="77777777" w:rsidR="00D1770F" w:rsidRDefault="00000000">
            <w:pPr>
              <w:cnfStyle w:val="000000000000" w:firstRow="0" w:lastRow="0" w:firstColumn="0" w:lastColumn="0" w:oddVBand="0" w:evenVBand="0" w:oddHBand="0" w:evenHBand="0" w:firstRowFirstColumn="0" w:firstRowLastColumn="0" w:lastRowFirstColumn="0" w:lastRowLastColumn="0"/>
            </w:pPr>
            <w:r>
              <w:t>7</w:t>
            </w:r>
            <w:r>
              <w:rPr>
                <w:rFonts w:hint="eastAsia"/>
              </w:rPr>
              <w:t>540</w:t>
            </w:r>
            <w:r>
              <w:t xml:space="preserve"> </w:t>
            </w:r>
            <w:r>
              <w:rPr>
                <w:rFonts w:cs="Calibri" w:hint="eastAsia"/>
              </w:rPr>
              <w:t>EMBASE</w:t>
            </w:r>
            <w:r>
              <w:t xml:space="preserve"> </w:t>
            </w:r>
            <w:r>
              <w:rPr>
                <w:rFonts w:ascii="宋体" w:hAnsi="宋体"/>
              </w:rPr>
              <w:t>；</w:t>
            </w:r>
            <w:r>
              <w:t xml:space="preserve">clinical trial </w:t>
            </w:r>
            <w:r>
              <w:rPr>
                <w:rFonts w:cs="Calibri" w:hint="eastAsia"/>
              </w:rPr>
              <w:t>or</w:t>
            </w:r>
            <w:r>
              <w:t xml:space="preserve"> RCT</w:t>
            </w:r>
            <w:r>
              <w:rPr>
                <w:rFonts w:ascii="宋体" w:hAnsi="宋体"/>
              </w:rPr>
              <w:t>：</w:t>
            </w:r>
            <w:r>
              <w:rPr>
                <w:rFonts w:cs="Calibri"/>
              </w:rPr>
              <w:t>942</w:t>
            </w:r>
          </w:p>
          <w:p w14:paraId="5AFAFBF0" w14:textId="77777777" w:rsidR="00D1770F" w:rsidRDefault="00000000">
            <w:pPr>
              <w:cnfStyle w:val="000000000000" w:firstRow="0" w:lastRow="0" w:firstColumn="0" w:lastColumn="0" w:oddVBand="0" w:evenVBand="0" w:oddHBand="0" w:evenHBand="0" w:firstRowFirstColumn="0" w:firstRowLastColumn="0" w:lastRowFirstColumn="0" w:lastRowLastColumn="0"/>
            </w:pPr>
            <w:r>
              <w:t>1</w:t>
            </w:r>
            <w:r>
              <w:rPr>
                <w:rFonts w:hint="eastAsia"/>
              </w:rPr>
              <w:t>163</w:t>
            </w:r>
            <w:r>
              <w:t xml:space="preserve"> PubMed </w:t>
            </w:r>
            <w:r>
              <w:rPr>
                <w:rFonts w:ascii="宋体" w:hAnsi="宋体"/>
              </w:rPr>
              <w:t>；</w:t>
            </w:r>
            <w:r>
              <w:rPr>
                <w:rFonts w:cs="Calibri"/>
              </w:rPr>
              <w:t xml:space="preserve">clinical trial </w:t>
            </w:r>
            <w:r>
              <w:rPr>
                <w:rFonts w:cs="Calibri" w:hint="eastAsia"/>
              </w:rPr>
              <w:t>or</w:t>
            </w:r>
            <w:r>
              <w:t xml:space="preserve"> RCT</w:t>
            </w:r>
            <w:r>
              <w:rPr>
                <w:rFonts w:ascii="宋体" w:hAnsi="宋体"/>
              </w:rPr>
              <w:t>：</w:t>
            </w:r>
            <w:r>
              <w:rPr>
                <w:rFonts w:ascii="宋体" w:hAnsi="宋体" w:hint="eastAsia"/>
              </w:rPr>
              <w:t>267</w:t>
            </w:r>
            <w:r>
              <w:rPr>
                <w:rFonts w:cs="Calibri"/>
              </w:rPr>
              <w:t xml:space="preserve"> </w:t>
            </w:r>
          </w:p>
          <w:p w14:paraId="69A0056B" w14:textId="77777777" w:rsidR="00D1770F" w:rsidRDefault="00000000">
            <w:pPr>
              <w:cnfStyle w:val="000000000000" w:firstRow="0" w:lastRow="0" w:firstColumn="0" w:lastColumn="0" w:oddVBand="0" w:evenVBand="0" w:oddHBand="0" w:evenHBand="0" w:firstRowFirstColumn="0" w:firstRowLastColumn="0" w:lastRowFirstColumn="0" w:lastRowLastColumn="0"/>
              <w:rPr>
                <w:color w:val="auto"/>
              </w:rPr>
            </w:pPr>
            <w:r>
              <w:rPr>
                <w:rFonts w:hint="eastAsia"/>
              </w:rPr>
              <w:t>249</w:t>
            </w:r>
            <w:r>
              <w:t xml:space="preserve"> </w:t>
            </w:r>
            <w:r>
              <w:rPr>
                <w:rFonts w:cs="Calibri" w:hint="eastAsia"/>
              </w:rPr>
              <w:t>Central</w:t>
            </w:r>
            <w:r>
              <w:rPr>
                <w:rFonts w:ascii="宋体" w:hAnsi="宋体"/>
              </w:rPr>
              <w:t>；</w:t>
            </w:r>
            <w:r>
              <w:t xml:space="preserve"> clinical trial </w:t>
            </w:r>
            <w:r>
              <w:rPr>
                <w:rFonts w:cs="Calibri" w:hint="eastAsia"/>
              </w:rPr>
              <w:t>or</w:t>
            </w:r>
            <w:r>
              <w:t xml:space="preserve"> RCT</w:t>
            </w:r>
            <w:r>
              <w:rPr>
                <w:rFonts w:ascii="宋体" w:hAnsi="宋体"/>
              </w:rPr>
              <w:t>：</w:t>
            </w:r>
            <w:r>
              <w:rPr>
                <w:rFonts w:ascii="宋体" w:hAnsi="宋体" w:hint="eastAsia"/>
              </w:rPr>
              <w:t>248</w:t>
            </w:r>
          </w:p>
        </w:tc>
      </w:tr>
    </w:tbl>
    <w:p w14:paraId="10808580" w14:textId="77777777" w:rsidR="00D1770F" w:rsidRDefault="00D1770F">
      <w:pPr>
        <w:jc w:val="left"/>
      </w:pPr>
    </w:p>
    <w:p w14:paraId="2D8E4256" w14:textId="77777777" w:rsidR="00D1770F" w:rsidRDefault="00D1770F">
      <w:pPr>
        <w:jc w:val="left"/>
      </w:pPr>
    </w:p>
    <w:p w14:paraId="4593B7FB" w14:textId="77777777" w:rsidR="00D1770F" w:rsidRDefault="00000000">
      <w:pPr>
        <w:jc w:val="left"/>
      </w:pPr>
      <w:r>
        <w:rPr>
          <w:b/>
          <w:bCs/>
        </w:rPr>
        <w:t>etable 2. Summary of Included Studies on Safety of Systemic Therapies in Children and Adolescent Patients</w:t>
      </w:r>
    </w:p>
    <w:p w14:paraId="4F05F0C0" w14:textId="77777777" w:rsidR="00D1770F" w:rsidRDefault="00D1770F">
      <w:pPr>
        <w:jc w:val="left"/>
      </w:pPr>
    </w:p>
    <w:p w14:paraId="31F1C40D" w14:textId="77777777" w:rsidR="00D1770F" w:rsidRDefault="00000000">
      <w:pPr>
        <w:jc w:val="left"/>
        <w:sectPr w:rsidR="00D1770F" w:rsidSect="00266456">
          <w:pgSz w:w="11906" w:h="16838"/>
          <w:pgMar w:top="1440" w:right="1800" w:bottom="1440" w:left="1800" w:header="851" w:footer="992" w:gutter="0"/>
          <w:cols w:space="425"/>
          <w:docGrid w:type="lines" w:linePitch="312"/>
        </w:sectPr>
      </w:pPr>
      <w:r>
        <w:rPr>
          <w:rFonts w:hint="eastAsia"/>
          <w:noProof/>
        </w:rPr>
        <w:drawing>
          <wp:inline distT="0" distB="0" distL="114300" distR="114300" wp14:anchorId="5810DB30" wp14:editId="19B59482">
            <wp:extent cx="2336800" cy="8352790"/>
            <wp:effectExtent l="0" t="0" r="0" b="3810"/>
            <wp:docPr id="2" name="图片 2" descr="最终版_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最终版_S1"/>
                    <pic:cNvPicPr>
                      <a:picLocks noChangeAspect="1"/>
                    </pic:cNvPicPr>
                  </pic:nvPicPr>
                  <pic:blipFill>
                    <a:blip r:embed="rId4"/>
                    <a:stretch>
                      <a:fillRect/>
                    </a:stretch>
                  </pic:blipFill>
                  <pic:spPr>
                    <a:xfrm>
                      <a:off x="0" y="0"/>
                      <a:ext cx="2336800" cy="8352790"/>
                    </a:xfrm>
                    <a:prstGeom prst="rect">
                      <a:avLst/>
                    </a:prstGeom>
                  </pic:spPr>
                </pic:pic>
              </a:graphicData>
            </a:graphic>
          </wp:inline>
        </w:drawing>
      </w:r>
    </w:p>
    <w:p w14:paraId="22FAF972" w14:textId="77777777" w:rsidR="00D1770F" w:rsidRDefault="00D1770F">
      <w:pPr>
        <w:jc w:val="left"/>
      </w:pPr>
    </w:p>
    <w:p w14:paraId="11405246" w14:textId="77777777" w:rsidR="00D1770F" w:rsidRDefault="00000000">
      <w:pPr>
        <w:jc w:val="left"/>
      </w:pPr>
      <w:r>
        <w:t>etable 3. Risk of Bias Assessment of Included Studies According to the Newcastle-Ottawa Scale</w:t>
      </w:r>
    </w:p>
    <w:p w14:paraId="6BA10252" w14:textId="77777777" w:rsidR="00D1770F" w:rsidRDefault="00D1770F">
      <w:pPr>
        <w:jc w:val="left"/>
      </w:pPr>
    </w:p>
    <w:tbl>
      <w:tblPr>
        <w:tblStyle w:val="a7"/>
        <w:tblW w:w="9606" w:type="dxa"/>
        <w:tblLook w:val="04A0" w:firstRow="1" w:lastRow="0" w:firstColumn="1" w:lastColumn="0" w:noHBand="0" w:noVBand="1"/>
      </w:tblPr>
      <w:tblGrid>
        <w:gridCol w:w="440"/>
        <w:gridCol w:w="2835"/>
        <w:gridCol w:w="534"/>
        <w:gridCol w:w="977"/>
        <w:gridCol w:w="567"/>
        <w:gridCol w:w="567"/>
        <w:gridCol w:w="992"/>
        <w:gridCol w:w="709"/>
        <w:gridCol w:w="567"/>
        <w:gridCol w:w="709"/>
        <w:gridCol w:w="709"/>
      </w:tblGrid>
      <w:tr w:rsidR="00D1770F" w14:paraId="54972F90" w14:textId="77777777">
        <w:trPr>
          <w:trHeight w:val="640"/>
        </w:trPr>
        <w:tc>
          <w:tcPr>
            <w:tcW w:w="440" w:type="dxa"/>
            <w:noWrap/>
          </w:tcPr>
          <w:p w14:paraId="1AE2FB27" w14:textId="77777777" w:rsidR="00D1770F" w:rsidRDefault="00D1770F">
            <w:pPr>
              <w:widowControl/>
              <w:jc w:val="left"/>
              <w:rPr>
                <w:rFonts w:asciiTheme="minorHAnsi" w:eastAsia="Times New Roman" w:hAnsiTheme="minorHAnsi" w:cstheme="minorHAnsi"/>
                <w:kern w:val="0"/>
                <w:sz w:val="20"/>
                <w:szCs w:val="20"/>
              </w:rPr>
            </w:pPr>
          </w:p>
        </w:tc>
        <w:tc>
          <w:tcPr>
            <w:tcW w:w="2835" w:type="dxa"/>
            <w:noWrap/>
          </w:tcPr>
          <w:p w14:paraId="10C9C849" w14:textId="77777777" w:rsidR="00D1770F" w:rsidRDefault="00D1770F">
            <w:pPr>
              <w:widowControl/>
              <w:jc w:val="left"/>
              <w:rPr>
                <w:rFonts w:asciiTheme="minorHAnsi" w:eastAsia="Times New Roman" w:hAnsiTheme="minorHAnsi" w:cstheme="minorHAnsi"/>
                <w:kern w:val="0"/>
                <w:sz w:val="20"/>
                <w:szCs w:val="20"/>
              </w:rPr>
            </w:pPr>
          </w:p>
        </w:tc>
        <w:tc>
          <w:tcPr>
            <w:tcW w:w="3637" w:type="dxa"/>
            <w:gridSpan w:val="5"/>
            <w:noWrap/>
          </w:tcPr>
          <w:p w14:paraId="28154614" w14:textId="77777777" w:rsidR="00D1770F" w:rsidRDefault="00000000">
            <w:pPr>
              <w:widowControl/>
              <w:jc w:val="center"/>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Selection</w:t>
            </w:r>
          </w:p>
        </w:tc>
        <w:tc>
          <w:tcPr>
            <w:tcW w:w="709" w:type="dxa"/>
            <w:vMerge w:val="restart"/>
            <w:noWrap/>
            <w:textDirection w:val="tbRl"/>
          </w:tcPr>
          <w:p w14:paraId="532E3186" w14:textId="77777777" w:rsidR="00D1770F" w:rsidRDefault="00000000">
            <w:pPr>
              <w:widowControl/>
              <w:ind w:left="113" w:right="113"/>
              <w:jc w:val="center"/>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Comparability Outcome of cohorts</w:t>
            </w:r>
          </w:p>
        </w:tc>
        <w:tc>
          <w:tcPr>
            <w:tcW w:w="1985" w:type="dxa"/>
            <w:gridSpan w:val="3"/>
            <w:noWrap/>
          </w:tcPr>
          <w:p w14:paraId="2E2ECDBA" w14:textId="77777777" w:rsidR="00D1770F" w:rsidRDefault="00000000">
            <w:pPr>
              <w:widowControl/>
              <w:jc w:val="center"/>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Outcome</w:t>
            </w:r>
          </w:p>
        </w:tc>
      </w:tr>
      <w:tr w:rsidR="00D1770F" w14:paraId="4D467545" w14:textId="77777777">
        <w:trPr>
          <w:cantSplit/>
          <w:trHeight w:val="3266"/>
        </w:trPr>
        <w:tc>
          <w:tcPr>
            <w:tcW w:w="440" w:type="dxa"/>
            <w:noWrap/>
          </w:tcPr>
          <w:p w14:paraId="47087CBB" w14:textId="77777777" w:rsidR="00D1770F" w:rsidRDefault="00D1770F">
            <w:pPr>
              <w:widowControl/>
              <w:jc w:val="center"/>
              <w:rPr>
                <w:rFonts w:asciiTheme="minorHAnsi" w:hAnsiTheme="minorHAnsi" w:cstheme="minorHAnsi"/>
                <w:color w:val="000000"/>
                <w:kern w:val="0"/>
                <w:sz w:val="22"/>
                <w:szCs w:val="22"/>
              </w:rPr>
            </w:pPr>
          </w:p>
        </w:tc>
        <w:tc>
          <w:tcPr>
            <w:tcW w:w="2835" w:type="dxa"/>
            <w:noWrap/>
          </w:tcPr>
          <w:p w14:paraId="2BA5EE7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Author, year</w:t>
            </w:r>
          </w:p>
        </w:tc>
        <w:tc>
          <w:tcPr>
            <w:tcW w:w="534" w:type="dxa"/>
            <w:textDirection w:val="tbRl"/>
          </w:tcPr>
          <w:p w14:paraId="17BA57F3" w14:textId="77777777" w:rsidR="00D1770F" w:rsidRDefault="00000000">
            <w:pPr>
              <w:widowControl/>
              <w:ind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Adequacy case definition</w:t>
            </w:r>
          </w:p>
        </w:tc>
        <w:tc>
          <w:tcPr>
            <w:tcW w:w="977" w:type="dxa"/>
            <w:noWrap/>
            <w:textDirection w:val="tbRl"/>
          </w:tcPr>
          <w:p w14:paraId="62CCBD66"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Representativeness of exposed cohort</w:t>
            </w:r>
          </w:p>
        </w:tc>
        <w:tc>
          <w:tcPr>
            <w:tcW w:w="567" w:type="dxa"/>
            <w:noWrap/>
            <w:textDirection w:val="tbRl"/>
          </w:tcPr>
          <w:p w14:paraId="638ACDC4"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Seletion non exposed cohort</w:t>
            </w:r>
          </w:p>
        </w:tc>
        <w:tc>
          <w:tcPr>
            <w:tcW w:w="567" w:type="dxa"/>
            <w:noWrap/>
            <w:textDirection w:val="tbRl"/>
          </w:tcPr>
          <w:p w14:paraId="5F04BEA1"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Ascertainment of exposure</w:t>
            </w:r>
          </w:p>
        </w:tc>
        <w:tc>
          <w:tcPr>
            <w:tcW w:w="992" w:type="dxa"/>
            <w:noWrap/>
            <w:textDirection w:val="tbRl"/>
          </w:tcPr>
          <w:p w14:paraId="54120BF1"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Outcome not present at beginning of study</w:t>
            </w:r>
          </w:p>
        </w:tc>
        <w:tc>
          <w:tcPr>
            <w:tcW w:w="709" w:type="dxa"/>
            <w:vMerge/>
          </w:tcPr>
          <w:p w14:paraId="5360F424" w14:textId="77777777" w:rsidR="00D1770F" w:rsidRDefault="00D1770F">
            <w:pPr>
              <w:widowControl/>
              <w:jc w:val="left"/>
              <w:rPr>
                <w:rFonts w:asciiTheme="minorHAnsi" w:hAnsiTheme="minorHAnsi" w:cstheme="minorHAnsi"/>
                <w:color w:val="000000"/>
                <w:kern w:val="0"/>
                <w:sz w:val="22"/>
                <w:szCs w:val="22"/>
              </w:rPr>
            </w:pPr>
          </w:p>
        </w:tc>
        <w:tc>
          <w:tcPr>
            <w:tcW w:w="567" w:type="dxa"/>
            <w:noWrap/>
            <w:textDirection w:val="tbRl"/>
          </w:tcPr>
          <w:p w14:paraId="4982EFE1"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Assessment of Outcome</w:t>
            </w:r>
          </w:p>
        </w:tc>
        <w:tc>
          <w:tcPr>
            <w:tcW w:w="709" w:type="dxa"/>
            <w:noWrap/>
            <w:textDirection w:val="tbRl"/>
          </w:tcPr>
          <w:p w14:paraId="3F396CAC"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Follow-up duration</w:t>
            </w:r>
          </w:p>
        </w:tc>
        <w:tc>
          <w:tcPr>
            <w:tcW w:w="709" w:type="dxa"/>
            <w:noWrap/>
            <w:textDirection w:val="tbRl"/>
          </w:tcPr>
          <w:p w14:paraId="190AC579"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Follow-up Adequacy</w:t>
            </w:r>
          </w:p>
        </w:tc>
      </w:tr>
      <w:tr w:rsidR="00D1770F" w14:paraId="4E3C7ACB" w14:textId="77777777">
        <w:trPr>
          <w:trHeight w:val="1020"/>
        </w:trPr>
        <w:tc>
          <w:tcPr>
            <w:tcW w:w="440" w:type="dxa"/>
            <w:noWrap/>
          </w:tcPr>
          <w:p w14:paraId="230DA864"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1</w:t>
            </w:r>
          </w:p>
        </w:tc>
        <w:tc>
          <w:tcPr>
            <w:tcW w:w="2835" w:type="dxa"/>
          </w:tcPr>
          <w:p w14:paraId="5E01D360" w14:textId="0F0DB18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Mohamed A El-Khalawany et al,2012,</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{"citationID":"21kGFuGy","properties":{"formattedCitation":"\\super [1]\\nosupersub{}","plainCitation":"[1]","noteIndex":0},"citationItems":[{"id":93,"uris":["http://zotero.org/users/local/f4DW1Eli/items/Q8272IWM"],"itemData":{"id":93,"type":"article-journal","abstract":"Topical therapy is usually of limited benefit in the treatment of severe atopic dermatitis (AD), and the need for a safe and effective systemic treatment may be  required in certain cases especially in children. We evaluated the efficacy and  safety of methotrexate and cyclosporine in the treatment of 40 children with  severe AD. Patients were divided into two groups (each consisting of 20  patients); group A was treated with methotrexate (7.5 mg/week) while group B was  treated with cyclosporine (2.5 mg/kg/day). The severity scoring for atopic  dermatitis (SCORAD) was used to indicate efficacy of treatment. In group A, the  mean SCORAD score at the beginning of the study was 57.90 ± 3.21 that was reduced  at the end of the treatment period to reach 29.35 ± 6.32 with a mean absolute  reduction of 26.25 ± 7.03. In group B, the mean SCORAD score was 56.54 ± 4.82 at  the start of treatment and was 31.35 ± 8.89 at the end of 12 weeks of treatment.  The mean absolute reduction was 25.02 ± 8.21. There was no statistically  significant difference in the reduction of SCORAD score between both groups (P ±  0.93). Mild and temporary adverse effects were reported in some patients in both  groups. CONCLUSION: Methotrexate or cyclosporine in low doses can be considered  as effective, relatively safe, and well-tolerated treatments for severe AD in  children.","container-title":"European journal of pediatrics","DOI":"10.1007/s00431-012-1893-3","ISSN":"1432-1076 0340-6199","issue":"3","journalAbbreviation":"Eur J Pediatr","language":"eng","note":"SC: 0000175 \npublisher-place: Germany\nPMID: 23229188","page":"351-356","title":"Methotrexate versus cyclosporine in the treatment of severe atopic dermatitis in children: a multicenter experience from Egypt.","volume":"172","author":[{"family":"El-Khalawany","given":"Mohamed A."},{"family":"Hassan","given":"Hatem"},{"family":"Shaaban","given":"Dalia"},{"family":"Ghonaim","given":"Noha"},{"family":"Eassa","given":"Bayoumi"}],"issued":{"date-parts":[["2013",3]]}}}],"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Multicenter experience</w:t>
            </w:r>
          </w:p>
        </w:tc>
        <w:tc>
          <w:tcPr>
            <w:tcW w:w="534" w:type="dxa"/>
            <w:noWrap/>
          </w:tcPr>
          <w:p w14:paraId="0716FBE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17CB2B6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c>
          <w:tcPr>
            <w:tcW w:w="567" w:type="dxa"/>
            <w:noWrap/>
          </w:tcPr>
          <w:p w14:paraId="684C0D3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48A4D7A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76F2944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532F943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6355671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5E60627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32ADBD1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r>
      <w:tr w:rsidR="00D1770F" w14:paraId="0D54D921" w14:textId="77777777">
        <w:trPr>
          <w:trHeight w:val="680"/>
        </w:trPr>
        <w:tc>
          <w:tcPr>
            <w:tcW w:w="440" w:type="dxa"/>
            <w:noWrap/>
          </w:tcPr>
          <w:p w14:paraId="013F8A41"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2</w:t>
            </w:r>
          </w:p>
        </w:tc>
        <w:tc>
          <w:tcPr>
            <w:tcW w:w="2835" w:type="dxa"/>
          </w:tcPr>
          <w:p w14:paraId="7DA77E2E" w14:textId="6D245E74"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Bunikowski R et al,2001,</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{"citationID":"u0xbvqbd","properties":{"formattedCitation":"\\super [2]\\nosupersub{}","plainCitation":"[2]","noteIndex":0},"citationItems":[{"id":74,"uris":["http://zotero.org/users/local/f4DW1Eli/items/3UJWT9EP"],"itemDat</w:instrText>
            </w:r>
            <w:r w:rsidR="001A4B5B">
              <w:rPr>
                <w:rFonts w:asciiTheme="minorHAnsi" w:hAnsiTheme="minorHAnsi" w:cstheme="minorHAnsi" w:hint="eastAsia"/>
                <w:color w:val="000000"/>
                <w:kern w:val="0"/>
                <w:sz w:val="22"/>
                <w:szCs w:val="22"/>
              </w:rPr>
              <w:instrText xml:space="preserve">a":{"id":74,"type":"article-journal","abstract":"BACKGROUND: Dupilumab (monoclonal antibody inhibiting IL-4/IL-13 signalling) is approved for use in adolescents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12 years with inadequately controlled  moderate-to-severe atopic dermatitis (AD). Dupil</w:instrText>
            </w:r>
            <w:r w:rsidR="001A4B5B">
              <w:rPr>
                <w:rFonts w:asciiTheme="minorHAnsi" w:hAnsiTheme="minorHAnsi" w:cstheme="minorHAnsi"/>
                <w:color w:val="000000"/>
                <w:kern w:val="0"/>
                <w:sz w:val="22"/>
                <w:szCs w:val="22"/>
              </w:rPr>
              <w:instrText xml:space="preserve">umab significantly improved AD  signs/symptoms in a 16-week, randomised, placebo-controlled phase III trial in  adolescents (NCT03054428). OBJECTIVES: To characterize the pharmacokinetics of  dupilumab, and long-term safety and efficacy in adolescents. METHODS: This was a  global, multicentre, phase IIa, open-label, ascending-dose, sequential cohort  study with a phase III open-label extension (OLE) in adolescents with  moderate-to-severe AD. In the phase IIa study, patients received one dupilumab  dose (2 mg kg(-1) or 4 mg kg(-1) ) and 8 weeks of pharmacokinetic sampling.  Thereafter, patients received the same dose weekly for 4 weeks, with 8-week  safety follow-up. Patients then enrolled in the OLE, continuing 2 mg kg(-1) or 4  mg kg(-1) dupilumab weekly. Primary end points were dupilumab concentration-time  profile and incidence of treatment-emergent adverse events (TEAEs). Secondary  outcomes included Eczema Area and Severity Index (EASI). RESULTS: Forty  adolescents received dupilumab in the phase IIa study; 36 enrolled in the OLE.  Dupilumab showed nonlinear, target-mediated pharmacokinetics. Mean ± SD trough  dupilumab concentrations in serum at week 48 (OLE) were 74 ± 19 mg L(-1) and 161  ± 60 mg L(-1) for 2 mg kg(-1) and 4 mg kg(-1) , respectively. Dupilumab was well  tolerated over 52 weeks; the most common TEAEs were nasopharyngitis (week 52: 41%  [2 mg kg(-1) ], 47% [4 mg kg(-1) ]) and AD exacerbation (29%, 42%). After one  dupilumab dose in the phase IIa study, EASI improved from baseline to week 2  [mean ± SD reduction -34% ± 20% (2 mg kg(-1) ) and -51% ± 29% (4 mg kg(-1) )].  With continuing treatment, EASI scores improved further [week 52: -85% ± 12% (2  mg kg(-1) ) and -84% ± 20% (4 mg kg(-1) )]. CONCLUSIONS: In adolescents with  moderate-to-severe AD, dupilumab's pharmacokinetic profile was similar to that in  adults. These 52-week safety and efficacy data support long-term use of dupilumab  in this patient population. What's already known about this topic? Adolescents  with moderate-to-severe atopic dermatitis (AD) have high unmet medical need, with  significant disease burden and limited treatment options. Dupilumab (monoclonal  antibody against interleukin-4 receptor α) is approved for the treatment of  adolescents with moderate-to-severe AD who are inadequately responsive to  standard of care (U.S.A.) or candidates for systemic therapy (European Union). A  16-week, randomized, placebo-controlled phase III trial in adolescents  demonstrated significant improvements in AD signs/symptoms with an acceptable  safety profile. What does this study add? These studies demonstrate the long-term  safety and efficacy of dupilumab in adolescents with moderate-to-severe AD for up  to 52 weeks of treatment, thus extending and reinforcing the findings from the  16-week dupilumab phase III trial. The data from these studies also support the  use of dupilumab in combination with current standard of care (topical  corticosteroids), which was not evaluated in the 16-week phase III monotherapy  trial.","container-title":"The British journal of dermatology","DOI":"10.1111/bjd.18476","ISSN":"1365-2133 0007-0963","issue":"1","journalAbbreviation":"Br J Dermatol","language":"eng","license":"© 2019 The Authors. British Journal of Dermatology published by John Wiley &amp; Sons Ltd on behalf of British Association of Dermatologists.","note":"SC: 0000126 \npublisher-place: England\nPMID: 31595499 \nPMCID: PMC6972638","page":"85-96","title":"Dupilumab in adolescents with uncontrolled moderate-to-severe atopic dermatitis: results from a phase IIa open-label trial and subsequent phase III open-label  extension.","volume":"182","author":[{"family":"Cork","given":"M. J."},{"family":"Thaçi","given":"D."},{"family":"Eichenfield","given":"L. F."},{"family":"Arkwright","given":"P. D."},{"family":"Hultsch","given":"T."},{"family":"Davis","given":"J. D."},{"family":"Zhang","given":"Y."},{"family":"Zhu","given":"X."},{"family":"Chen","given":"Z."},{"family":"Li","given":"M."},{"family":"Ardeleanu","given":"M."},{"family":"Teper","given":"A."},{"family":"Akinlade","given":"B."},{"family":"Gadkari","given":"A."},{"family":"Eckert","given":"L."},{"family":"Kamal","given":"M. A."},{"family":"Ruddy","given":"M."},{"family":"Graham","given":"N. M. H."},{"family":"Pirozzi","given":"G."},{"family":"Stahl","given":"N."},{"family":"DiCioccio","given":"A. T."},{"family":"Bansal","given":"A."}],"issued":{"date-parts":[["2020",1]]}}}],"schema":"https://github.com/citation-style-language/schema/raw/master/csl-citation.json"}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[2]</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Prospective</w:t>
            </w:r>
          </w:p>
        </w:tc>
        <w:tc>
          <w:tcPr>
            <w:tcW w:w="534" w:type="dxa"/>
            <w:noWrap/>
          </w:tcPr>
          <w:p w14:paraId="1DA0AF1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386AA90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567" w:type="dxa"/>
            <w:noWrap/>
          </w:tcPr>
          <w:p w14:paraId="6EE4366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44090A9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29E7A9E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376DF07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0FAECE2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4026E47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2F1680B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r w:rsidR="00D1770F" w14:paraId="60FCAB81" w14:textId="77777777">
        <w:trPr>
          <w:trHeight w:val="680"/>
        </w:trPr>
        <w:tc>
          <w:tcPr>
            <w:tcW w:w="440" w:type="dxa"/>
            <w:noWrap/>
          </w:tcPr>
          <w:p w14:paraId="0B1A8901"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3</w:t>
            </w:r>
          </w:p>
        </w:tc>
        <w:tc>
          <w:tcPr>
            <w:tcW w:w="2835" w:type="dxa"/>
          </w:tcPr>
          <w:p w14:paraId="14069FD1" w14:textId="3F0AF5AA"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Jing-Long Huang et al,2000,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{"citationID":"O1ZuRIiF","properties":{"formattedCitation":"\\super [3]\\nosupersub{}","plainCitation":"[3]","noteIndex":0},"citationItems":[{"id":85,"uris":["http://zotero.org/users/local/f4DW1Eli/items/VXWQ55NJ"],"itemData":{"id":85,"type":"article-journal","abstract":"OBJECTIVE: To evaluate the effect of intravenous immunoglobulin (IVIG) in the treatment of severe intractable atopic dermatitis (AD) in children and to  investigate the inflammatory markers used to measure their disease activity.  MATERIALS AND METHODS: Serum levels of interleukin-2 receptor (sIL-2R),  intercellular adhesion molecule-1 (ICAM-1), endothelial leukocyte adhesion  molecule (ELAM-1), and eosinophil cationic protein (ECP) were measured in five  children with AD (group A) who had a mean age of 9.4 months (range 7 to 12  months) before and after IVIG therapy. Seven age-matched patients with similar  severity of AD who only received topical corticosteroid therapy served as the  control group (group B). Ten normal control serum samples were collected from  well-baby clinic (group C). T helper 1 (Th1) was defined by IFN-gamma/CD4+ and  Th2 by IL4/CD4+, using 3-colored flow cytometry. Clinical severity of AD was  evaluated with the SCORAD index. Intravenous immunoglobulin (2 g/kg/dose) was  administered monthly for a total of 3 doses. RESULTS: The serum levels of ICAM-1,  ELAM-1, and IL-2R in patients with AD were significantly higher than normal  control infants. After IVIG therapy, the SCORAD index and the inflammatory  markers (ICAM-1, ELAM-1, and ECP) in group A were significantly decreased (P =  .01 for SCORAD index; .034, .043, and .03 for ICAM-1, ELAM-1 and ECP,  respectively). The serum levels of ICAM-1, ELAM-1, ECP and IL-2R in group B did  not show a significant reduction after 3 months of topical corticosteroid  therapy. In comparison to normal healthy children, patients with AD had decreased  Th2 cells (P = .009) and higher ratio of Th1/Th2 (P = .009) in peripheral blood  mononuclear cells (PBMC). There was no significant difference of Th1, Th2 cells,  and ratio of Th1/Th2 in PBMC before and after IVIG therapy in patients with AD.  CONCLUSION: Intravenous immunoglobulin can be safely and effectively given for  the treatment of severe intractable AD. The determination of ICAM-1, ELAM-1, and  ECP levels may be useful in monitoring disease activity of AD in childhood. The  IVIG may play a role in treatment.","container-title":"Annals of allergy, asthma &amp; immunology : official publication of the American College of Allergy, Asthma, &amp; Immunology","DOI":"10.1016/S1081-1206(10)62785-8","ISSN":"1081-1206","issue":"3","journalAbbreviation":"Ann Allergy Asthma Immunol","language":"eng","note":"SC: 0000069 \npublisher-place: United States\nPMID: 10752921","page":"345-352","title":"Changes of serum levels of interleukin-2, intercellular adhesion molecule-1, endothelial leukocyte adhesion molecule-1 and Th1 and Th2 cell in severe atopic  dermatitis after intravenous immunoglobulin therapy.","volume":"84","author":[{"family":"Huang","given":"J. L."},{"family":"Lee","given":"W. Y."},{"family":"Chen","given":"L. C."},{"family":"Kuo","given":"M. L."},{"family":"Hsieh","given":"K. H."}],"issued":{"date-parts":[["2000",3]]}}}],"schema":"https://github.com/citation-style-language/schema/raw/master/csl-citation.json"}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[3]</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Clinic trial</w:t>
            </w:r>
          </w:p>
        </w:tc>
        <w:tc>
          <w:tcPr>
            <w:tcW w:w="534" w:type="dxa"/>
            <w:noWrap/>
          </w:tcPr>
          <w:p w14:paraId="5D2DCE1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41485F4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107B607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682F6D0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7E764BD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1B47FD4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33CB563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1AB67CC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65DCC19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r w:rsidR="00D1770F" w14:paraId="613CF399" w14:textId="77777777">
        <w:trPr>
          <w:trHeight w:val="680"/>
        </w:trPr>
        <w:tc>
          <w:tcPr>
            <w:tcW w:w="440" w:type="dxa"/>
            <w:noWrap/>
          </w:tcPr>
          <w:p w14:paraId="584C5D49"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4</w:t>
            </w:r>
          </w:p>
        </w:tc>
        <w:tc>
          <w:tcPr>
            <w:tcW w:w="2835" w:type="dxa"/>
          </w:tcPr>
          <w:p w14:paraId="04A3A92B" w14:textId="5BAE98B0"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 Stingeni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{"citationID":"Dsd1Oawi","properties":{"formattedCitation":"\\super [4]\\nosupersub{}","plainCitation":"[4]","noteIndex":0},"citationItems":[{"id":87,"uris":["http://zotero.org/users/local/f4DW1Eli/items/S7SHBJSY"],"itemData":{"id":87,"type":"article-journal","abstract":"BACKGROUND: Moderate-to-severe atopic dermatitis (AD) in the adolescence is a high burden disease, and its treatment can be very challenging due to paucity of  approved systemic drugs for this age and their side-effects. Dupilumab was  recently approved for treatment of adolescent AD. OBJECTIVES: A multicentre,  prospective, real-world study on the effectiveness and safety of dupilumab in  adolescents (aged from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12 to &lt;18 years) with moderate-to-severe AD was  conducted. The main AD clinical phenotypes were also examined. METHODS: Data of  adolescents with moderate-to-severe AD treated with dupilumab at label dosage for  16 weeks were collected. Treatment outcome was assessed by EASI, NRS itch, NRS  sleep loss and CDLQI scores at baseline and after 16 weeks of treatment. The  clinical scores were also evaluated according to clinical phenotypes. RESULTS:  One hundred and thirty-nine adolescents were enrolled in the study. Flexural  eczema and head and neck eczema were the most frequent clinical phenotypes,  followed by hand eczema and portrait-like dermatitis. Coexistence of more than 1  phenotype was documented in 126/139 (88.5%) adolescents. Three patients (2.1%)  contracted asymptomatic SARS-CoV-2 infection and 1 of the discontinued dupilumab  treatment before the target treatment period. A significant improvement in EASI,  NRS itch, NRS sleep loss and CDLQI was observed after 16 weeks of treatment with  dupilumab. This outcome was better than that observed in clinical trials.  Dupilumab resulted effective in all AD phenotypes, especially in diffuse eczema.  Twenty-eight (20.1%) patients reported adverse events, conjunctivitis and  flushing being the most frequent. None of patients discontinued dupilumab due to  adverse event. CONCLUSIONS: Dupilumab in adolescent AD showed excellent  effectiveness at week 16 with consistent improvement of all clinical scores.  Moreover, dupilumab showed a good safety profile also in this COVID-19 pandemic  era.","container-title":"Journal of the European Academy of Dermatology and Venereology : JEADV","DOI":"10.1111/jdv.18141","ISSN":"1468-3083 0926-9959","issue":"8","journalAbbreviation":"J Eur Acad Dermatol Venereol","language":"eng","license":"© 2022 The Authors. Journal of the European Academy of Dermatology and Venereology published by John Wiley &amp; Sons Ltd on behalf of European Academy of  Dermatology and Venereology.","note":"publisher-place: England\nPMID: 35412683 \nPMCID: PMC9542087","page":"1292-1299","title":"Moderate-to-severe atopic dermatitis in adolescents treated with dupilumab: A multicentre Italian real-world experience.","volume":"36","author":[{"family":"Stingeni","given":"L."},{"family":"Bianchi","given":"L."},{"family":"Antonelli","given":"E."},{"family":"Caroppo","given":"E. S."},{"family":"Ferrucci","given":"S. M."},{"family":"Ortoncelli","given":"M."},{"family":"Fabbrocini","given":"G."},{"family":"Nettis","given":"E."},{"family":"Schena","given":"D."},{"family":"Napolitano","given":"M."},{"family":"Gola","given":"M."},{"family":"Bonzano","given":"L."},{"family":"Rossi","given":"M."},{"family":"Belloni Fortina","given":"A."},{"family":"Balato","given":"A."},{"family":"Peris","given":"K."},{"family":"Foti","given":"C."},{"family":"Guarneri","given":"F."},{"family":"Romanelli","given":"M."},{"family":"Patruno","given":"C."},{"family":"Savoia","given":"P."},{"family":"Fargnoli","given":"M. C."},{"family":"Russo","given":"F."},{"family":"Errichetti","given":"E."},{"family":"Bianchelli","given":"T."},{"family":"Bianchi","given":"L."},{"family":"Pellacani","given":"G."},{"family":"Feliciani","given":"C."},{"family":"Offidani","given":"A."},{"family":"Corazza","given":"M."},{"family":"Micali","given":"G."},{"family":"Milanesi","given":"N."},{"family":"Malara","given":"G."},{"family":"Chiricozzi","given":"A."},{"family":"Tramontana","given":"M."},{"family":"Hansel","given":"K."}],"issued":{"date-parts":[["2022",8]]}}}],"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[4]</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Prospective</w:t>
            </w:r>
          </w:p>
        </w:tc>
        <w:tc>
          <w:tcPr>
            <w:tcW w:w="534" w:type="dxa"/>
            <w:noWrap/>
          </w:tcPr>
          <w:p w14:paraId="159D7C7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55BC8A4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567" w:type="dxa"/>
            <w:noWrap/>
          </w:tcPr>
          <w:p w14:paraId="3D12276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7C7E712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19C8FEF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4EE9994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72A9187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5C1BB25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c>
          <w:tcPr>
            <w:tcW w:w="709" w:type="dxa"/>
            <w:noWrap/>
          </w:tcPr>
          <w:p w14:paraId="2D95A73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r w:rsidR="00D1770F" w14:paraId="0595B9E4" w14:textId="77777777">
        <w:trPr>
          <w:trHeight w:val="680"/>
        </w:trPr>
        <w:tc>
          <w:tcPr>
            <w:tcW w:w="440" w:type="dxa"/>
            <w:noWrap/>
          </w:tcPr>
          <w:p w14:paraId="7A5A0FC4"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5</w:t>
            </w:r>
          </w:p>
        </w:tc>
        <w:tc>
          <w:tcPr>
            <w:tcW w:w="2835" w:type="dxa"/>
          </w:tcPr>
          <w:p w14:paraId="6C1BD493" w14:textId="417489BA"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 Stingeni et al,202</w:t>
            </w:r>
            <w:r>
              <w:rPr>
                <w:rFonts w:asciiTheme="minorHAnsi" w:hAnsiTheme="minorHAnsi" w:cstheme="minorHAnsi" w:hint="eastAsia"/>
                <w:color w:val="000000"/>
                <w:kern w:val="0"/>
                <w:sz w:val="22"/>
                <w:szCs w:val="22"/>
              </w:rPr>
              <w:t>2</w:t>
            </w:r>
            <w:r>
              <w:rPr>
                <w:rFonts w:asciiTheme="minorHAnsi" w:hAnsiTheme="minorHAnsi" w:cstheme="minorHAnsi"/>
                <w:color w:val="000000"/>
                <w:kern w:val="0"/>
                <w:sz w:val="22"/>
                <w:szCs w:val="22"/>
              </w:rPr>
              <w:t>,</w:t>
            </w:r>
            <w:r w:rsidR="001A4B5B">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{"citationID":"70xRrnlA","properties":{"formattedCitation":"\\super [5]\\nosupersub{}","plainCitation":"[5]","noteIndex":0},"citationItems":[{"id":132,"uris":["http://zotero.org/users/local/f4DW1Eli/items/YJSJ88YB"],"itemData":{"id":132,"type":"article-journal","container-title":"Journal of the European Academy of Dermatology and Venereology : JEADV","DOI":"10.1111/jdv.18648","ISSN":"1468-3083 0926-9959","issue":"3","journalAbbreviation":"J Eur Acad Dermatol Venereol","language":"eng","note":"publisher-place: England\nPMID: 36225088","page":"e384-e388","title":"A 52-week update of a multicentre Italian real-world experience on effectiveness and safety of dupilumab in adolescents with moderate-to-severe atopic dermatitis.","volume":"37","author":[{"family":"Stingeni","given":"Luca"},{"family":"Bianchi","given":"Leonardo"},{"family":"Antonelli","given":"Elettra"},{"family":"Caroppo","given":"Elena Sofia"},{"family":"Ferrucci","given":"Silvia Mariel"},{"family":"Gurioli","given":"Carlotta"},{"family":"Ortoncelli","given":"Michela"},{"family":"Fabbrocini","given":"Gabriella"},{"family":"Nettis","given":"Eustachio"},{"family":"Schena","given":"Donatella"},{"family":"Napolitano","given":"Maddalena"},{"family":"Gola","given":"Massimo"},{"family":"Bonzano","given":"Laura"},{"family":"Rossi","given":"MariaTeresa"},{"family":"Belloni Fortina","given":"Anna"},{"family":"Balato","given":"Anna"},{"family":"Peris","given":"Ketty"},{"family":"Foti","given":"Caterina"},{"family":"Guarneri","given":"Fabrizio"},{"family":"Romanelli","given":"Marco"},{"family":"Patruno","given":"Cataldo"},{"family":"Savoia","given":"Paola"},{"family":"Esposito","given":"Maria"},{"family":"Russo","given":"Filomena"},{"family":"Errichetti","given":"Enzo"},{"family":"Bianchelli","given":"Tommaso"},{"family":"Bianchi","given":"Luca"},{"family":"Pellacani","given":"Giovanni"},{"family":"Feliciani","given":"Claudio"},{"family":"Offidani","given":"Annamaria"},{"family":"Corazza","given":"Monica"},{"family":"Micali","given":"Giuseppe"},{"family":"Milanesi","given":"Nicola"},{"family":"Malara","given":"Giovanna"},{"family":"Chiricozzi","given":"Andrea"},{"family":"Tramontana","given":"Marta"},{"family":"Hansel","given":"Katharina"}],"issued":{"date-parts":[["2023",3]]}}}],"schema":"https://github.com/citation-style-language/schema/raw/master/csl-citation.json"} </w:instrText>
            </w:r>
            <w:r w:rsidR="001A4B5B">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[5]</w:t>
            </w:r>
            <w:r w:rsidR="001A4B5B">
              <w:rPr>
                <w:rFonts w:asciiTheme="minorHAnsi" w:hAnsiTheme="minorHAnsi" w:cstheme="minorHAnsi"/>
                <w:color w:val="000000"/>
                <w:kern w:val="0"/>
                <w:sz w:val="22"/>
                <w:szCs w:val="22"/>
              </w:rPr>
              <w:fldChar w:fldCharType="end"/>
            </w:r>
            <w:r w:rsidR="001A4B5B">
              <w:rPr>
                <w:rFonts w:asciiTheme="minorHAnsi" w:hAnsiTheme="minorHAnsi" w:cstheme="minorHAnsi"/>
                <w:color w:val="000000"/>
                <w:kern w:val="0"/>
                <w:sz w:val="22"/>
                <w:szCs w:val="22"/>
              </w:rPr>
              <w:t xml:space="preserve"> </w:t>
            </w:r>
            <w:r>
              <w:rPr>
                <w:rFonts w:asciiTheme="minorHAnsi" w:hAnsiTheme="minorHAnsi" w:cstheme="minorHAnsi"/>
                <w:color w:val="000000"/>
                <w:kern w:val="0"/>
                <w:sz w:val="22"/>
                <w:szCs w:val="22"/>
              </w:rPr>
              <w:t>Prospective</w:t>
            </w:r>
          </w:p>
        </w:tc>
        <w:tc>
          <w:tcPr>
            <w:tcW w:w="534" w:type="dxa"/>
            <w:noWrap/>
          </w:tcPr>
          <w:p w14:paraId="02B70DB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4395876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567" w:type="dxa"/>
            <w:noWrap/>
          </w:tcPr>
          <w:p w14:paraId="5A798D6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0431D43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06A67C1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3BF2ACA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67D78FD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53B6E66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c>
          <w:tcPr>
            <w:tcW w:w="709" w:type="dxa"/>
            <w:noWrap/>
          </w:tcPr>
          <w:p w14:paraId="2AB1E47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r w:rsidR="00D1770F" w14:paraId="249A5EF4" w14:textId="77777777">
        <w:trPr>
          <w:trHeight w:val="680"/>
        </w:trPr>
        <w:tc>
          <w:tcPr>
            <w:tcW w:w="440" w:type="dxa"/>
            <w:noWrap/>
          </w:tcPr>
          <w:p w14:paraId="5C091673"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6</w:t>
            </w:r>
          </w:p>
        </w:tc>
        <w:tc>
          <w:tcPr>
            <w:tcW w:w="2835" w:type="dxa"/>
          </w:tcPr>
          <w:p w14:paraId="63AF2393" w14:textId="1FF5E70F"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Angel D. Paganet al,2022,</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{"citationID":"HvnrpstN","properties":{"formattedCitation":"\\super [6]\\nosupersub{}","plainCitation":"[6]","noteIndex":0},"citationItems":[{"id":88,"uris":["http://zotero.org/users/local/f4DW1Eli/items/N2WJNZNT"],"itemData":{"id":88,"type":"article-journal","abstract":"BACKGROUND: Dupilumab has proven safe and effective in children and adolescents with atopic dermatitis (AD) in clinical trials. However, comprehensive real-world  studies in the pediatric AD population are still needed. OBJECTIVE: To  characterize the long-term treatment responses and adverse events of  dupilumab-treated children and adolescents with AD during dermatology follow-up  assessments. METHODS: We reviewed electronic medical records from March 2017 to  September 2021 of moderate to severe AD patients starting dupilumab at less than  age 18 years. Demographics, AD scores (body surface area [BSA], Eczema Area and  Severity Index [EASI], and Investigator's Global Assessment [IGA]) as well as  safety data were collected. RESULTS: A total of 89 patients, 50 females (56.2%)  and 39 males (43.8%), were included. Mean ± SD treatment duration was 1.3 ± 0.9  years. Of these, 73 had score assessments at baseline and weeks 12 to 24. Mean ±  SD improvements in BSA, EASI, and IGA were 63.1% ± 29.2%, 39.6% ± 29.9%, and  59.6% ± 30.7%, respectively. All patients (n = 23) who received dupilumab for 1  year or more achieved 75% improvement in EASI and IGA 0/1, and 60.8% achieved 90%  improvement in EASI. Positive history of atopy was associated with greater  percent improvement in BSA at weeks 12 to 24 (P &lt; .05). Twelve patients had  adverse events (13.5%), of which conjunctivitis (5.6%) and joint pain (2.2%) were  most common. There were no serious adverse events. CONCLUSIONS: Dupilumab was  well-tolerated and effective in treating pediatric and adolescent AD regardless  of age, sex, race, or ethnicity.","container-title":"The journal of allergy and clinical immunology. In practice","DOI":"10.1016/j.jaip.2022.06.014","ISSN":"2213-2201","issue":"9","journalAbbreviation":"J Allergy Clin Immunol Pract","language":"eng","license":"Copyright © 2022 American Academy of Allergy, Asthma &amp; Immunology. Published by Elsevier Inc. All rights reserved.","note":"SC: 0000017 \npublisher-place: United States\nPMID: 35753667","page":"2378-2385","title":"Dupilumab Improves Clinical Scores in Children and Adolescents With Moderate to Severe Atopic Dermatitis: A Real-World, Single-Center Study.","volume":"10","author":[{"family":"Pagan","given":"Angel D."},{"family":"David","given":"Eden"},{"family":"Ungar","given":"Benjamin"},{"family":"Ghalili","given":"Sabrina"},{"family":"He","given":"Helen"},{"family":"Guttman-Yassky","given":"Emma"}],"issued":{"date-parts":[["2022",9]]}}}],"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[6]</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Prospective</w:t>
            </w:r>
          </w:p>
        </w:tc>
        <w:tc>
          <w:tcPr>
            <w:tcW w:w="534" w:type="dxa"/>
            <w:noWrap/>
          </w:tcPr>
          <w:p w14:paraId="50F4AA8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977" w:type="dxa"/>
            <w:noWrap/>
          </w:tcPr>
          <w:p w14:paraId="553EB4A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567" w:type="dxa"/>
            <w:noWrap/>
          </w:tcPr>
          <w:p w14:paraId="61A4C8E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09BB164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6952D15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2936339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1F656BF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10EC9DB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c>
          <w:tcPr>
            <w:tcW w:w="709" w:type="dxa"/>
            <w:noWrap/>
          </w:tcPr>
          <w:p w14:paraId="606BDA1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r w:rsidR="00D1770F" w14:paraId="788D9499" w14:textId="77777777">
        <w:trPr>
          <w:trHeight w:val="1020"/>
        </w:trPr>
        <w:tc>
          <w:tcPr>
            <w:tcW w:w="440" w:type="dxa"/>
            <w:noWrap/>
          </w:tcPr>
          <w:p w14:paraId="51396BC4"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7</w:t>
            </w:r>
          </w:p>
        </w:tc>
        <w:tc>
          <w:tcPr>
            <w:tcW w:w="2835" w:type="dxa"/>
          </w:tcPr>
          <w:p w14:paraId="22E80FBA" w14:textId="6B7EF795"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Mohamed A El-Khalawany et al,2012,</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{"citationID":"HrnKMh0m","properties":{"formattedCitation":"\\super [1]\\nosupersub{}","plainCitation":"[1]","noteIndex":0},"citationItems":[{"id":93,"uris":["http://zotero.org/users/local/f4DW1Eli/items/Q8272IWM"],"itemData":{"id":93,"type":"article-journal","abstract":"Topical therapy is usually of limited benefit in the treatment of severe atopic dermatitis (AD), and the need for a safe and effective systemic treatment may be  required in certain cases especially in children. We evaluated the efficacy and  safety of methotrexate and cyclosporine in the treatment of 40 children with  severe AD. Patients were divided into two groups (each consisting of 20  patients); group A was treated with methotrexate (7.5 mg/week) while group B was  treated with cyclosporine (2.5 mg/kg/day). The severity scoring for atopic  dermatitis (SCORAD) was used to indicate efficacy of treatment. In group A, the  mean SCORAD score at the beginning of the study was 57.90 ± 3.21 that was reduced  at the end of the treatment period to reach 29.35 ± 6.32 with a mean absolute  reduction of 26.25 ± 7.03. In group B, the mean SCORAD score was 56.54 ± 4.82 at  the start of treatment and was 31.35 ± 8.89 at the end of 12 weeks of treatment.  The mean absolute reduction was 25.02 ± 8.21. There was no statistically  significant difference in the reduction of SCORAD score between both groups (P ±  0.93). Mild and temporary adverse effects were reported in some patients in both  groups. CONCLUSION: Methotrexate or cyclosporine in low doses can be considered  as effective, relatively safe, and well-tolerated treatments for severe AD in  children.","container-title":"European journal of pediatrics","DOI":"10.1007/s00431-012-1893-3","ISSN":"1432-1076 0340-6199","issue":"3","journalAbbreviation":"Eur J Pediatr","language":"eng","note":"SC: 0000175 \npublisher-place: Germany\nPMID: 23229188","page":"351-356","title":"Methotrexate versus cyclosporine in the treatment of severe atopic dermatitis in children: a multicenter experience from Egypt.","volume":"172","author":[{"family":"El-Khalawany","given":"Mohamed A."},{"family":"Hassan","given":"Hatem"},{"family":"Shaaban","given":"Dalia"},{"family":"Ghonaim","given":"Noha"},{"family":"Eassa","given":"Bayoumi"}],"issued":{"date-parts":[["2013",3]]}}}],"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Multicenter experience</w:t>
            </w:r>
          </w:p>
        </w:tc>
        <w:tc>
          <w:tcPr>
            <w:tcW w:w="534" w:type="dxa"/>
            <w:noWrap/>
          </w:tcPr>
          <w:p w14:paraId="3BB01E0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77" w:type="dxa"/>
            <w:noWrap/>
          </w:tcPr>
          <w:p w14:paraId="6E7CA2A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567" w:type="dxa"/>
            <w:noWrap/>
          </w:tcPr>
          <w:p w14:paraId="3E78854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309EFAC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992" w:type="dxa"/>
            <w:noWrap/>
          </w:tcPr>
          <w:p w14:paraId="5E08287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7A046A1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NA</w:t>
            </w:r>
          </w:p>
        </w:tc>
        <w:tc>
          <w:tcPr>
            <w:tcW w:w="567" w:type="dxa"/>
            <w:noWrap/>
          </w:tcPr>
          <w:p w14:paraId="1665E10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w:t>
            </w:r>
          </w:p>
        </w:tc>
        <w:tc>
          <w:tcPr>
            <w:tcW w:w="709" w:type="dxa"/>
            <w:noWrap/>
          </w:tcPr>
          <w:p w14:paraId="5D775F4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c>
          <w:tcPr>
            <w:tcW w:w="709" w:type="dxa"/>
            <w:noWrap/>
          </w:tcPr>
          <w:p w14:paraId="478FF3E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_</w:t>
            </w:r>
          </w:p>
        </w:tc>
      </w:tr>
    </w:tbl>
    <w:p w14:paraId="6A8AB90D" w14:textId="77777777" w:rsidR="00D1770F" w:rsidRDefault="00D1770F">
      <w:pPr>
        <w:jc w:val="left"/>
      </w:pPr>
    </w:p>
    <w:p w14:paraId="66EA1125" w14:textId="77777777" w:rsidR="00D1770F" w:rsidRDefault="00D1770F">
      <w:pPr>
        <w:jc w:val="left"/>
      </w:pPr>
    </w:p>
    <w:p w14:paraId="3CA0A816" w14:textId="77777777" w:rsidR="00D1770F" w:rsidRDefault="00D1770F">
      <w:pPr>
        <w:jc w:val="left"/>
      </w:pPr>
    </w:p>
    <w:p w14:paraId="7A5D2031" w14:textId="77777777" w:rsidR="00D1770F" w:rsidRDefault="00D1770F">
      <w:pPr>
        <w:jc w:val="left"/>
      </w:pPr>
    </w:p>
    <w:p w14:paraId="61A8ED96" w14:textId="77777777" w:rsidR="00D1770F" w:rsidRDefault="00D1770F">
      <w:pPr>
        <w:jc w:val="left"/>
      </w:pPr>
    </w:p>
    <w:p w14:paraId="28AF8203" w14:textId="77777777" w:rsidR="00D1770F" w:rsidRDefault="00D1770F">
      <w:pPr>
        <w:jc w:val="left"/>
      </w:pPr>
    </w:p>
    <w:p w14:paraId="701B83DB" w14:textId="77777777" w:rsidR="00D1770F" w:rsidRDefault="00D1770F">
      <w:pPr>
        <w:jc w:val="left"/>
      </w:pPr>
    </w:p>
    <w:p w14:paraId="6A9E4F6F" w14:textId="77777777" w:rsidR="00D1770F" w:rsidRDefault="00D1770F">
      <w:pPr>
        <w:jc w:val="left"/>
      </w:pPr>
    </w:p>
    <w:p w14:paraId="565A3E4C" w14:textId="77777777" w:rsidR="00D1770F" w:rsidRDefault="00D1770F">
      <w:pPr>
        <w:jc w:val="left"/>
      </w:pPr>
    </w:p>
    <w:p w14:paraId="5F14D5CE" w14:textId="77777777" w:rsidR="00D1770F" w:rsidRDefault="00D1770F">
      <w:pPr>
        <w:jc w:val="left"/>
      </w:pPr>
    </w:p>
    <w:p w14:paraId="3D5B24C4" w14:textId="77777777" w:rsidR="00D1770F" w:rsidRDefault="00D1770F">
      <w:pPr>
        <w:jc w:val="left"/>
      </w:pPr>
    </w:p>
    <w:p w14:paraId="6C9E4060" w14:textId="77777777" w:rsidR="00D1770F" w:rsidRDefault="00D1770F">
      <w:pPr>
        <w:jc w:val="left"/>
      </w:pPr>
    </w:p>
    <w:p w14:paraId="0E18A687" w14:textId="77777777" w:rsidR="00D1770F" w:rsidRDefault="00D1770F">
      <w:pPr>
        <w:jc w:val="left"/>
      </w:pPr>
    </w:p>
    <w:p w14:paraId="62B94210" w14:textId="77777777" w:rsidR="00D1770F" w:rsidRDefault="00D1770F">
      <w:pPr>
        <w:jc w:val="left"/>
      </w:pPr>
    </w:p>
    <w:p w14:paraId="7828426A" w14:textId="77777777" w:rsidR="00D1770F" w:rsidRDefault="00D1770F">
      <w:pPr>
        <w:jc w:val="left"/>
      </w:pPr>
    </w:p>
    <w:p w14:paraId="3B88DE36" w14:textId="77777777" w:rsidR="00D1770F" w:rsidRDefault="00000000">
      <w:pPr>
        <w:jc w:val="left"/>
      </w:pPr>
      <w:r>
        <w:t>etable 4. Risk of Bias Assessment of Included Studies According to the Cochrane Risk of Bias Tool</w:t>
      </w:r>
    </w:p>
    <w:p w14:paraId="0CC18148" w14:textId="77777777" w:rsidR="00D1770F" w:rsidRDefault="00D1770F">
      <w:pPr>
        <w:jc w:val="left"/>
      </w:pPr>
    </w:p>
    <w:tbl>
      <w:tblPr>
        <w:tblStyle w:val="a7"/>
        <w:tblpPr w:leftFromText="180" w:rightFromText="180" w:vertAnchor="text" w:horzAnchor="margin" w:tblpXSpec="center" w:tblpY="13"/>
        <w:tblW w:w="11404" w:type="dxa"/>
        <w:tblLook w:val="04A0" w:firstRow="1" w:lastRow="0" w:firstColumn="1" w:lastColumn="0" w:noHBand="0" w:noVBand="1"/>
      </w:tblPr>
      <w:tblGrid>
        <w:gridCol w:w="461"/>
        <w:gridCol w:w="4077"/>
        <w:gridCol w:w="986"/>
        <w:gridCol w:w="843"/>
        <w:gridCol w:w="1275"/>
        <w:gridCol w:w="1134"/>
        <w:gridCol w:w="986"/>
        <w:gridCol w:w="656"/>
        <w:gridCol w:w="986"/>
      </w:tblGrid>
      <w:tr w:rsidR="00D1770F" w14:paraId="62F73BEE" w14:textId="77777777">
        <w:trPr>
          <w:cantSplit/>
          <w:trHeight w:val="2636"/>
        </w:trPr>
        <w:tc>
          <w:tcPr>
            <w:tcW w:w="461" w:type="dxa"/>
            <w:noWrap/>
          </w:tcPr>
          <w:p w14:paraId="76895B74" w14:textId="77777777" w:rsidR="00D1770F" w:rsidRDefault="00D1770F">
            <w:pPr>
              <w:widowControl/>
              <w:jc w:val="left"/>
              <w:rPr>
                <w:rFonts w:asciiTheme="minorHAnsi" w:hAnsiTheme="minorHAnsi" w:cstheme="minorHAnsi"/>
                <w:color w:val="000000"/>
                <w:kern w:val="0"/>
                <w:sz w:val="22"/>
                <w:szCs w:val="22"/>
              </w:rPr>
            </w:pPr>
          </w:p>
        </w:tc>
        <w:tc>
          <w:tcPr>
            <w:tcW w:w="4077" w:type="dxa"/>
            <w:noWrap/>
          </w:tcPr>
          <w:p w14:paraId="0E86691B" w14:textId="77777777" w:rsidR="00D1770F" w:rsidRDefault="00D1770F">
            <w:pPr>
              <w:widowControl/>
              <w:jc w:val="left"/>
              <w:rPr>
                <w:rFonts w:asciiTheme="minorHAnsi" w:hAnsiTheme="minorHAnsi" w:cstheme="minorHAnsi"/>
                <w:color w:val="000000"/>
                <w:kern w:val="0"/>
                <w:sz w:val="22"/>
                <w:szCs w:val="22"/>
              </w:rPr>
            </w:pPr>
          </w:p>
        </w:tc>
        <w:tc>
          <w:tcPr>
            <w:tcW w:w="986" w:type="dxa"/>
            <w:noWrap/>
            <w:textDirection w:val="tbRl"/>
          </w:tcPr>
          <w:p w14:paraId="557ADCF1"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Random sequence generation (selection bias)</w:t>
            </w:r>
          </w:p>
        </w:tc>
        <w:tc>
          <w:tcPr>
            <w:tcW w:w="843" w:type="dxa"/>
            <w:noWrap/>
            <w:textDirection w:val="tbRl"/>
          </w:tcPr>
          <w:p w14:paraId="657AE2DD"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Allocation concealment (selection bias)</w:t>
            </w:r>
          </w:p>
        </w:tc>
        <w:tc>
          <w:tcPr>
            <w:tcW w:w="1275" w:type="dxa"/>
            <w:noWrap/>
            <w:textDirection w:val="tbRl"/>
          </w:tcPr>
          <w:p w14:paraId="365E25E8"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Blinding of participants and personnel (performance bias)</w:t>
            </w:r>
          </w:p>
        </w:tc>
        <w:tc>
          <w:tcPr>
            <w:tcW w:w="1134" w:type="dxa"/>
            <w:noWrap/>
            <w:textDirection w:val="tbRl"/>
          </w:tcPr>
          <w:p w14:paraId="54E10527"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Blinding of outcome assessment (detection bias)</w:t>
            </w:r>
          </w:p>
        </w:tc>
        <w:tc>
          <w:tcPr>
            <w:tcW w:w="986" w:type="dxa"/>
            <w:noWrap/>
            <w:textDirection w:val="tbRl"/>
          </w:tcPr>
          <w:p w14:paraId="578F9B22"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Incomplete outcome data (attrition bias)</w:t>
            </w:r>
          </w:p>
        </w:tc>
        <w:tc>
          <w:tcPr>
            <w:tcW w:w="656" w:type="dxa"/>
            <w:noWrap/>
            <w:textDirection w:val="tbRl"/>
          </w:tcPr>
          <w:p w14:paraId="3B3F4BC2"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Selective reporting (reporting bias)</w:t>
            </w:r>
          </w:p>
        </w:tc>
        <w:tc>
          <w:tcPr>
            <w:tcW w:w="986" w:type="dxa"/>
            <w:noWrap/>
            <w:textDirection w:val="tbRl"/>
          </w:tcPr>
          <w:p w14:paraId="064A143E" w14:textId="77777777" w:rsidR="00D1770F" w:rsidRDefault="00000000">
            <w:pPr>
              <w:widowControl/>
              <w:ind w:left="113" w:right="113"/>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Other bias</w:t>
            </w:r>
          </w:p>
        </w:tc>
      </w:tr>
      <w:tr w:rsidR="00D1770F" w14:paraId="6EFB0FD0" w14:textId="77777777">
        <w:trPr>
          <w:trHeight w:val="336"/>
        </w:trPr>
        <w:tc>
          <w:tcPr>
            <w:tcW w:w="461" w:type="dxa"/>
            <w:noWrap/>
          </w:tcPr>
          <w:p w14:paraId="41C2F626" w14:textId="77777777" w:rsidR="00D1770F" w:rsidRDefault="00D1770F">
            <w:pPr>
              <w:widowControl/>
              <w:jc w:val="left"/>
              <w:rPr>
                <w:rFonts w:asciiTheme="minorHAnsi" w:hAnsiTheme="minorHAnsi" w:cstheme="minorHAnsi"/>
                <w:color w:val="000000"/>
                <w:kern w:val="0"/>
                <w:sz w:val="22"/>
                <w:szCs w:val="22"/>
              </w:rPr>
            </w:pPr>
          </w:p>
        </w:tc>
        <w:tc>
          <w:tcPr>
            <w:tcW w:w="4077" w:type="dxa"/>
            <w:noWrap/>
          </w:tcPr>
          <w:p w14:paraId="6F69DDB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RCT</w:t>
            </w:r>
          </w:p>
        </w:tc>
        <w:tc>
          <w:tcPr>
            <w:tcW w:w="986" w:type="dxa"/>
            <w:noWrap/>
          </w:tcPr>
          <w:p w14:paraId="4B6C252D" w14:textId="77777777" w:rsidR="00D1770F" w:rsidRDefault="00D1770F">
            <w:pPr>
              <w:widowControl/>
              <w:jc w:val="left"/>
              <w:rPr>
                <w:rFonts w:asciiTheme="minorHAnsi" w:hAnsiTheme="minorHAnsi" w:cstheme="minorHAnsi"/>
                <w:color w:val="000000"/>
                <w:kern w:val="0"/>
                <w:sz w:val="22"/>
                <w:szCs w:val="22"/>
              </w:rPr>
            </w:pPr>
          </w:p>
        </w:tc>
        <w:tc>
          <w:tcPr>
            <w:tcW w:w="843" w:type="dxa"/>
            <w:noWrap/>
          </w:tcPr>
          <w:p w14:paraId="0EDB0BE3" w14:textId="77777777" w:rsidR="00D1770F" w:rsidRDefault="00D1770F">
            <w:pPr>
              <w:widowControl/>
              <w:jc w:val="left"/>
              <w:rPr>
                <w:rFonts w:asciiTheme="minorHAnsi" w:eastAsia="Times New Roman" w:hAnsiTheme="minorHAnsi" w:cstheme="minorHAnsi"/>
                <w:kern w:val="0"/>
                <w:sz w:val="20"/>
                <w:szCs w:val="20"/>
              </w:rPr>
            </w:pPr>
          </w:p>
        </w:tc>
        <w:tc>
          <w:tcPr>
            <w:tcW w:w="1275" w:type="dxa"/>
            <w:noWrap/>
          </w:tcPr>
          <w:p w14:paraId="0463C375" w14:textId="77777777" w:rsidR="00D1770F" w:rsidRDefault="00D1770F">
            <w:pPr>
              <w:widowControl/>
              <w:jc w:val="left"/>
              <w:rPr>
                <w:rFonts w:asciiTheme="minorHAnsi" w:eastAsia="Times New Roman" w:hAnsiTheme="minorHAnsi" w:cstheme="minorHAnsi"/>
                <w:kern w:val="0"/>
                <w:sz w:val="20"/>
                <w:szCs w:val="20"/>
              </w:rPr>
            </w:pPr>
          </w:p>
        </w:tc>
        <w:tc>
          <w:tcPr>
            <w:tcW w:w="1134" w:type="dxa"/>
            <w:noWrap/>
          </w:tcPr>
          <w:p w14:paraId="024E17A1" w14:textId="77777777" w:rsidR="00D1770F" w:rsidRDefault="00D1770F">
            <w:pPr>
              <w:widowControl/>
              <w:jc w:val="left"/>
              <w:rPr>
                <w:rFonts w:asciiTheme="minorHAnsi" w:eastAsia="Times New Roman" w:hAnsiTheme="minorHAnsi" w:cstheme="minorHAnsi"/>
                <w:kern w:val="0"/>
                <w:sz w:val="20"/>
                <w:szCs w:val="20"/>
              </w:rPr>
            </w:pPr>
          </w:p>
        </w:tc>
        <w:tc>
          <w:tcPr>
            <w:tcW w:w="986" w:type="dxa"/>
            <w:noWrap/>
          </w:tcPr>
          <w:p w14:paraId="08ED30D7" w14:textId="77777777" w:rsidR="00D1770F" w:rsidRDefault="00D1770F">
            <w:pPr>
              <w:widowControl/>
              <w:jc w:val="left"/>
              <w:rPr>
                <w:rFonts w:asciiTheme="minorHAnsi" w:eastAsia="Times New Roman" w:hAnsiTheme="minorHAnsi" w:cstheme="minorHAnsi"/>
                <w:kern w:val="0"/>
                <w:sz w:val="20"/>
                <w:szCs w:val="20"/>
              </w:rPr>
            </w:pPr>
          </w:p>
        </w:tc>
        <w:tc>
          <w:tcPr>
            <w:tcW w:w="656" w:type="dxa"/>
            <w:noWrap/>
          </w:tcPr>
          <w:p w14:paraId="0E77682D" w14:textId="77777777" w:rsidR="00D1770F" w:rsidRDefault="00D1770F">
            <w:pPr>
              <w:widowControl/>
              <w:jc w:val="left"/>
              <w:rPr>
                <w:rFonts w:asciiTheme="minorHAnsi" w:eastAsia="Times New Roman" w:hAnsiTheme="minorHAnsi" w:cstheme="minorHAnsi"/>
                <w:kern w:val="0"/>
                <w:sz w:val="20"/>
                <w:szCs w:val="20"/>
              </w:rPr>
            </w:pPr>
          </w:p>
        </w:tc>
        <w:tc>
          <w:tcPr>
            <w:tcW w:w="986" w:type="dxa"/>
            <w:noWrap/>
          </w:tcPr>
          <w:p w14:paraId="15E43612" w14:textId="77777777" w:rsidR="00D1770F" w:rsidRDefault="00D1770F">
            <w:pPr>
              <w:widowControl/>
              <w:jc w:val="left"/>
              <w:rPr>
                <w:rFonts w:asciiTheme="minorHAnsi" w:eastAsia="Times New Roman" w:hAnsiTheme="minorHAnsi" w:cstheme="minorHAnsi"/>
                <w:kern w:val="0"/>
                <w:sz w:val="20"/>
                <w:szCs w:val="20"/>
              </w:rPr>
            </w:pPr>
          </w:p>
        </w:tc>
      </w:tr>
      <w:tr w:rsidR="00D1770F" w14:paraId="1BC26936" w14:textId="77777777">
        <w:trPr>
          <w:trHeight w:val="300"/>
        </w:trPr>
        <w:tc>
          <w:tcPr>
            <w:tcW w:w="461" w:type="dxa"/>
            <w:noWrap/>
          </w:tcPr>
          <w:p w14:paraId="309A9AC2"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1</w:t>
            </w:r>
          </w:p>
        </w:tc>
        <w:tc>
          <w:tcPr>
            <w:tcW w:w="4077" w:type="dxa"/>
          </w:tcPr>
          <w:p w14:paraId="362FCDD5" w14:textId="433BEA53" w:rsidR="00D1770F" w:rsidRDefault="00000000">
            <w:pPr>
              <w:pStyle w:val="10"/>
              <w:rPr>
                <w:rFonts w:asciiTheme="minorHAnsi" w:hAnsiTheme="minorHAnsi" w:cstheme="minorHAnsi"/>
              </w:rPr>
            </w:pPr>
            <w:r>
              <w:rPr>
                <w:rFonts w:asciiTheme="minorHAnsi" w:hAnsiTheme="minorHAnsi" w:cstheme="minorHAnsi"/>
              </w:rPr>
              <w:t>Eric L. Simpson et al, 2019,</w:t>
            </w:r>
            <w:r>
              <w:rPr>
                <w:rFonts w:asciiTheme="minorHAnsi" w:hAnsiTheme="minorHAnsi" w:cstheme="minorHAnsi"/>
              </w:rPr>
              <w:fldChar w:fldCharType="begin"/>
            </w:r>
            <w:r w:rsidR="001A4B5B">
              <w:rPr>
                <w:rFonts w:asciiTheme="minorHAnsi" w:hAnsiTheme="minorHAnsi" w:cstheme="minorHAnsi"/>
              </w:rPr>
              <w:instrText xml:space="preserve"> ADDIN ZOTERO_ITEM CSL_CITATION {"citationID":"1iFp0PRT","properties":{"formattedCitation":"\\super [7]\\nosupersub{}","plainCitation":"[7]","noteIndex":0},"citationItems":[{"id":82,"uris":["http://zotero.org/users/local/f4DW1Eli/items/WMUGGB6Q"],"itemData":{"id":82,"type":"article-journal","abstract":"IMPORTANCE: Adolescents with atopic dermatitis (AD) have high disease burden negatively affecting quality of life, with limited treatment options. The  efficacy and safety of dupilumab, a monoclonal antibody, approved for treatment  in adolescent patients with inadequately controlled AD, remain unknown in this  patient population. OBJECTIVE: To assess the efficacy and safety of dupilumab  monotherapy in adolescents with moderate to severe inadequately controlled AD.  DESIGN, SETTING, AND PARTICIPANTS: A randomized, double-blind, parallel-group,  phase 3 clinical trial was conducted at 45 US and Canadian centers between March  21, 2017, and June 5, 2018. A total of 251 adolescents with moderate to severe AD  inadequately controlled by topical medications or for whom topical therapy was  inadvisable were included. INTERVENTIONS: Patients were randomized (1:1:1;  interactive-response system; stratified by severity and body weight) to 16-week  treatment with dupilumab, 200 mg (n = 43; baseline weight &lt;60 kg), or dupilumab,  300 mg (n = 39; baseline weight </w:instrText>
            </w:r>
            <w:r w:rsidR="001A4B5B">
              <w:rPr>
                <w:rFonts w:asciiTheme="minorHAnsi" w:hAnsiTheme="minorHAnsi" w:cstheme="minorHAnsi" w:hint="eastAsia"/>
              </w:rPr>
              <w:instrText>≥</w:instrText>
            </w:r>
            <w:r w:rsidR="001A4B5B">
              <w:rPr>
                <w:rFonts w:asciiTheme="minorHAnsi" w:hAnsiTheme="minorHAnsi" w:cstheme="minorHAnsi"/>
              </w:rPr>
              <w:instrText xml:space="preserve">60 kg), every 2 weeks; dupilumab, 300 mg, every  4 weeks (n = 84); or placebo (n = 85). MAIN OUTCOMES AND MEASURES: Proportion of  patients with 75% or more improvement from baseline in Eczema Area and Severity  Index (EASI-75) (scores range from 0 to 72, with higher scores indicating greater  severity) and Investigator's Global Assessment (IGA) 0 or 1 on a 5-point scale  (scores range from 0 to 4, with higher scores indicating greater severity) at  week 16. RESULTS: A total of 251 patients were randomized (mean [SD] age, 14.5  [1.7] years; 148 [59.0%] male). Of 250 patients with data available on concurrent  allergic conditions, most had comorbid type 2 diseases (asthma, 134 [53.6%]; food  allergies, 60.8%; allergic rhinitis, 65.6%). A total of 240 patients (95.6%)  completed the study. Dupilumab achieved both coprimary end points at week 16. The  proportion of patients with EASI-75 improvement from baseline increased (every 2  weeks, 41.5%; every 4 weeks, 38.1%; placebo, 8.2%) with differences vs placebo of  33.2% (95% CI, 21.1%-45.4%) for every 2 weeks and 29.9% (95% CI, 17.9%-41.8%) for  every 4 weeks (P &lt; .001). Efficacy of the every-2-week regimen was generally  superior to the every-4-week regimen. Patients in the dupilumab arms had higher  percentage values of conjunctivitis (every 2 weeks, 9.8%; every 4 weeks, 10.8%;  placebo, 4.7%) and injection-site reactions (every 2 weeks, 8.5%; every 4 weeks,  6.0%; placebo, 3.5%), and lower nonherpetic skin infections (every 2 weeks, 9.8%;  every 4 weeks, 9.6%; placebo, 18.8%). CONCLUSIONS AND RELEVANCE: In this study,  dupilumab significantly improved AD signs, symptoms, and quality of life in  adolescents with moderate to severe AD, with an acceptable safety profile.  Placebo-corrected efficacy and safety of dupilumab were similar in adolescents  and adults. TRIAL REGISTRATION: ClinicalTrials.gov identifier: NCT03054428.","container-title":"JAMA dermatology","DOI":"10.1001/jamadermatol.2019.3336","ISSN":"2168-6084 2168-6068","issue":"1","journalAbbreviation":"JAMA Dermatol","language":"eng","note":"SC: 0000356 \npublisher-place: United States\nPMID: 31693077 \nPMCID: PMC6865265","page":"44-56","title":"Efficacy and Safety of Dupilumab in Adolescents With Uncontrolled Moderate to Severe Atopic Dermatitis: A Phase 3 Randomized Clinical Trial.","volume":"156","author":[{"family":"Simpson","given":"Eric L."},{"family":"Paller","given":"Amy S."},{"family":"Siegfried","given":"Elaine C."},{"family":"Boguniewicz","given":"Mark"},{"family":"Sher","given":"Lawrence"},{"family":"Gooderham","given":"Melinda J."},{"family":"Beck","given":"Lisa A."},{"family":"Guttman-Yassky","given":"Emma"},{"family":"Pariser","given":"David"},{"family":"Blauvelt","given":"Andrew"},{"family":"Weisman","given":"Jamie"},{"family":"Lockshin","given":"Benjamin"},{"family":"Hultsch","given":"Thomas"},{"family":"Zhang","given":"Qin"},{"family":"Kamal","given":"Mohamed A."},{"family":"Davis","given":"John D."},{"family":"Akinlade","given":"Bolanle"},{"family":"Staudinger","given":"Heribert"},{"family":"Hamilton","given":"Jennifer D."},{"family":"Graham","given":"Neil M. H."},{"family":"Pirozzi","given":"Gianluca"},{"family":"Gadkari","given":"Abhijit"},{"family":"Eckert","given":"Laurent"},{"family":"Stahl","given":"Neil"},{"family":"Yancopoulos","given":"George D."},{"family":"Ruddy","given":"Marcella"},{"family":"Bansal","given":"Ashish"}],"issued":{"date-parts":[["2020",1,1]]}}}],"schema":"https://github.com/citation-style-language/schema/raw/master/csl-citation.json"} </w:instrText>
            </w:r>
            <w:r>
              <w:rPr>
                <w:rFonts w:asciiTheme="minorHAnsi" w:hAnsiTheme="minorHAnsi" w:cstheme="minorHAnsi"/>
              </w:rPr>
              <w:fldChar w:fldCharType="separate"/>
            </w:r>
            <w:r w:rsidR="001A4B5B" w:rsidRPr="001A4B5B">
              <w:rPr>
                <w:rFonts w:hAnsiTheme="minorHAnsi" w:cs="Calibri"/>
                <w:kern w:val="0"/>
                <w:vertAlign w:val="superscript"/>
              </w:rPr>
              <w:t>[7]</w:t>
            </w:r>
            <w:r>
              <w:rPr>
                <w:rFonts w:asciiTheme="minorHAnsi" w:hAnsiTheme="minorHAnsi" w:cstheme="minorHAnsi"/>
              </w:rPr>
              <w:fldChar w:fldCharType="end"/>
            </w:r>
            <w:r>
              <w:rPr>
                <w:rFonts w:asciiTheme="minorHAnsi" w:hAnsiTheme="minorHAnsi" w:cstheme="minorHAnsi"/>
              </w:rPr>
              <w:t xml:space="preserve"> </w:t>
            </w:r>
          </w:p>
          <w:p w14:paraId="62F8378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RCT-Phase3</w:t>
            </w:r>
          </w:p>
        </w:tc>
        <w:tc>
          <w:tcPr>
            <w:tcW w:w="986" w:type="dxa"/>
            <w:shd w:val="clear" w:color="auto" w:fill="92D050"/>
            <w:noWrap/>
          </w:tcPr>
          <w:p w14:paraId="6777E78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7DF9EE9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784250A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231CC2A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21644C1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1FC917B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0A02BF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6A639666" w14:textId="77777777">
        <w:trPr>
          <w:trHeight w:val="460"/>
        </w:trPr>
        <w:tc>
          <w:tcPr>
            <w:tcW w:w="461" w:type="dxa"/>
            <w:noWrap/>
          </w:tcPr>
          <w:p w14:paraId="0C4AF9FD"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2</w:t>
            </w:r>
          </w:p>
        </w:tc>
        <w:tc>
          <w:tcPr>
            <w:tcW w:w="4077" w:type="dxa"/>
          </w:tcPr>
          <w:p w14:paraId="336514D2" w14:textId="3FA6CBD6"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M.J. Cork et al,2022, </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{"citationID":"tCV4M2BX","properties":{"formattedCitation":"\\super [2]\\nosupersub{}","plainCitation":"[2]","noteIndex":0},"citationItems":[{"id":74,"uris":["http://zotero.org/users/local/f4DW1Eli/items/3UJWT9EP"],"itemDat</w:instrText>
            </w:r>
            <w:r w:rsidR="001A4B5B">
              <w:rPr>
                <w:rFonts w:asciiTheme="minorHAnsi" w:hAnsiTheme="minorHAnsi" w:cstheme="minorHAnsi" w:hint="eastAsia"/>
                <w:color w:val="000000"/>
                <w:kern w:val="0"/>
                <w:sz w:val="22"/>
                <w:szCs w:val="22"/>
              </w:rPr>
              <w:instrText xml:space="preserve">a":{"id":74,"type":"article-journal","abstract":"BACKGROUND: Dupilumab (monoclonal antibody inhibiting IL-4/IL-13 signalling) is approved for use in adolescents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12 years with inadequately controlled  moderate-to-severe atopic dermatitis (AD). Dupil</w:instrText>
            </w:r>
            <w:r w:rsidR="001A4B5B">
              <w:rPr>
                <w:rFonts w:asciiTheme="minorHAnsi" w:hAnsiTheme="minorHAnsi" w:cstheme="minorHAnsi"/>
                <w:color w:val="000000"/>
                <w:kern w:val="0"/>
                <w:sz w:val="22"/>
                <w:szCs w:val="22"/>
              </w:rPr>
              <w:instrText xml:space="preserve">umab significantly improved AD  signs/symptoms in a 16-week, randomised, placebo-controlled phase III trial in  adolescents (NCT03054428). OBJECTIVES: To characterize the pharmacokinetics of  dupilumab, and long-term safety and efficacy in adolescents. METHODS: This was a  global, multicentre, phase IIa, open-label, ascending-dose, sequential cohort  study with a phase III open-label extension (OLE) in adolescents with  moderate-to-severe AD. In the phase IIa study, patients received one dupilumab  dose (2 mg kg(-1) or 4 mg kg(-1) ) and 8 weeks of pharmacokinetic sampling.  Thereafter, patients received the same dose weekly for 4 weeks, with 8-week  safety follow-up. Patients then enrolled in the OLE, continuing 2 mg kg(-1) or 4  mg kg(-1) dupilumab weekly. Primary end points were dupilumab concentration-time  profile and incidence of treatment-emergent adverse events (TEAEs). Secondary  outcomes included Eczema Area and Severity Index (EASI). RESULTS: Forty  adolescents received dupilumab in the phase IIa study; 36 enrolled in the OLE.  Dupilumab showed nonlinear, target-mediated pharmacokinetics. Mean ± SD trough  dupilumab concentrations in serum at week 48 (OLE) were 74 ± 19 mg L(-1) and 161  ± 60 mg L(-1) for 2 mg kg(-1) and 4 mg kg(-1) , respectively. Dupilumab was well  tolerated over 52 weeks; the most common TEAEs were nasopharyngitis (week 52: 41%  [2 mg kg(-1) ], 47% [4 mg kg(-1) ]) and AD exacerbation (29%, 42%). After one  dupilumab dose in the phase IIa study, EASI improved from baseline to week 2  [mean ± SD reduction -34% ± 20% (2 mg kg(-1) ) and -51% ± 29% (4 mg kg(-1) )].  With continuing treatment, EASI scores improved further [week 52: -85% ± 12% (2  mg kg(-1) ) and -84% ± 20% (4 mg kg(-1) )]. CONCLUSIONS: In adolescents with  moderate-to-severe AD, dupilumab's pharmacokinetic profile was similar to that in  adults. These 52-week safety and efficacy data support long-term use of dupilumab  in this patient population. What's already known about this topic? Adolescents  with moderate-to-severe atopic dermatitis (AD) have high unmet medical need, with  significant disease burden and limited treatment options. Dupilumab (monoclonal  antibody against interleukin-4 receptor α) is approved for the treatment of  adolescents with moderate-to-severe AD who are inadequately responsive to  standard of care (U.S.A.) or candidates for systemic therapy (European Union). A  16-week, randomized, placebo-controlled phase III trial in adolescents  demonstrated significant improvements in AD signs/symptoms with an acceptable  safety profile. What does this study add? These studies demonstrate the long-term  safety and efficacy of dupilumab in adolescents with moderate-to-severe AD for up  to 52 weeks of treatment, thus extending and reinforcing the findings from the  16-week dupilumab phase III trial. The data from these studies also support the  use of dupilumab in combination with current standard of care (topical  corticosteroids), which was not evaluated in the 16-week phase III monotherapy  trial.","container-title":"The British journal of dermatology","DOI":"10.1111/bjd.18476","ISSN":"1365-2133 0007-0963","issue":"1","journalAbbreviation":"Br J Dermatol","language":"eng","license":"© 2019 The Authors. British Journal of Dermatology published by John Wiley &amp; Sons Ltd on behalf of British Association of Dermatologists.","note":"SC: 0000126 \npublisher-place: England\nPMID: 31595499 \nPMCID: PMC6972638","page":"85-96","title":"Dupilumab in adolescents with uncontrolled moderate-to-severe atopic dermatitis: results from a phase IIa open-label trial and subsequent phase III open-label  extension.","volume":"182","author":[{"family":"Cork","given":"M. J."},{"family":"Thaçi","given":"D."},{"family":"Eichenfield","given":"L. F."},{"family":"Arkwright","given":"P. D."},{"family":"Hultsch","given":"T."},{"family":"Davis","given":"J. D."},{"family":"Zhang","given":"Y."},{"family":"Zhu","given":"X."},{"family":"Chen","given":"Z."},{"family":"Li","given":"M."},{"family":"Ardeleanu","given":"M."},{"family":"Teper","given":"A."},{"family":"Akinlade","given":"B."},{"family":"Gadkari","given":"A."},{"family":"Eckert","given":"L."},{"family":"Kamal","given":"M. A."},{"family":"Ruddy","given":"M."},{"family":"Graham","given":"N. M. H."},{"family":"Pirozzi","given":"G."},{"family":"Stahl","given":"N."},{"family":"DiCioccio","given":"A. T."},{"family":"Bansal","given":"A."}],"issued":{"date-parts":[["2020",1]]}}}],"schema":"https://github.com/citation-style-language/schema/raw/master/csl-citation.json"}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[2]</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RCT-Phase2</w:t>
            </w:r>
          </w:p>
        </w:tc>
        <w:tc>
          <w:tcPr>
            <w:tcW w:w="986" w:type="dxa"/>
            <w:shd w:val="clear" w:color="auto" w:fill="92D050"/>
            <w:noWrap/>
          </w:tcPr>
          <w:p w14:paraId="47DC9D6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7590850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FFFF00"/>
            <w:noWrap/>
          </w:tcPr>
          <w:p w14:paraId="444D1E1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unclear risk</w:t>
            </w:r>
          </w:p>
        </w:tc>
        <w:tc>
          <w:tcPr>
            <w:tcW w:w="1134" w:type="dxa"/>
            <w:shd w:val="clear" w:color="auto" w:fill="92D050"/>
            <w:noWrap/>
          </w:tcPr>
          <w:p w14:paraId="5D880E3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4796B7E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7C1A549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192CE54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300DC8CB" w14:textId="77777777">
        <w:trPr>
          <w:trHeight w:val="320"/>
        </w:trPr>
        <w:tc>
          <w:tcPr>
            <w:tcW w:w="461" w:type="dxa"/>
            <w:noWrap/>
          </w:tcPr>
          <w:p w14:paraId="098DB235"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3</w:t>
            </w:r>
          </w:p>
        </w:tc>
        <w:tc>
          <w:tcPr>
            <w:tcW w:w="4077" w:type="dxa"/>
          </w:tcPr>
          <w:p w14:paraId="1BFA44FE" w14:textId="704BCD81"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Andreas WOLLENBERG et al,2020,</w:t>
            </w:r>
            <w:r>
              <w:rPr>
                <w:rFonts w:asciiTheme="minorHAnsi" w:hAnsiTheme="minorHAnsi" w:cstheme="minorHAnsi"/>
                <w:color w:val="000000"/>
                <w:kern w:val="0"/>
                <w:sz w:val="22"/>
                <w:szCs w:val="22"/>
                <w:vertAlign w:val="superscript"/>
              </w:rPr>
              <w:t xml:space="preserve"> </w:t>
            </w:r>
            <w:r>
              <w:rPr>
                <w:rFonts w:asciiTheme="minorHAnsi" w:hAnsiTheme="minorHAnsi" w:cstheme="minorHAnsi"/>
                <w:color w:val="000000"/>
                <w:kern w:val="0"/>
                <w:sz w:val="22"/>
                <w:szCs w:val="22"/>
                <w:vertAlign w:val="superscript"/>
              </w:rPr>
              <w:fldChar w:fldCharType="begin"/>
            </w:r>
            <w:r w:rsidR="001A4B5B">
              <w:rPr>
                <w:rFonts w:asciiTheme="minorHAnsi" w:hAnsiTheme="minorHAnsi" w:cstheme="minorHAnsi"/>
                <w:color w:val="000000"/>
                <w:kern w:val="0"/>
                <w:sz w:val="22"/>
                <w:szCs w:val="22"/>
                <w:vertAlign w:val="superscript"/>
              </w:rPr>
              <w:instrText xml:space="preserve"> ADDIN ZOTERO_ITEM CSL_CITATION {"citationID":"Kx8LKQJ1","properties":{"formattedCitation":"\\super [8]\\nosupersub{}","plainCitation":"[8]","noteIndex":0},"citationItems":[{"id":84,"uris":["http://zotero.org/users/local/f4DW1Eli/items/TXF6E2GF"],"itemData":{"id":84,"type":"article-journal","abstract":"BACKGROUND: For adolescent patients (aged </w:instrText>
            </w:r>
            <w:r w:rsidR="001A4B5B">
              <w:rPr>
                <w:rFonts w:asciiTheme="minorHAnsi" w:hAnsiTheme="minorHAnsi" w:cstheme="minorHAnsi" w:hint="eastAsia"/>
                <w:color w:val="000000"/>
                <w:kern w:val="0"/>
                <w:sz w:val="22"/>
                <w:szCs w:val="22"/>
                <w:vertAlign w:val="superscript"/>
              </w:rPr>
              <w:instrText>≥</w:instrText>
            </w:r>
            <w:r w:rsidR="001A4B5B">
              <w:rPr>
                <w:rFonts w:asciiTheme="minorHAnsi" w:hAnsiTheme="minorHAnsi" w:cstheme="minorHAnsi"/>
                <w:color w:val="000000"/>
                <w:kern w:val="0"/>
                <w:sz w:val="22"/>
                <w:szCs w:val="22"/>
                <w:vertAlign w:val="superscript"/>
              </w:rPr>
              <w:instrText xml:space="preserve"> 12 to &lt; 18 years) with uncontrolled moderate-to-severe atopic dermatitis (AD), 16 weeks of treatment with dupilumab  resulted in substantial clinical benefit compared with placebo, with an  acceptable safety profile. However, long-term data on the approved dose regimens  of dupilumab in adolescents with AD are lacking. OBJECTIVES: This open-label  extension study (LIBERTY AD PED-OLE, NCT02612454) reports the long-term safety,  efficacy, and pharmacokinetics of dupilumab in adolescents with  moderate-to-severe AD who had participated in dupilumab parent trials. METHODS:  Patients enrolled under the original study protocol received subcutaneous  dupilumab according to a weight-based regimen (2 or 4 mg/kg every week).  Following protocol amendment, patients were switched to subcutaneous dupilumab  300 mg every 4 weeks (q4w) irrespective of weight, and newly enrolled patients  were started on dupilumab 300 mg q4w. Patients with an inadequate clinical  response (Investigator's Global Assessment [IGA] score of 0/1 was not reached) to  the q4w regimen could be uptitrated to the approved dupilumab dose regimens of  200 or 300 mg every 2 weeks (body weight &lt; 60 or </w:instrText>
            </w:r>
            <w:r w:rsidR="001A4B5B">
              <w:rPr>
                <w:rFonts w:asciiTheme="minorHAnsi" w:hAnsiTheme="minorHAnsi" w:cstheme="minorHAnsi" w:hint="eastAsia"/>
                <w:color w:val="000000"/>
                <w:kern w:val="0"/>
                <w:sz w:val="22"/>
                <w:szCs w:val="22"/>
                <w:vertAlign w:val="superscript"/>
              </w:rPr>
              <w:instrText>≥</w:instrText>
            </w:r>
            <w:r w:rsidR="001A4B5B">
              <w:rPr>
                <w:rFonts w:asciiTheme="minorHAnsi" w:hAnsiTheme="minorHAnsi" w:cstheme="minorHAnsi"/>
                <w:color w:val="000000"/>
                <w:kern w:val="0"/>
                <w:sz w:val="22"/>
                <w:szCs w:val="22"/>
                <w:vertAlign w:val="superscript"/>
              </w:rPr>
              <w:instrText xml:space="preserve"> 60 kg, respectively). Patients  whose IGA score of 0/1 was maintained continuously for a 12-week period after  week 40 were discontinued from dupilumab, monitored for relapse, and re-initiated  on dupilumab if required. RESULTS: Data for 294 patients (mean age 14.7 years)  were analyzed, 102 (34.7%) of whom had completed the 52-week visit at the  database lock. The dupilumab long-term safety profile was comparable to that seen  in adults and consistent with the known safety profile. Most treatment-emergent  adverse events were mild/moderate. By week 52, 42.7% of patients had an IGA score  of 0/1 (clear/almost clear), and 93.1%, 81.2%, and 56.4%, respectively, had at  least a 50%, 75%, or 90% improvement in Eczema Area and Severity Index (EASI).  Most (70.9%) patients required uptitration to the approved dupilumab dose  regimen. The proportions of uptitrated patients with an IGA score of 0/1 or 75%  improvement in EASI increased over time, reaching 35.7% and 51.9%, respectively,  48 weeks after the first uptitration visit. By week 52, 29.4% of patients had  clear/almost clear skin sustained for 12 weeks and had stopped medication; 56.7%  relapsed and were subsequently re-initiated on treatment, with a mean time to  re-initiation of 17.5 (± standard deviation 17.3) weeks. CONCLUSIONS: Consistent  with results seen with short-term treatment, long-term treatment with dupilumab  showed an acceptable safety profile while providing incremental clinical benefit  with continued treatment over time. The high proportion of patients who needed  uptitration because of inadequate response to q4w dosing supports the q2w dose  regimen as optimal for this age group. Finally, the majority of patients who  stopped medication after having clear/almost clear skin sustained over 12 weeks  experienced disease recurrence, suggesting the need for continued dupilumab  dosing to maintain efficacy. TRIAL REGISTRATION: ClinicalTrials.gov Identifiers:  NCT02612454, NCT02407756, NCT03054428, and NCT03050151. INFOGRAPHIC: Video  abstract: What is the long-term safety and efficacy profile in adolescents with  moderate-to-severe atopic dermatitis treated with the approved dupilumab dose  regimen? (MP4 40,966 KB).","language":"eng","license":"© 2022. The Author(s).","note":"SC: 0000032 \nDOI: 10.1007/s40257-022-00683-2\nISSN: 1179-1888 1175-0561\nissue: 3\njournalAbbreviation: Am J Clin Dermatol\npage: 365-383\ncontainer-title: American journal of clinical dermatology\nPMID: 35567671 \nPMCID: PMC9142443","title":"Long-Term Efficacy and Safety of Dupilumab in Adolescents with Moderate-to-Severe Atopic Dermatitis: Results Through Week 52 from a Phase III Open-Label Extension  Trial (LIBERTY AD PED-OLE).","volume":"23","author":[{"family":"Blauvelt","given":"Andrew"},{"family":"Guttman-Yassky","given":"Emma"},{"family":"Paller","given":"Amy S."},{"family":"Simpson","given":"Eric L."},{"family":"Cork","given":"Michael J."},{"family":"Weisman","given":"Jamie"},{"family":"Browning","given":"John"},{"family":"Soong","given":"Weily"},{"family":"Sun","given":"Xian"},{"family":"Chen","given":"Zhen"},{"family":"Kosloski","given":"Matthew P."},{"family":"Kamal","given":"Mohamed A."},{"family":"Delevry","given":"Dimittri"},{"family":"Chuang","given":"Chien-Chia"},{"family":"O'Malley","given":"John T."},{"family":"Bansal","given":"Ashish"}],"issued":{"date-parts":[["2022",5]]}}}],"schema":"https://github.com/citation-style-language/schema/raw/master/csl-citation.json"} </w:instrText>
            </w:r>
            <w:r>
              <w:rPr>
                <w:rFonts w:asciiTheme="minorHAnsi" w:hAnsiTheme="minorHAnsi" w:cstheme="minorHAnsi"/>
                <w:color w:val="000000"/>
                <w:kern w:val="0"/>
                <w:sz w:val="22"/>
                <w:szCs w:val="22"/>
                <w:vertAlign w:val="superscript"/>
              </w:rPr>
              <w:fldChar w:fldCharType="separate"/>
            </w:r>
            <w:r w:rsidR="001A4B5B" w:rsidRPr="001A4B5B">
              <w:rPr>
                <w:rFonts w:hAnsiTheme="minorHAnsi" w:cs="Calibri"/>
                <w:color w:val="000000"/>
                <w:kern w:val="0"/>
                <w:sz w:val="22"/>
                <w:vertAlign w:val="superscript"/>
              </w:rPr>
              <w:t>[8]</w:t>
            </w:r>
            <w:r>
              <w:rPr>
                <w:rFonts w:asciiTheme="minorHAnsi" w:hAnsiTheme="minorHAnsi" w:cstheme="minorHAnsi"/>
                <w:color w:val="000000"/>
                <w:kern w:val="0"/>
                <w:sz w:val="22"/>
                <w:szCs w:val="22"/>
                <w:vertAlign w:val="superscript"/>
              </w:rPr>
              <w:fldChar w:fldCharType="end"/>
            </w:r>
            <w:r>
              <w:rPr>
                <w:rFonts w:asciiTheme="minorHAnsi" w:hAnsiTheme="minorHAnsi" w:cstheme="minorHAnsi"/>
                <w:color w:val="000000"/>
                <w:kern w:val="0"/>
                <w:sz w:val="22"/>
                <w:szCs w:val="22"/>
              </w:rPr>
              <w:t>RCT-Phase3</w:t>
            </w:r>
          </w:p>
        </w:tc>
        <w:tc>
          <w:tcPr>
            <w:tcW w:w="986" w:type="dxa"/>
            <w:shd w:val="clear" w:color="auto" w:fill="92D050"/>
            <w:noWrap/>
          </w:tcPr>
          <w:p w14:paraId="6B357E6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7E3FA6E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6AF322F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0C91545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3E5D7C2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236FAE6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E82193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626E1B5C" w14:textId="77777777">
        <w:trPr>
          <w:trHeight w:val="520"/>
        </w:trPr>
        <w:tc>
          <w:tcPr>
            <w:tcW w:w="461" w:type="dxa"/>
            <w:noWrap/>
          </w:tcPr>
          <w:p w14:paraId="1BDCD29D"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4</w:t>
            </w:r>
          </w:p>
        </w:tc>
        <w:tc>
          <w:tcPr>
            <w:tcW w:w="4077" w:type="dxa"/>
          </w:tcPr>
          <w:p w14:paraId="018893B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Amy S Paller et al,2022,</w:t>
            </w:r>
            <w:r>
              <w:rPr>
                <w:rFonts w:asciiTheme="minorHAnsi" w:hAnsiTheme="minorHAnsi" w:cstheme="minorHAnsi"/>
                <w:color w:val="000000"/>
                <w:kern w:val="0"/>
                <w:sz w:val="22"/>
                <w:szCs w:val="22"/>
              </w:rPr>
              <w:fldChar w:fldCharType="begin"/>
            </w:r>
            <w:r>
              <w:rPr>
                <w:rFonts w:asciiTheme="minorHAnsi" w:hAnsiTheme="minorHAnsi" w:cstheme="minorHAnsi"/>
                <w:color w:val="000000"/>
                <w:kern w:val="0"/>
                <w:sz w:val="22"/>
                <w:szCs w:val="22"/>
              </w:rPr>
              <w:instrText xml:space="preserve"> ADDIN ZOTERO_ITEM CSL_CITATION {"citationID":"izu7CwDG","properties":{"formattedCitation":"\\super [9]\\nosupersub{}","plainCitation":"[9]","noteIndex":0},"citationItems":[{"id":89,"uris":["http://zotero.org/users/local/f4DW1Eli/items/8EK56LEU"],"itemData":{"id":89,"type":"article-journal","abstract":"BACKGROUND: Current systemic treatments for children younger than 6 years with moderate-to-severe atopic dermatitis that is uncontrolled with topical therapies  might have suboptimal efficacy and safety. Dupilumab is approved for older  children and adults with atopic dermatitis and for other type 2 inflammatory  conditions. We aimed to evaluate efficacy and safety of dupilumab with  concomitant low-potency topical corticosteroids in children aged 6 months to  younger than 6 years with moderate-to-severe atopic dermatitis. METHODS: This  randomised, double-blind, placebo-controlled, parallel-group, phase 3 trial was  conducted in 31 hospitals, clinics, and academic institutions in Europe and North  America. Eligible patients were aged 6 months to younger than 6 years, with  moderate-to-severe atopic dermatitis (Investigator's Global Assessment [IGA]  score 3-4) diagnosed according to consensus criteria of the American Academy of  Dermatology, and an inadequate response to topical corticosteroids. Patients were  randomly assigned (1:1) to subcutaneous placebo or dupilumab (bodyweight ≥5 kg to  &lt;15 kg: 200 mg; bodyweight ≥15 kg to &lt;30 kg: 300 mg) every 4 weeks plus  low-potency topical corticosteroids (hydrocortisone acetate 1% cream) for 16  weeks. Randomisation was stratified by age, baseline bodyweight, and region.  Patient allocation was done via a central interactive web response system, and  treatment allocation was masked. The primary endpoint at week 16 was the  proportion of patients with IGA score 0-1 (clear or almost clear skin). The key  secondary endpoint (coprimary endpoint for the EU and EU reference market) at  week 16 was the proportion of patients with at least a 75% improvement from  baseline in Eczema Area and Severity Index (EASI-75). Primary analyses were done  in the full analysis set (ie, all randomly assigned patients, as randomly  assigned) and safety analyses were done in all patients who received any study  drug. This study was registered with ClinicalTrials.gov, NCT03346434. FINDINGS:  Between June 30, 2020, and Feb 12, 2021, 197 patients were screened for  eligibility, 162 of whom were randomly assigned to receive dupilumab (n=83) or  placebo (n=79) plus topical corticosteroids. At week 16, significantly more  patients in the dupilumab group than in the placebo group had IGA 0-1 (23 [28%]  vs three [4%], difference 24% [95% CI 13-34]; p&lt;0·0001) and EASI-75 (44 [53%] vs  eight [11%], difference 42% [95% CI 29-55]; p&lt;0·0001). Overall prevalence of  adverse events was similar in the dupilumab group (53 [64%] of 83 patients) and  placebo group (58 [74%] of 78 patients). Conjunctivitis incidence was higher in  the dupilumab group (four [5%]) than the placebo group (none). No  dupilumab-related adverse events were serious or led to treatment  discontinuation. INTERPRETATION: Dupilumab significantly improved atopic  dermatitis signs and symptoms versus placebo in children younger than 6 years.  Dupilumab was well tolerated and showed an acceptable safety profile, similar to  results in older children and adults. FUNDING: Sanofi and Regeneron  Pharmaceuticals.","container-title":"Lancet (London, England)","DOI":"10.1016/S0140-6736(22)01539-2","ISSN":"1474-547X 0140-6736","issue":"10356","journalAbbreviation":"Lancet","language":"eng","license":"Copyright © 2022 Elsevier Ltd. All rights reserved.","note":"SC: 0000058 \npublisher-place: England\nPMID: 36116481","page":"908-919","title":"Dupilumab in children aged 6 months to younger than 6 years with uncontrolled atopic dermatitis: a randomised, double-blind, placebo-controlled, phase 3 trial.","volume":"400","author":[{"family":"Paller","given":"Amy S."},{"family":"Simpson","given":"Eric L."},{"family":"Siegfried","given":"Elaine C."},{"family":"Cork","given":"Michael J."},{"family":"Wollenberg","given":"Andreas"},{"family":"Arkwright","given":"Peter D."},{"family":"Soong","given":"Weily"},{"family":"Gonzalez","given":"Mercedes E."},{"family":"Schneider","given":"Lynda C."},{"family":"Sidbury","given":"Robert"},{"family":"Lockshin","given":"Benjamin"},{"family":"Meltzer","given":"Steven"},{"family":"Wang","given":"Zhixiao"},{"family":"Mannent","given":"Leda P."},{"family":"Amin","given":"Nikhil"},{"family":"Sun","given":"Yiping"},{"family":"Laws","given":"Elizabeth"},{"family":"Akinlade","given":"Bolanle"},{"family":"Dillon","given":"Myles"},{"family":"Kosloski","given":"Matthew P."},{"family":"Kamal","given":"Mohamed A."},{"family":"Dubost-Brama","given":"Ariane"},{"family":"Patel","given":"Naimish"},{"family":"Weinreich","given":"David M."},{"family":"Yancopoulos","given":"George D."},{"family":"O'Malley","given":"John T."},{"family":"Bansal","given":"Ashish"}],"issued":{"date-parts":[["2022",9,17]]}}}],"schema":"https://github.com/citation-style-language/schema/raw/master/csl-citation.json"} </w:instrText>
            </w:r>
            <w:r>
              <w:rPr>
                <w:rFonts w:asciiTheme="minorHAnsi" w:hAnsiTheme="minorHAnsi" w:cstheme="minorHAnsi"/>
                <w:color w:val="000000"/>
                <w:kern w:val="0"/>
                <w:sz w:val="22"/>
                <w:szCs w:val="22"/>
              </w:rPr>
              <w:fldChar w:fldCharType="separate"/>
            </w:r>
            <w:r>
              <w:rPr>
                <w:rFonts w:asciiTheme="minorHAnsi" w:hAnsiTheme="minorHAnsi" w:cstheme="minorHAnsi"/>
                <w:color w:val="000000"/>
                <w:kern w:val="0"/>
                <w:sz w:val="22"/>
                <w:vertAlign w:val="superscript"/>
              </w:rPr>
              <w:t>[9]</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RCT-Phase3</w:t>
            </w:r>
          </w:p>
        </w:tc>
        <w:tc>
          <w:tcPr>
            <w:tcW w:w="986" w:type="dxa"/>
            <w:shd w:val="clear" w:color="auto" w:fill="92D050"/>
            <w:noWrap/>
          </w:tcPr>
          <w:p w14:paraId="6F97ED0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326C468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7EDACED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2B3EA6A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FFFF00"/>
            <w:noWrap/>
          </w:tcPr>
          <w:p w14:paraId="1D8B977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unclear risk</w:t>
            </w:r>
          </w:p>
        </w:tc>
        <w:tc>
          <w:tcPr>
            <w:tcW w:w="656" w:type="dxa"/>
            <w:shd w:val="clear" w:color="auto" w:fill="92D050"/>
            <w:noWrap/>
          </w:tcPr>
          <w:p w14:paraId="0F3E079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FFFF00"/>
            <w:noWrap/>
          </w:tcPr>
          <w:p w14:paraId="59B7275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unclear risk</w:t>
            </w:r>
          </w:p>
        </w:tc>
      </w:tr>
      <w:tr w:rsidR="00D1770F" w14:paraId="5DDF6791" w14:textId="77777777">
        <w:trPr>
          <w:trHeight w:val="360"/>
        </w:trPr>
        <w:tc>
          <w:tcPr>
            <w:tcW w:w="461" w:type="dxa"/>
            <w:noWrap/>
          </w:tcPr>
          <w:p w14:paraId="351C8CF0"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5</w:t>
            </w:r>
          </w:p>
        </w:tc>
        <w:tc>
          <w:tcPr>
            <w:tcW w:w="4077" w:type="dxa"/>
          </w:tcPr>
          <w:p w14:paraId="235797F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Lawrence Eichenfield et al,</w:t>
            </w:r>
            <w:r>
              <w:rPr>
                <w:rFonts w:asciiTheme="minorHAnsi" w:hAnsiTheme="minorHAnsi" w:cstheme="minorHAnsi"/>
                <w:color w:val="000000"/>
                <w:kern w:val="0"/>
                <w:sz w:val="22"/>
                <w:szCs w:val="22"/>
              </w:rPr>
              <w:fldChar w:fldCharType="begin"/>
            </w:r>
            <w:r>
              <w:rPr>
                <w:rFonts w:asciiTheme="minorHAnsi" w:hAnsiTheme="minorHAnsi" w:cstheme="minorHAnsi"/>
                <w:color w:val="000000"/>
                <w:kern w:val="0"/>
                <w:sz w:val="22"/>
                <w:szCs w:val="22"/>
              </w:rPr>
              <w:instrText xml:space="preserve"> ADDIN ZOTERO_ITEM CSL_CITATION {"citationID":"TqmPZmCL","properties":{"formattedCitation":"\\super [10]\\nosupersub{}","plainCitation":"[10]","noteIndex":0},"citationItems":[{"id":90,"uris":["http://zotero.org/users/local/f4DW1Eli/items/8SADQNBC"],"itemData":{"id":90,"type":"article-journal","abstract":"IMPORTANCE: Dupilumab subcutaneous injection is approved for treating moderate-to-severe atopic dermatitis (AD) in adolescents, but there has been too  little research on an efficacious systemic oral treatment with a favorable  benefit-risk profile for adolescents with moderate-to-severe AD. OBJECTIVE: To  investigate the efficacy and safety of oral abrocitinib plus topical therapy in  adolescents with moderate-to-severe AD. DESIGN, SETTING, AND PARTICIPANTS: The  phase 3, randomized, double-blind, placebo-controlled study JADE TEEN was  conducted in countries of the Asia-Pacific region, Europe, and North America in  patients aged 12 to 17 years with moderate-to-severe AD and an inadequate  response to 4 consecutive weeks or longer of topical medication or a need for  systemic therapy for AD. The study was conducted between February 18, 2019, and  April 8, 2020. The data were analyzed after study completion. INTERVENTIONS:  Patients were randomly assigned 1:1:1 to receive once-daily oral abrocitinib, 200  mg or 100 mg, or placebo for 12 weeks in combination with topical therapy. MAIN  OUTCOMES AND MEASURES: Coprimary end points were achievement of an Investigator's  Global Assessment (IGA) response of clear (0) or almost clear (1) with  improvement of 2 or more grades from baseline (IGA 0/1) and 75% or greater  improvement from baseline in Eczema Area and Severity Index (EASI-75) response at  week 12. Key secondary end points included 4-point or greater improvement in Peak  Pruritus Numerical Rating Scale (PP-NRS4) at week 12. Adverse events (AEs) were  monitored. RESULTS: This study included 285 adolescents with moderate-to-severe  AD (145 boys [50.9%] and 140 girls [49.1%]), of whom 160 (56.1%) were White and  94 (33.0%) were Asian; the median age was 15 years (interquartile range 13-17  years). Substantially more patients treated with abrocitinib (200 mg or 100 mg)  vs placebo achieved an IGA response of 0/1 (46.2%; 41.6% vs 24.5%; P &lt; .05 for  both), EASI-75 (72.0%; 68.5% vs 41.5%; P &lt; .05 for both), and PP-NRS4 (55.4%;  52.6% vs 29.8%; P &lt; .01 for 200 mg vs placebo) at week 12. Adverse events were  reported for 59 (62.8%), 54 (56.8%), and 50 (52.1%) patients in the 200 mg, 100  mg, and placebo groups, respectively; nausea was more common with abrocitinib,  200 mg (17 [18.1%]) and 100 mg (7 [7.4%]). Herpes-related AEs were infrequent; 1  (1.1%), 0, and 2 (2.1%) patients had serious AEs. CONCLUSIONS AND RELEVANCE: This  randomized clinical trial found that oral abrocitinib combined with topical  therapy was significantly more effective than placebo with topical therapy in  adolescents with moderate-to-severe AD, with an acceptable safety profile. TRIAL  REGISTRATION: ClinicalTrials.gov identifier: NCT03796676.","container-title":"JAMA dermatology","DOI":"10.1001/jamadermatol.2021.2830","ISSN":"2168-6084 2168-6068","issue":"10","journalAbbreviation":"JAMA Dermatol","language":"eng","note":"SC: 0000088 \npublisher-place: United States\nPMID: 34406366 \nPMCID: PMC8374743","page":"1165-1173","title":"Efficacy and Safety of Abrocitinib in Combination With Topical Therapy in Adolescents With Moderate-to-Severe Atopic Dermatitis: The JADE TEEN Randomized  Clinical Trial.","volume":"157","author":[{"family":"Eichenfield","given":"Lawrence F."},{"family":"Flohr","given":"Carsten"},{"family":"Sidbury","given":"Robert"},{"family":"Siegfried","given":"Elaine"},{"family":"Szalai","given":"Zsuzsanna"},{"family":"Galus","given":"Ryszard"},{"family":"Yao","given":"Zhirong"},{"family":"Takahashi","given":"Hidetoshi"},{"family":"Barbarot","given":"Sébastien"},{"family":"Feeney","given":"Claire"},{"family":"Zhang","given":"Fan"},{"family":"DiBonaventura","given":"Marco"},{"family":"Rojo","given":"Ricardo"},{"family":"Valdez","given":"Hernan"},{"family":"Chan","given":"Gary"}],"issued":{"date-parts":[["2021",10,1]]}}}],"schema":"https://github.com/citation-style-language/schema/raw/master/csl-citation.json"} </w:instrText>
            </w:r>
            <w:r>
              <w:rPr>
                <w:rFonts w:asciiTheme="minorHAnsi" w:hAnsiTheme="minorHAnsi" w:cstheme="minorHAnsi"/>
                <w:color w:val="000000"/>
                <w:kern w:val="0"/>
                <w:sz w:val="22"/>
                <w:szCs w:val="22"/>
              </w:rPr>
              <w:fldChar w:fldCharType="separate"/>
            </w:r>
            <w:r>
              <w:rPr>
                <w:rFonts w:asciiTheme="minorHAnsi" w:hAnsiTheme="minorHAnsi" w:cstheme="minorHAnsi"/>
                <w:color w:val="000000"/>
                <w:kern w:val="0"/>
                <w:sz w:val="22"/>
                <w:vertAlign w:val="superscript"/>
              </w:rPr>
              <w:t>[10]</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2021,RCT-Phase3</w:t>
            </w:r>
          </w:p>
        </w:tc>
        <w:tc>
          <w:tcPr>
            <w:tcW w:w="986" w:type="dxa"/>
            <w:shd w:val="clear" w:color="auto" w:fill="92D050"/>
            <w:noWrap/>
          </w:tcPr>
          <w:p w14:paraId="726DFB8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0058571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58120BC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4759FBB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621AE62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3CFC99B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41A1239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1C2EC5E9" w14:textId="77777777">
        <w:trPr>
          <w:trHeight w:val="340"/>
        </w:trPr>
        <w:tc>
          <w:tcPr>
            <w:tcW w:w="461" w:type="dxa"/>
            <w:noWrap/>
          </w:tcPr>
          <w:p w14:paraId="5E950E59"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6</w:t>
            </w:r>
          </w:p>
        </w:tc>
        <w:tc>
          <w:tcPr>
            <w:tcW w:w="4077" w:type="dxa"/>
          </w:tcPr>
          <w:p w14:paraId="17546305" w14:textId="490B82C0"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M.J. Cork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{"citationID":"NQyoAyI5","properties":{"formattedCitation":"\\super [11]\\nosupersub{}","plainCitation":"[11]","noteIndex":0},"citationItems":[{"id":75,"uris":["http://zotero.org/users/local/f4DW1Eli/items/TZI8J5MQ"],"itemD</w:instrText>
            </w:r>
            <w:r w:rsidR="001A4B5B">
              <w:rPr>
                <w:rFonts w:asciiTheme="minorHAnsi" w:hAnsiTheme="minorHAnsi" w:cstheme="minorHAnsi" w:hint="eastAsia"/>
                <w:color w:val="000000"/>
                <w:kern w:val="0"/>
                <w:sz w:val="22"/>
                <w:szCs w:val="22"/>
              </w:rPr>
              <w:instrText xml:space="preserve">ata":{"id":75,"type":"article-journal","abstract":"BACKGROUND: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atopic dermatitis (AD) have limited treatment options. In a 16-week, randomized, placebo-controlled,  phase III trial in children, dupilumab, a mono</w:instrText>
            </w:r>
            <w:r w:rsidR="001A4B5B">
              <w:rPr>
                <w:rFonts w:asciiTheme="minorHAnsi" w:hAnsiTheme="minorHAnsi" w:cstheme="minorHAnsi"/>
                <w:color w:val="000000"/>
                <w:kern w:val="0"/>
                <w:sz w:val="22"/>
                <w:szCs w:val="22"/>
              </w:rPr>
              <w:instrText>clonal antibody inhibiting  interleukin (IL)-4/IL-13 signalling, significantly improved signs and symptoms  with acceptable safety; longer-term safety and efficacy data are lacking.  OBJECTIVES: To report the pharmacokinetic profile and long-term safety a</w:instrText>
            </w:r>
            <w:r w:rsidR="001A4B5B">
              <w:rPr>
                <w:rFonts w:asciiTheme="minorHAnsi" w:hAnsiTheme="minorHAnsi" w:cstheme="minorHAnsi" w:hint="eastAsia"/>
                <w:color w:val="000000"/>
                <w:kern w:val="0"/>
                <w:sz w:val="22"/>
                <w:szCs w:val="22"/>
              </w:rPr>
              <w:instrText xml:space="preserve">nd  efficacy of dupilumab in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  METHODS: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 were enrolled in a  global, multicentre, phase IIa, open-label, ascending-dose, sequential cohort  study and subseque</w:instrText>
            </w:r>
            <w:r w:rsidR="001A4B5B">
              <w:rPr>
                <w:rFonts w:asciiTheme="minorHAnsi" w:hAnsiTheme="minorHAnsi" w:cstheme="minorHAnsi"/>
                <w:color w:val="000000"/>
                <w:kern w:val="0"/>
                <w:sz w:val="22"/>
                <w:szCs w:val="22"/>
              </w:rPr>
              <w:instrText>nt open-label extension (OLE) study. Patients received  single-dose dupilumab 2 or 4 mg kg(-1) followed by 8-week pharmacokinetic  sampling, then 2 or 4 mg kg(-1) weekly for 4 weeks (phase IIa), followed by the  same weekly regimen (OLE). Primary endpoints were dupilumab concentration-time  profile and treatment-emergent adverse events (TEAEs); secondary assessments  included Eczema Area and Severity Index (EASI) and Peak Pruritus Numeric Rating  Scale (PP-NRS) score. RESULTS: Of 38 children enrolled, 37 completed phase IIa  and 33 continued to the OLE. Nonlinear, target-mediated pharmacokinetics  characterized dupilumab concentrations (week 24-48 mean serum concentrations: 2  mg kg(-1) , 61-77 mg L(-1) ; 4 mg kg(-1) , 143-181 mg L(-1) ). TEAEs were mostly  mild to moderate and transient; none led to treatment discontinuation. The most  commonly reported TEAEs were nasopharyngitis (2 mg kg(-1) , 47%; 4 mg kg(-1) ,  56%) and AD exacerbation (29% and 13%, respectively). Single-dose dupilumab  rapidly improved AD with further improvements through week 52. Mean EASI and  PP-NRS improved by -37%/-33% and -17%/-20% at week 2 (phase IIa) and -92%/-84%  and -70%/-58% at week 52 (OLE), respectively. CONCLUSIONS: These safety and  efficacy results support the use o</w:instrText>
            </w:r>
            <w:r w:rsidR="001A4B5B">
              <w:rPr>
                <w:rFonts w:asciiTheme="minorHAnsi" w:hAnsiTheme="minorHAnsi" w:cstheme="minorHAnsi" w:hint="eastAsia"/>
                <w:color w:val="000000"/>
                <w:kern w:val="0"/>
                <w:sz w:val="22"/>
                <w:szCs w:val="22"/>
              </w:rPr>
              <w:instrText xml:space="preserve">f dupilumab as a continuous long-term treatment  for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AD.","container-title":"The British journal of dermatology","DOI":"10.1111/bjd.19460","ISSN":"1365-2133 0007-0963","issue":"5","journalAbbreviation":"Br J Der</w:instrText>
            </w:r>
            <w:r w:rsidR="001A4B5B">
              <w:rPr>
                <w:rFonts w:asciiTheme="minorHAnsi" w:hAnsiTheme="minorHAnsi" w:cstheme="minorHAnsi"/>
                <w:color w:val="000000"/>
                <w:kern w:val="0"/>
                <w:sz w:val="22"/>
                <w:szCs w:val="22"/>
              </w:rPr>
              <w:instrText>matol","language":"eng","license":"© 2020 The Authors. British Journal of Dermatology published by John Wiley &amp; Sons Ltd on behalf of British Association of Dermatologists.","note":"SC: None[s0] \npublisher-place: England\nPMID: 32969489 \nPMCID: PMC82470</w:instrText>
            </w:r>
            <w:r w:rsidR="001A4B5B">
              <w:rPr>
                <w:rFonts w:asciiTheme="minorHAnsi" w:hAnsiTheme="minorHAnsi" w:cstheme="minorHAnsi" w:hint="eastAsia"/>
                <w:color w:val="000000"/>
                <w:kern w:val="0"/>
                <w:sz w:val="22"/>
                <w:szCs w:val="22"/>
              </w:rPr>
              <w:instrText xml:space="preserve">37","page":"857-870","title":"Dupilumab provides favourable long-term safety and efficacy in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uncontrolled severe atopic dermatitis: results from an  open-label phase IIa study and subsequent phase III open-label extens</w:instrText>
            </w:r>
            <w:r w:rsidR="001A4B5B">
              <w:rPr>
                <w:rFonts w:asciiTheme="minorHAnsi" w:hAnsiTheme="minorHAnsi" w:cstheme="minorHAnsi"/>
                <w:color w:val="000000"/>
                <w:kern w:val="0"/>
                <w:sz w:val="22"/>
                <w:szCs w:val="22"/>
              </w:rPr>
              <w:instrText xml:space="preserve">ion study.","volume":"184","author":[{"family":"Cork","given":"M. J."},{"family":"Thaçi","given":"D."},{"family":"Eichenfield","given":"L. F."},{"family":"Arkwright","given":"P. D."},{"family":"Sun","given":"X."},{"family":"Chen","given":"Z."},{"family":"Akinlade","given":"B."},{"family":"Boklage","given":"S."},{"family":"Guillemin","given":"I."},{"family":"Kosloski","given":"M. P."},{"family":"Kamal","given":"M. A."},{"family":"O'Malley","given":"J. T."},{"family":"Patel","given":"N."},{"family":"Graham","given":"N. M. H."},{"family":"Bansal","given":"A."}],"issued":{"date-parts":[["2021",5]]}}}],"schema":"https://github.com/citation-style-language/schema/raw/master/csl-citation.json"}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[11]</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RCT-Phase2</w:t>
            </w:r>
          </w:p>
        </w:tc>
        <w:tc>
          <w:tcPr>
            <w:tcW w:w="986" w:type="dxa"/>
            <w:shd w:val="clear" w:color="auto" w:fill="92D050"/>
            <w:noWrap/>
          </w:tcPr>
          <w:p w14:paraId="1B6785D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6D876153"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1275" w:type="dxa"/>
            <w:shd w:val="clear" w:color="auto" w:fill="92D050"/>
            <w:noWrap/>
          </w:tcPr>
          <w:p w14:paraId="7DAD9885"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1134" w:type="dxa"/>
            <w:shd w:val="clear" w:color="auto" w:fill="92D050"/>
            <w:noWrap/>
          </w:tcPr>
          <w:p w14:paraId="07C131C3"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986" w:type="dxa"/>
            <w:shd w:val="clear" w:color="auto" w:fill="92D050"/>
            <w:noWrap/>
          </w:tcPr>
          <w:p w14:paraId="199EBAAB"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656" w:type="dxa"/>
            <w:shd w:val="clear" w:color="auto" w:fill="92D050"/>
            <w:noWrap/>
          </w:tcPr>
          <w:p w14:paraId="796BE7C4"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986" w:type="dxa"/>
            <w:shd w:val="clear" w:color="auto" w:fill="FFFF00"/>
            <w:noWrap/>
          </w:tcPr>
          <w:p w14:paraId="3BA74C81"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unclear risk</w:t>
            </w:r>
          </w:p>
        </w:tc>
      </w:tr>
      <w:tr w:rsidR="00D1770F" w14:paraId="10470A46" w14:textId="77777777">
        <w:trPr>
          <w:trHeight w:val="340"/>
        </w:trPr>
        <w:tc>
          <w:tcPr>
            <w:tcW w:w="461" w:type="dxa"/>
            <w:noWrap/>
          </w:tcPr>
          <w:p w14:paraId="496B3557"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7</w:t>
            </w:r>
          </w:p>
        </w:tc>
        <w:tc>
          <w:tcPr>
            <w:tcW w:w="4077" w:type="dxa"/>
          </w:tcPr>
          <w:p w14:paraId="30EA1F33" w14:textId="6B730BEE"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Susan Chan et al,2019,</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{"citationID":"NNY7SIvV","properties":{"formattedCitation":"\\super [12]\\nosupersub{}","plainCitation":"[12]","noteIndex":0},"citationItems":[{"id":108,"uris":["http://zotero.org/users/local/f4DW1Eli/items/Y4JS97KX"],"itemData":{"id":108,"type":"article-journal","abstract":"IMPORTANCE: Systemic treatments for severe childhood atopic dermatitis have limited evidence and/or are unlicensed. Despite the efficacy of anti-IgE  medication (omalizumab) in the treatment of atopy, no large randomized studies in  childhood atopic dermatitis have been published. OBJECTIVE: To determine the  effectiveness of omalizumab in treating severe atopic dermatitis in children.  DESIGN, SETTING, AND PARTICIPANTS: The Atopic Dermatitis Anti-IgE Pediatric Trial  (ADAPT) was a 24-week single-center, double-blind, placebo-controlled randomized  clinical trial with a 24-week follow-up. Conducted from November 20, 2014, to  August 31, 2017, at Guy's and St Thomas' Hospital NHS Foundation Trust and King's  College London in the United Kingdom, this trial recruited participants after a  screening visit. Eligible participants (n = 62) were aged 4 to 19 years and had  severe eczema (with objective Scoring Atopic Dermatitis [SCORAD] index &gt;40) that  was unresponsive to optimum therapy. Statistical analysis was conducted using the  intention-to-treat principle. INTERVENTIONS: Subcutaneous omalizumab or placebo  for 24 weeks. The drug manufacturer's dosing tables were used to determine the  dosage based on total IgE (30-1500 IU/mL) and body weight (in kilograms) at  randomization. MAIN OUTCOMES AND MEASURES: Objective SCORAD index after 24 weeks  of treatment. RESULTS: In total, 62 children (mean [SD] age, 10.3 [4.2] years; 32  (52%) were male) were randomized to either omalizumab (n = 30) or placebo  (n = 32). Five participants withdrew from treatment (4 [13%] from the placebo  group, and 1 [3%] from the omalizumab group). Follow-up attendance was 97% at  week 24 and 98% at week 48. After adjustment for baseline objective SCORAD index,  age, and IgE level, the mean difference in objective SCORAD index improvement  between groups at week 24 was -6.9 (95% CI, -12.2 to -1.5; P = .01),  significantly favoring omalizumab therapy and reflecting the results in other  assessments of atopic dermatitis severity. Improved quality-of-life scores were  seen in the omalizumab group, as measured by the Children's Dermatology Life  Quality Index/Dermatology Life Quality Index (-3.5; 95% CI, -6.4 to -0.5) and  Pediatric Allergic Disease Quality of Life Questionnaire score (-0.5; 95% CI,  -0.9 to -0.0). Improvements in disease severity occurred despite lower potent  topical corticosteroid use in the omalizumab group compared with the placebo  group (median [interquartile range (IQR)] percentage of body surface area  covered, 16% [10%-46%] vs 31% [14%-55%]; median [IQR] number of days of use, 109  [34-164] days vs 161 [82-171] days). CONCLUSIONS AND RELEVANCE: This randomized  clinical trial found that omalizumab significantly reduced atopic dermatitis  severity and improved quality of life in a pediatric population with atopy and  severe eczema despite highly elevated total IgE levels at baseline. The result  was associated with a potent topical corticosteroid sparing effect and may  suggest that omalizumab is a treatment option for difficult-to-manage severe  eczema in children with atopy. TRIAL REGISTRATION: ClinicalTrials.gov identifier:  NCT02300701.","container-title":"JAMA pediatrics","DOI":"10.1001/jamapediatrics.2019.4476","ISSN":"2168-6211 2168-6203","issue":"1","journalAbbreviation":"JAMA Pediatr","language":"eng","note":"SC: 0000088 \npublisher-place: United States\nPMID: 31764962 \nPMCID: PMC6902112","page":"29-37","title":"Treatment Effect of Omalizumab on Severe Pediatric Atopic Dermatitis: The ADAPT Randomized Clinical Trial.","volume":"174","author":[{"family":"Chan","given":"Susan"},{"family":"Cornelius","given":"Victoria"},{"family":"Cro","given":"Suzie"},{"family":"Harper","given":"John I."},{"family":"Lack","given":"Gideon"}],"issued":{"date-parts":[["2020",1,1]]}}}],"schema":"https://github.com/citation-style-language/schema/raw/master/csl-citation.json"}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[12]</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RCT-Phase2</w:t>
            </w:r>
          </w:p>
        </w:tc>
        <w:tc>
          <w:tcPr>
            <w:tcW w:w="986" w:type="dxa"/>
            <w:shd w:val="clear" w:color="auto" w:fill="92D050"/>
            <w:noWrap/>
          </w:tcPr>
          <w:p w14:paraId="20BBC42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5E60600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325113A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6B6B09F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4691F1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4FDAAC9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131B102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5709EBD7" w14:textId="77777777">
        <w:trPr>
          <w:trHeight w:val="280"/>
        </w:trPr>
        <w:tc>
          <w:tcPr>
            <w:tcW w:w="461" w:type="dxa"/>
            <w:noWrap/>
          </w:tcPr>
          <w:p w14:paraId="1061E710"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8</w:t>
            </w:r>
          </w:p>
        </w:tc>
        <w:tc>
          <w:tcPr>
            <w:tcW w:w="4077" w:type="dxa"/>
          </w:tcPr>
          <w:p w14:paraId="16EA1D2B" w14:textId="06AE65A9"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Shuba Rajashri Iyengar et al,2018,</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{"citationID":"cV1NM6H9","properties":{"formattedCitation":"\\super [13]\\nosupersub{}","plainCitation":"[13]","noteIndex":0},"citationItems":[{"id":91,"uris":["http://zotero.org/users/local/f4DW1Eli/items/3UJ9P8LU"],"itemData":{"id":91,"type":"article-journal","container-title":"Pediatrics","DOI":"10.1542/peds.2014-1817UU","ISSN":"1098-4275 0031-4005","journalAbbreviation":"Pediatrics","language":"eng","note":"SC: 0000012 \npublisher-place: United States\nPMID: 25363953","page":"S160","title":"Immunologic effects of omalizumab in children with severe refractory atopic dermatitis: a randomized, placebo-controlled clinical trial.","volume":"134 Suppl 3","author":[{"family":"Andreae","given":"Doerthe A."},{"family":"Wang","given":"Julie"}],"issued":{"date-parts":[["2014",11]]}}}],"schema":"https://github.com/citation-style-language/schema/raw/master/csl-citation.json"}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[13]</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RCT-Phase2</w:t>
            </w:r>
          </w:p>
        </w:tc>
        <w:tc>
          <w:tcPr>
            <w:tcW w:w="986" w:type="dxa"/>
            <w:shd w:val="clear" w:color="auto" w:fill="92D050"/>
            <w:noWrap/>
          </w:tcPr>
          <w:p w14:paraId="2E6DB19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4143E0AD"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1275" w:type="dxa"/>
            <w:shd w:val="clear" w:color="auto" w:fill="92D050"/>
            <w:noWrap/>
          </w:tcPr>
          <w:p w14:paraId="640F245D"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1134" w:type="dxa"/>
            <w:shd w:val="clear" w:color="auto" w:fill="92D050"/>
            <w:noWrap/>
          </w:tcPr>
          <w:p w14:paraId="33F2E39F"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986" w:type="dxa"/>
            <w:shd w:val="clear" w:color="auto" w:fill="FFFF00"/>
            <w:noWrap/>
          </w:tcPr>
          <w:p w14:paraId="08130A74"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unclear risk</w:t>
            </w:r>
          </w:p>
        </w:tc>
        <w:tc>
          <w:tcPr>
            <w:tcW w:w="656" w:type="dxa"/>
            <w:shd w:val="clear" w:color="auto" w:fill="92D050"/>
            <w:noWrap/>
          </w:tcPr>
          <w:p w14:paraId="5D84C6C0"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low risk</w:t>
            </w:r>
          </w:p>
        </w:tc>
        <w:tc>
          <w:tcPr>
            <w:tcW w:w="986" w:type="dxa"/>
            <w:shd w:val="clear" w:color="auto" w:fill="FFFF00"/>
            <w:noWrap/>
          </w:tcPr>
          <w:p w14:paraId="49C99FF2" w14:textId="77777777" w:rsidR="00D1770F" w:rsidRDefault="00000000">
            <w:pPr>
              <w:widowControl/>
              <w:jc w:val="left"/>
              <w:rPr>
                <w:rFonts w:asciiTheme="minorHAnsi" w:eastAsia="Times New Roman" w:hAnsiTheme="minorHAnsi" w:cstheme="minorHAnsi"/>
                <w:kern w:val="0"/>
                <w:sz w:val="20"/>
                <w:szCs w:val="20"/>
              </w:rPr>
            </w:pPr>
            <w:r>
              <w:rPr>
                <w:rFonts w:asciiTheme="minorHAnsi" w:hAnsiTheme="minorHAnsi" w:cstheme="minorHAnsi"/>
                <w:color w:val="000000"/>
                <w:kern w:val="0"/>
                <w:sz w:val="22"/>
                <w:szCs w:val="22"/>
              </w:rPr>
              <w:t>unclear risk</w:t>
            </w:r>
          </w:p>
        </w:tc>
      </w:tr>
      <w:tr w:rsidR="00D1770F" w14:paraId="4BB564D0" w14:textId="77777777">
        <w:trPr>
          <w:trHeight w:val="280"/>
        </w:trPr>
        <w:tc>
          <w:tcPr>
            <w:tcW w:w="461" w:type="dxa"/>
            <w:noWrap/>
          </w:tcPr>
          <w:p w14:paraId="32A98AA5"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9</w:t>
            </w:r>
          </w:p>
        </w:tc>
        <w:tc>
          <w:tcPr>
            <w:tcW w:w="4077" w:type="dxa"/>
          </w:tcPr>
          <w:p w14:paraId="2D38B93B" w14:textId="3A4F7762"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Antonio Torrelo et al,2023,</w:t>
            </w:r>
            <w:r w:rsidR="001A4B5B">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{"citationID":"SOCBZr1X","properties":{"formattedCitation":"\\super [14]\\nosupersub{}","plainCitation":"[14]","noteIndex":0},"citationItems":[{"id":133,"uris":["http://zotero.org/users/local/f4DW1Eli/items/ZCYQ3DTW"],"itemData":{"id":133,"type":"article-journal","abstract":"BACKGROUND: Baricitinib, an oral selective Janus kinase (JAK)1/JAK2 inhibitor, is approved in many countries for moderate-to-severe atopic dermatitis (AD) in  adults who are candidates for systemic therapy. OBJECTIVES: To evaluate the  efficacy and safety of three doses of baricitinib in combination with  low-to-moderate potency topical corticosteroids in paediatric patients with  moderate-to-severe AD. METHODS: Patients (aged 2 to &lt; 18 years) were randomized  (1 : 1 : 1 : 1) to once-daily baricitinib low dose (1 mg equivalent), medium dose  (2 mg equivalent), high dose (4 mg equivalent) or placebo for 16 weeks. The  primary endpoint was the proportion of patients achieving a validated  Investigator Glo</w:instrText>
            </w:r>
            <w:r w:rsidR="001A4B5B">
              <w:rPr>
                <w:rFonts w:asciiTheme="minorHAnsi" w:hAnsiTheme="minorHAnsi" w:cstheme="minorHAnsi" w:hint="eastAsia"/>
                <w:color w:val="000000"/>
                <w:kern w:val="0"/>
                <w:sz w:val="22"/>
                <w:szCs w:val="22"/>
              </w:rPr>
              <w:instrText xml:space="preserve">bal Assessment® (vIGA-AD) of 0/1 with a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2-point improvement at  week 16. Key secondary endpoints included the proportions of patients achieving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75% and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90% improvement in the Eczema Area and Severity Index (EASI-75 and  EASI-90, respectively),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75</w:instrText>
            </w:r>
            <w:r w:rsidR="001A4B5B">
              <w:rPr>
                <w:rFonts w:asciiTheme="minorHAnsi" w:hAnsiTheme="minorHAnsi" w:cstheme="minorHAnsi"/>
                <w:color w:val="000000"/>
                <w:kern w:val="0"/>
                <w:sz w:val="22"/>
                <w:szCs w:val="22"/>
              </w:rPr>
              <w:instrText xml:space="preserve">% improvement in the SCORing Atopic Dermatitis  (SCORAD 75), mean change from baseline in EASI score and proportion of patients  achieving a 4-point improvement in the Itch Numeric Rating scale (NRS) for  patients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10 years. Primary and key secondar</w:instrText>
            </w:r>
            <w:r w:rsidR="001A4B5B">
              <w:rPr>
                <w:rFonts w:asciiTheme="minorHAnsi" w:hAnsiTheme="minorHAnsi" w:cstheme="minorHAnsi" w:hint="eastAsia"/>
                <w:color w:val="000000"/>
                <w:kern w:val="0"/>
                <w:sz w:val="22"/>
                <w:szCs w:val="22"/>
              </w:rPr>
              <w:instrText xml:space="preserve">y efficacy analyses were  conducted on the intent-to-treat population and adjusted for multiplicity. Safety  analyses included all randomized patients who received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1 dose of study  treatment. RESULTS: A total of 483 patients were randomized (mean age 12</w:instrText>
            </w:r>
            <w:r w:rsidR="001A4B5B">
              <w:rPr>
                <w:rFonts w:asciiTheme="minorHAnsi" w:hAnsiTheme="minorHAnsi" w:cstheme="minorHAnsi"/>
                <w:color w:val="000000"/>
                <w:kern w:val="0"/>
                <w:sz w:val="22"/>
                <w:szCs w:val="22"/>
              </w:rPr>
              <w:instrText xml:space="preserve"> years).  The baricitinib 4 mg equivalent achieved a statistically significant (P &lt; 0.05)  improvement vs. placebo on all 16-week endpoints (vIGA 0/1 with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2-point  improvement, EASI-75, EASI-90, SCORAD 75, mean change in EASI score and Itch NRS  4-point improvement for patients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10 years). Improvement (P &lt; 0.05,  non-multiplicity adjusted) was also observed for baricitinib 4 mg equivalent vs.  placebo in the ability to fall asleep and in reduction of topical corticosteroid  use. Few patients discontinued due to adverse events (1.6% for placebo and 0.6%  for those treated with baricitinib). There were no deaths, venous thromboembolic  events, arterial thrombotic events, major adverse cardiovascular events,  malignancies, gastrointestinal perforations or opportunistic infections seen.  CONCLUSIONS: The results indicate that baricitinib offers a potential therapeutic  option with a favourable benefit-risk profile for paediatric patients with  moderate-to-severe AD who are candidates for systemic therapies.","container-title":"The British journal of dermatology","DOI":"10.1093/bjd/ljad096","ISSN":"1365-2133 0007-0963","issue":"1","journalAbbreviation":"Br J Dermatol","language":"eng","license":"© The Author(s) 2023. Published by Oxford University Press on behalf of British Association of Dermatologists.","note":"SC: None[s0] \npublisher-place: England\nPMID: 36999560","page":"23-32","title":"Efficacy and safety of baricitinib in combination with topical corticosteroids in paediatric patients with moderate-to-severe atopic dermatitis with an inadequate  response to topical corticosteroids: results from a phase III, randomized,  double-blind, placebo-controlled study (BREEZE-AD PEDS).","volume":"189","author":[{"family":"Torrelo","given":"Antonio"},{"family":"Rewerska","given":"Barbara"},{"family":"Galimberti","given":"Maria"},{"family":"Paller","given":"Amy"},{"family":"Yang","given":"Chin-Yi"},{"family":"Prakash","given":"Apurva"},{"family":"Zhu","given":"Danting"},{"family":"Pontes Filho","given":"Marco Antonio G."},{"family":"Wu","given":"Wen-Shuo"},{"family":"Eichenfield","given":"Lawrence F."}],"issued":{"date-parts":[["2023",7,7]]}}}],"schema":"https://github.com/citation-style-language/schema/raw/master/csl-citation.json"} </w:instrText>
            </w:r>
            <w:r w:rsidR="001A4B5B">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[14]</w:t>
            </w:r>
            <w:r w:rsidR="001A4B5B">
              <w:rPr>
                <w:rFonts w:asciiTheme="minorHAnsi" w:hAnsiTheme="minorHAnsi" w:cstheme="minorHAnsi"/>
                <w:color w:val="000000"/>
                <w:kern w:val="0"/>
                <w:sz w:val="22"/>
                <w:szCs w:val="22"/>
              </w:rPr>
              <w:fldChar w:fldCharType="end"/>
            </w:r>
            <w:r w:rsidR="001A4B5B">
              <w:rPr>
                <w:rFonts w:asciiTheme="minorHAnsi" w:hAnsiTheme="minorHAnsi" w:cstheme="minorHAnsi" w:hint="eastAsia"/>
                <w:color w:val="000000"/>
                <w:kern w:val="0"/>
                <w:sz w:val="22"/>
                <w:szCs w:val="22"/>
              </w:rPr>
              <w:t xml:space="preserve"> </w:t>
            </w:r>
            <w:r>
              <w:rPr>
                <w:rFonts w:asciiTheme="minorHAnsi" w:hAnsiTheme="minorHAnsi" w:cstheme="minorHAnsi" w:hint="eastAsia"/>
                <w:color w:val="000000"/>
                <w:kern w:val="0"/>
                <w:sz w:val="22"/>
                <w:szCs w:val="22"/>
              </w:rPr>
              <w:t>RCT-Phase3</w:t>
            </w:r>
          </w:p>
        </w:tc>
        <w:tc>
          <w:tcPr>
            <w:tcW w:w="986" w:type="dxa"/>
            <w:shd w:val="clear" w:color="auto" w:fill="92D050"/>
            <w:noWrap/>
          </w:tcPr>
          <w:p w14:paraId="7426C56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0E6EF5E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51DB71E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6AADC1D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26F18EC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1BFE201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7F21B8A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63A69E4E" w14:textId="77777777">
        <w:trPr>
          <w:trHeight w:val="280"/>
        </w:trPr>
        <w:tc>
          <w:tcPr>
            <w:tcW w:w="461" w:type="dxa"/>
            <w:noWrap/>
          </w:tcPr>
          <w:p w14:paraId="08E95582"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10</w:t>
            </w:r>
          </w:p>
        </w:tc>
        <w:tc>
          <w:tcPr>
            <w:tcW w:w="4077" w:type="dxa"/>
          </w:tcPr>
          <w:p w14:paraId="7A821CD0" w14:textId="15CD30E5"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Amy S. Paller et al,2023,</w:t>
            </w:r>
            <w:r w:rsidR="001A4B5B">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{"citationID":"CEW2GW8b","properties":{"formattedCitation":"\\super [15]\\nosupersub{}","plainCitation":"[15]","noteIndex":0},"citationItems":[{"id":134,"uris":["http://zotero.org/users/local/f4DW1Eli/items/PVVXRH3H"],"itemData":{"id":134,"type":"article-journal","abstract":"IMPORTANCE: Atopic dermatitis onset usually occurs in childhood. Persistence of disease into adolescence and adulthood is common. It is important to evaluate new  treatment options in adolescents because of the high unmet need in this  population. OBJECTIVE: To assess the efficacy and safety of upadacitinib to treat  moderate-to-severe atopic dermatitis in adolescents. DESIGN, SETTING, AND  PARTICIPANTS: Prespecified analysis of adolescents enrolled in 3 randomized,  double-blind, placebo-controlled phase 3 clinical trials in more than 20  countries across Europe, North and South America, Oceania, the Middle East, and  the Asia-Pacific region from July 2018 through December 2020. Participants were  adolescents aged 12 to 17 years with moderate-to-severe atopic dermatitis. Data  analysis was performed from April to August 2021. INTERVENTIONS: Patients were  randomized (1:1:1) to once-daily oral upadacitinib 15 mg, upadacitinib 30 mg, or  placebo alone (Measure Up 1 and Measure Up 2) or with topical corticosteroids (AD  Up). MAIN OUTCOMES AND MEASURES: Safety and efficacy, including at least a 75%  improvement in the Eczema Area and Severity Index from baseline and validated  Investigator Global Assessment for Atopic Dermatitis score of 0 (clear) or 1  (almost clear) at week 16 (coprimary end points). RESULTS: A total of 552  adolescents (290 female; 262 male) were randomized. Mean (SD) age was 15.4 (1.8),  15.5 (1.7), and 15.3 (1.8) years for adolescents in Measure Up 1, Measure Up 2,  and AD Up, respectively. In Measure Up 1, Measure Up 2, and AD Up, respectively,  a greater proportion of adolescents (% [95% CI]) achieved at least 75%  improvement in the Eczema Area and Severity Index at week 16 with upadacitinib 15  mg (73% [63%-84%], 69% [57%-81%], 63% [51%-76%]), and upadacitinib 30 mg (78%  [68%-88%], 73% [62%-85%], 84% [75%-94%]), than with placebo (12% [4%-20%], 13%  [5%-22%], 30% [19%-42%]; nominal P &lt; .001 for all comparisons vs placebo).  Similarly, a greater proportion of adolescents treated with upadacitinib achieved  a validated Investigator Global Assessment for Atopic Dermatitis score of 0 or 1  at week 16 and improvements in quality of life with upadacitinib than with  placebo. Upadacitinib was generally well tolerated in adolescents. Acne was the  most common adverse event, and all acne events were mild or moderate. CONCLUSIONS  AND RELEVANCE: In this analysis of 3 randomized clinical trials, upadacitinib was  an effective treatment for adolescents with moderate-to-severe atopic dermatitis,  with an acceptable safety profile. TRIAL REGISTRATION: ClinicalTrials.gov  Identifiers: NCT03569293 (Measure Up 1), NCT03607422 (Measure Up 2), and  NCT03568318 (AD Up).","container-title":"JAMA dermatology","DOI":"10.1001/jamadermatol.2023.0391","ISSN":"2168-6084 2168-6068","issue":"5","journalAbbreviation":"JAMA Dermatol","language":"eng","note":"SC: 0000012 \npublisher-place: United States\nPMID: 37043227 \nPMCID: PMC10099102","page":"526-535","title":"Efficacy and Safety of Upadacitinib Treatment in Adolescents With Moderate-to-Severe Atopic Dermatitis: Analysis of the Measure Up 1, Measure Up 2,  and AD Up Randomized Clinical Trials.","volume":"159","author":[{"family":"Paller","given":"Amy S."},{"family":"Ladizinski","given":"Barry"},{"family":"Mendes-Bastos","given":"Pedro"},{"family":"Siegfried","given":"Elaine"},{"family":"Soong","given":"Weily"},{"family":"Prajapati","given":"Vimal H."},{"family":"Lio","given":"Peter"},{"family":"Thyssen","given":"Jacob P."},{"family":"Simpson","given":"Eric L."},{"family":"Platt","given":"Andrew M."},{"family":"Raymundo","given":"Eliza M."},{"family":"Liu","given":"Jianzhong"},{"family":"Calimlim","given":"Brian M."},{"family":"Huang","given":"Xiaohong"},{"family":"Gu","given":"Yihua"},{"family":"Hu","given":"Xiaofei"},{"family":"Yang","given":"Yang"},{"family":"Su","given":"John C."},{"family":"Zheng","given":"Min"},{"family":"Yamamoto-Hanada","given":"Kiwako"},{"family":"Teixeira","given":"Henrique D."},{"family":"Irvine","given":"Alan D."}],"issued":{"date-parts":[["2023",5,1]]}}}],"schema":"https://github.com/citation-style-language/schema/raw/master/csl-citation.json"} </w:instrText>
            </w:r>
            <w:r w:rsidR="001A4B5B">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[15]</w:t>
            </w:r>
            <w:r w:rsidR="001A4B5B">
              <w:rPr>
                <w:rFonts w:asciiTheme="minorHAnsi" w:hAnsiTheme="minorHAnsi" w:cstheme="minorHAnsi"/>
                <w:color w:val="000000"/>
                <w:kern w:val="0"/>
                <w:sz w:val="22"/>
                <w:szCs w:val="22"/>
              </w:rPr>
              <w:fldChar w:fldCharType="end"/>
            </w:r>
            <w:r>
              <w:rPr>
                <w:rFonts w:asciiTheme="minorHAnsi" w:hAnsiTheme="minorHAnsi" w:cstheme="minorHAnsi" w:hint="eastAsia"/>
                <w:color w:val="000000"/>
                <w:kern w:val="0"/>
                <w:sz w:val="22"/>
                <w:szCs w:val="22"/>
              </w:rPr>
              <w:t>Upadacitinib,RCT-Phase3</w:t>
            </w:r>
            <w:r>
              <w:rPr>
                <w:rFonts w:asciiTheme="minorHAnsi" w:hAnsiTheme="minorHAnsi" w:cstheme="minorHAnsi" w:hint="eastAsia"/>
                <w:color w:val="000000"/>
                <w:kern w:val="0"/>
                <w:sz w:val="22"/>
                <w:szCs w:val="22"/>
                <w:vertAlign w:val="superscript"/>
              </w:rPr>
              <w:t>a</w:t>
            </w:r>
          </w:p>
        </w:tc>
        <w:tc>
          <w:tcPr>
            <w:tcW w:w="986" w:type="dxa"/>
            <w:shd w:val="clear" w:color="auto" w:fill="92D050"/>
            <w:noWrap/>
          </w:tcPr>
          <w:p w14:paraId="6C98476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28F9282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7985DD8B"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1F910FF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1B1F255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14E9536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563252F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15D484F2" w14:textId="77777777">
        <w:trPr>
          <w:trHeight w:val="634"/>
        </w:trPr>
        <w:tc>
          <w:tcPr>
            <w:tcW w:w="461" w:type="dxa"/>
            <w:noWrap/>
          </w:tcPr>
          <w:p w14:paraId="0A1413D8"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11</w:t>
            </w:r>
          </w:p>
        </w:tc>
        <w:tc>
          <w:tcPr>
            <w:tcW w:w="4077" w:type="dxa"/>
          </w:tcPr>
          <w:p w14:paraId="3F4A0276" w14:textId="1BC918CB"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Amy S. Paller et al,2023,</w:t>
            </w:r>
            <w:r w:rsidR="001A4B5B">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{"citationID":"NLofCuhA","properties":{"formattedCitation":"\\super [16]\\nosupersub{}","plainCitation":"[16]","noteIndex":0},"citationItems":[{"id":135,"uris":["http://zotero.org/users/local/f4DW1Eli/items/9T5XN8BP"],"itemData":{"id":135,"type":"article-journal","abstract":"IMPORTANCE: Safe and effective long-term treatments for adolescents with moderate to severe atopic dermatitis (AD) are limited. OBJECTIVE: To evaluate the efficacy  and safety of interleukin-13-targeted treatment with tralokinumab monotherapy in  adolescents with AD. DESIGN, SETTING, AND PARTICIPANTS: The 52-week, randomized,  double-blinded, placebo-controlled, phase 3 ECZTRA 6 trial was conducted from  July 17, 2018, through March 16, 2021, at 72 cent</w:instrText>
            </w:r>
            <w:r w:rsidR="001A4B5B">
              <w:rPr>
                <w:rFonts w:asciiTheme="minorHAnsi" w:hAnsiTheme="minorHAnsi" w:cstheme="minorHAnsi" w:hint="eastAsia"/>
                <w:color w:val="000000"/>
                <w:kern w:val="0"/>
                <w:sz w:val="22"/>
                <w:szCs w:val="22"/>
              </w:rPr>
              <w:instrText xml:space="preserve">ers across 10 countries in North  America, Europe, Asia, and Australia. Enrolled patients were 12 to 17 years old  with moderate to severe AD (Investigator's Global Assessment [IGA] score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3;  Eczema Area and Severity Index [EASI]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16). INTERVENTIONS: Pat</w:instrText>
            </w:r>
            <w:r w:rsidR="001A4B5B">
              <w:rPr>
                <w:rFonts w:asciiTheme="minorHAnsi" w:hAnsiTheme="minorHAnsi" w:cstheme="minorHAnsi"/>
                <w:color w:val="000000"/>
                <w:kern w:val="0"/>
                <w:sz w:val="22"/>
                <w:szCs w:val="22"/>
              </w:rPr>
              <w:instrText xml:space="preserve">ients were  randomized (1:1:1) to tralokinumab (150 or 300 mg) or placebo every 2 weeks for  16 weeks. Patients with an IGA score of 0 (clear) or 1 (almost clear) and/or 75%  or higher improvement in EASI (EASI 75) at week 16 without rescue medication  received maintenance treatment; other patients switched to open-label  tralokinumab, 300 mg, every 2 weeks. MAIN OUTCOMES AND MEASURES: Primary end  points at week 16 were an IGA score of 0 or 1 and/or achieving EASI 75. Key  secondary end points were a reduction of Adolescent Worst Pruritus Numeric Rating  Scale of 4 or more, change in SCORing AD, and change in Children's Dermatology  Life Quality Index from baseline to week 16. Safety end points were the number of  adverse events and serious adverse events. RESULTS: Of 301 patients randomized,  289 comprised the full analysis set (median [IQR] age, 15.0 [13.0-16.0] years;  149 [51.6%] male). More patients receiving tralokinumab, 150 mg, (n = 98), and  tralokinumab, 300 mg (n = 97), achieved an IGA score of 0 or 1 without rescue  medication at week 16 (21 [21.4%] and 17 [17.5%], respectively) vs placebo  (n = 94; 4 [4.3%]) (adjusted difference, 17.5% [95% CI, 8.4%-26.6%]; P &lt; .001 and  13.8% [95% CI, 5.3%-22.3%]; P = .002, respectively). More patients receiving  tralokinumab, 150 mg (28 [28.6%]), and tralokinumab, 300 mg, (27 [27.8%]) vs  placebo (6 [6.4%]) achieved EASI 75 without rescue at week 16 (adjusted  difference, 22.5% [95% CI, 12.4%-32.6%]; P &lt; .001 and 22.0% [95% CI,  12.0%-32.0%]; P &lt; .001, respectively). Proportions of patients with Adolescent  Worst Pruritus Numeric Rating Scale reduction of 4 or more from baseline were  greater with tralokinumab, 150 mg (23.2%), and tralokinumab, 300 (25.0%), vs  placebo (3.3%), and adjusted mean changes were greater in SCORing AD with  tralokinumab, 150 mg (-27.5), and tralokinumab, 300 mg (-29.1), vs placebo (-9.5)  and in Children's Dermatology Life Quality Index with tralokinumab, 150 mg  (-6.1), and tralokinumab, 300 mg (-6.7), vs placebo (-4.1) at week 16. At week  52, tralokinumab efficacy was maintained without rescue in more than 50% of  patients meeting primary end point(s) at week 16. In the open-label phase, IGA  score of 0 or 1 and EASI 75 were achieved in 33.3% and 57.8%, respectively, at  week 52. Tralokinumab was well tolerated, without frequency of conjunctivitis  increasing through week 52. CONCLUSIONS AND RELEVANCE: In this randomized  clinical trial, tralokinumab was efficacious and well tolerated, supporting its  value for treating adolescents with moderate to severe AD. TRIAL REGISTRATION:  ClinicalTrials.gov Identifier: NCT03526861.","container-title":"JAMA dermatology","DOI":"10.1001/jamadermatol.2023.0627","ISSN":"2168-6084 2168-6068","issue":"6","journalAbbreviation":"JAMA Dermatol","language":"eng","note":"SC: 0000018 \npublisher-place: United States\nPMID: 37074705 \nPMCID: PMC10116386","page":"596-605","title":"Efficacy and Safety of Tralokinumab in Adolescents With Moderate to Severe Atopic Dermatitis: The Phase 3 ECZTRA 6 Randomized Clinical Trial.","volume":"159","author":[{"family":"Paller","given":"Amy S."},{"family":"Flohr","given":"Carsten"},{"family":"Cork","given":"Michael"},{"family":"Bewley","given":"Anthony"},{"family":"Blauvelt","given":"Andrew"},{"family":"Hong","given":"H. Chih-Ho"},{"family":"Imafuku","given":"Shinichi"},{"family":"Schuttelaar","given":"Marie L. A."},{"family":"Simpson","given":"Eric L."},{"family":"Soong","given":"Weily"},{"family":"Arlert","given":"Petra"},{"family":"Lophaven","given":"Katja Wendicke"},{"family":"Kurbasic","given":"Azra"},{"family":"Soldbro","given":"Lise"},{"family":"Vest","given":"Natacha Strange"},{"family":"Wollenberg","given":"Andreas"}],"issued":{"date-parts":[["2023",6,1]]}}}],"schema":"https://github.com/citation-style-language/schema/raw/master/csl-citation.json"} </w:instrText>
            </w:r>
            <w:r w:rsidR="001A4B5B">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[16]</w:t>
            </w:r>
            <w:r w:rsidR="001A4B5B">
              <w:rPr>
                <w:rFonts w:asciiTheme="minorHAnsi" w:hAnsiTheme="minorHAnsi" w:cstheme="minorHAnsi"/>
                <w:color w:val="000000"/>
                <w:kern w:val="0"/>
                <w:sz w:val="22"/>
                <w:szCs w:val="22"/>
              </w:rPr>
              <w:fldChar w:fldCharType="end"/>
            </w:r>
            <w:r w:rsidR="001A4B5B">
              <w:rPr>
                <w:rFonts w:asciiTheme="minorHAnsi" w:hAnsiTheme="minorHAnsi" w:cstheme="minorHAnsi" w:hint="eastAsia"/>
                <w:color w:val="000000"/>
                <w:kern w:val="0"/>
                <w:sz w:val="22"/>
                <w:szCs w:val="22"/>
              </w:rPr>
              <w:t xml:space="preserve"> </w:t>
            </w:r>
            <w:r>
              <w:rPr>
                <w:rFonts w:asciiTheme="minorHAnsi" w:hAnsiTheme="minorHAnsi" w:cstheme="minorHAnsi" w:hint="eastAsia"/>
                <w:color w:val="000000"/>
                <w:kern w:val="0"/>
                <w:sz w:val="22"/>
                <w:szCs w:val="22"/>
              </w:rPr>
              <w:t>Tralokinumab,RCT-Phase3</w:t>
            </w:r>
            <w:r>
              <w:rPr>
                <w:rFonts w:asciiTheme="minorHAnsi" w:hAnsiTheme="minorHAnsi" w:cstheme="minorHAnsi"/>
                <w:color w:val="000000"/>
                <w:kern w:val="0"/>
                <w:sz w:val="22"/>
                <w:szCs w:val="22"/>
                <w:vertAlign w:val="superscript"/>
              </w:rPr>
              <w:t>a</w:t>
            </w:r>
          </w:p>
        </w:tc>
        <w:tc>
          <w:tcPr>
            <w:tcW w:w="986" w:type="dxa"/>
            <w:shd w:val="clear" w:color="auto" w:fill="92D050"/>
            <w:noWrap/>
          </w:tcPr>
          <w:p w14:paraId="154D3D2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92D050"/>
            <w:noWrap/>
          </w:tcPr>
          <w:p w14:paraId="4F3034F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275" w:type="dxa"/>
            <w:shd w:val="clear" w:color="auto" w:fill="92D050"/>
            <w:noWrap/>
          </w:tcPr>
          <w:p w14:paraId="076DF21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1134" w:type="dxa"/>
            <w:shd w:val="clear" w:color="auto" w:fill="92D050"/>
            <w:noWrap/>
          </w:tcPr>
          <w:p w14:paraId="1FECC22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58E0562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31564B7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569B107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10B4A3B0" w14:textId="77777777">
        <w:trPr>
          <w:trHeight w:val="336"/>
        </w:trPr>
        <w:tc>
          <w:tcPr>
            <w:tcW w:w="461" w:type="dxa"/>
            <w:noWrap/>
          </w:tcPr>
          <w:p w14:paraId="14FD0338" w14:textId="77777777" w:rsidR="00D1770F" w:rsidRDefault="00D1770F">
            <w:pPr>
              <w:widowControl/>
              <w:jc w:val="left"/>
              <w:rPr>
                <w:rFonts w:asciiTheme="minorHAnsi" w:eastAsia="Times New Roman" w:hAnsiTheme="minorHAnsi" w:cstheme="minorHAnsi"/>
                <w:kern w:val="0"/>
                <w:sz w:val="20"/>
                <w:szCs w:val="20"/>
              </w:rPr>
            </w:pPr>
          </w:p>
        </w:tc>
        <w:tc>
          <w:tcPr>
            <w:tcW w:w="4077" w:type="dxa"/>
            <w:noWrap/>
          </w:tcPr>
          <w:p w14:paraId="497143E0"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OLE</w:t>
            </w:r>
          </w:p>
        </w:tc>
        <w:tc>
          <w:tcPr>
            <w:tcW w:w="986" w:type="dxa"/>
            <w:noWrap/>
          </w:tcPr>
          <w:p w14:paraId="1945BB9F" w14:textId="77777777" w:rsidR="00D1770F" w:rsidRDefault="00D1770F">
            <w:pPr>
              <w:widowControl/>
              <w:jc w:val="left"/>
              <w:rPr>
                <w:rFonts w:asciiTheme="minorHAnsi" w:hAnsiTheme="minorHAnsi" w:cstheme="minorHAnsi"/>
                <w:color w:val="000000"/>
                <w:kern w:val="0"/>
                <w:sz w:val="22"/>
                <w:szCs w:val="22"/>
              </w:rPr>
            </w:pPr>
          </w:p>
        </w:tc>
        <w:tc>
          <w:tcPr>
            <w:tcW w:w="843" w:type="dxa"/>
            <w:noWrap/>
          </w:tcPr>
          <w:p w14:paraId="233B9509" w14:textId="77777777" w:rsidR="00D1770F" w:rsidRDefault="00D1770F">
            <w:pPr>
              <w:widowControl/>
              <w:jc w:val="left"/>
              <w:rPr>
                <w:rFonts w:asciiTheme="minorHAnsi" w:eastAsia="Times New Roman" w:hAnsiTheme="minorHAnsi" w:cstheme="minorHAnsi"/>
                <w:kern w:val="0"/>
                <w:sz w:val="20"/>
                <w:szCs w:val="20"/>
              </w:rPr>
            </w:pPr>
          </w:p>
        </w:tc>
        <w:tc>
          <w:tcPr>
            <w:tcW w:w="1275" w:type="dxa"/>
            <w:noWrap/>
          </w:tcPr>
          <w:p w14:paraId="3FD13EAE" w14:textId="77777777" w:rsidR="00D1770F" w:rsidRDefault="00D1770F">
            <w:pPr>
              <w:widowControl/>
              <w:jc w:val="left"/>
              <w:rPr>
                <w:rFonts w:asciiTheme="minorHAnsi" w:eastAsia="Times New Roman" w:hAnsiTheme="minorHAnsi" w:cstheme="minorHAnsi"/>
                <w:kern w:val="0"/>
                <w:sz w:val="20"/>
                <w:szCs w:val="20"/>
              </w:rPr>
            </w:pPr>
          </w:p>
        </w:tc>
        <w:tc>
          <w:tcPr>
            <w:tcW w:w="1134" w:type="dxa"/>
            <w:noWrap/>
          </w:tcPr>
          <w:p w14:paraId="595E6CD4" w14:textId="77777777" w:rsidR="00D1770F" w:rsidRDefault="00D1770F">
            <w:pPr>
              <w:widowControl/>
              <w:jc w:val="left"/>
              <w:rPr>
                <w:rFonts w:asciiTheme="minorHAnsi" w:eastAsia="Times New Roman" w:hAnsiTheme="minorHAnsi" w:cstheme="minorHAnsi"/>
                <w:kern w:val="0"/>
                <w:sz w:val="20"/>
                <w:szCs w:val="20"/>
              </w:rPr>
            </w:pPr>
          </w:p>
        </w:tc>
        <w:tc>
          <w:tcPr>
            <w:tcW w:w="986" w:type="dxa"/>
            <w:noWrap/>
          </w:tcPr>
          <w:p w14:paraId="1681F622" w14:textId="77777777" w:rsidR="00D1770F" w:rsidRDefault="00D1770F">
            <w:pPr>
              <w:widowControl/>
              <w:jc w:val="left"/>
              <w:rPr>
                <w:rFonts w:asciiTheme="minorHAnsi" w:eastAsia="Times New Roman" w:hAnsiTheme="minorHAnsi" w:cstheme="minorHAnsi"/>
                <w:kern w:val="0"/>
                <w:sz w:val="20"/>
                <w:szCs w:val="20"/>
              </w:rPr>
            </w:pPr>
          </w:p>
        </w:tc>
        <w:tc>
          <w:tcPr>
            <w:tcW w:w="656" w:type="dxa"/>
            <w:noWrap/>
          </w:tcPr>
          <w:p w14:paraId="12CC2629" w14:textId="77777777" w:rsidR="00D1770F" w:rsidRDefault="00D1770F">
            <w:pPr>
              <w:widowControl/>
              <w:jc w:val="left"/>
              <w:rPr>
                <w:rFonts w:asciiTheme="minorHAnsi" w:eastAsia="Times New Roman" w:hAnsiTheme="minorHAnsi" w:cstheme="minorHAnsi"/>
                <w:kern w:val="0"/>
                <w:sz w:val="20"/>
                <w:szCs w:val="20"/>
              </w:rPr>
            </w:pPr>
          </w:p>
        </w:tc>
        <w:tc>
          <w:tcPr>
            <w:tcW w:w="986" w:type="dxa"/>
            <w:noWrap/>
          </w:tcPr>
          <w:p w14:paraId="3CE0A206" w14:textId="77777777" w:rsidR="00D1770F" w:rsidRDefault="00D1770F">
            <w:pPr>
              <w:widowControl/>
              <w:jc w:val="left"/>
              <w:rPr>
                <w:rFonts w:asciiTheme="minorHAnsi" w:eastAsia="Times New Roman" w:hAnsiTheme="minorHAnsi" w:cstheme="minorHAnsi"/>
                <w:kern w:val="0"/>
                <w:sz w:val="20"/>
                <w:szCs w:val="20"/>
              </w:rPr>
            </w:pPr>
          </w:p>
        </w:tc>
      </w:tr>
      <w:tr w:rsidR="00D1770F" w14:paraId="088140E6" w14:textId="77777777">
        <w:trPr>
          <w:trHeight w:val="260"/>
        </w:trPr>
        <w:tc>
          <w:tcPr>
            <w:tcW w:w="461" w:type="dxa"/>
            <w:noWrap/>
          </w:tcPr>
          <w:p w14:paraId="7CF852CD"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1</w:t>
            </w:r>
          </w:p>
        </w:tc>
        <w:tc>
          <w:tcPr>
            <w:tcW w:w="4077" w:type="dxa"/>
          </w:tcPr>
          <w:p w14:paraId="5D8D87B2" w14:textId="034E08FF"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Andrew Blauvelt et al,2022,</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{"citationID":"mgM3uFw9","properties":{"formattedCitation":"\\super [8]\\nosupersub{}","plainCitation":"[8]","noteIndex":0},"citationItems":[{"id":84,"uris":["http://zotero.org/users/local/f4DW1Eli/items/TXF6E2GF"],"itemData":{"id":84,"type":"article-journal","abstract":"BACKGROUND: For adolescent patients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12 to &lt; 18 years) with uncontrolled moderate-to-severe atopic dermatitis (AD), 16 weeks of treatment with dupilumab  resulted in substantial clinical benefit compared with placebo, with an  acceptable safety profile. However, long-term data on the approved dose regimens  of dupilumab in adolescents with AD are lacking. OBJECTIVES: This open-label  extension study (LIBERTY AD PED-OLE, NCT02612454) reports the long-term safety,  efficacy, and pharmacokinetics of dupilumab in adolescents with  moderate-to-severe AD who had participated in dupilumab parent trials. METHODS:  Patients enrolled under the original study protocol received subcutaneous  dupilumab according to a weight-based regimen (2 or 4 mg/kg every week).  Following protocol amendment, patients were switched to subcutaneous dupilumab  300 mg every 4 weeks (q4w) irrespective of weight, and newly enrolled patients  were started on dupilumab 300 mg q4w. Patients with an inadequate clinical  response (Investigator's Global Assessment [IGA] score of 0/1 was not reached) to  the q4w regimen could be uptitrated to the approved dupilumab dose regimens of  200 or 300 mg every 2 weeks (body weight &lt; 60 or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60 kg, respectively). Patients  whose IGA score of 0/1 was maintained continuously for a 12-week period after  week 40 were discontinued from dupilumab, monitored for relapse, and re-initiated  on dupilumab if required. RESULTS: Data for 294 patients (mean age 14.7 years)  were analyzed, 102 (34.7%) of whom had completed the 52-week visit at the  database lock. The dupilumab long-term safety profile was comparable to that seen  in adults and consistent with the known safety profile. Most treatment-emergent  adverse events were mild/moderate. By week 52, 42.7% of patients had an IGA score  of 0/1 (clear/almost clear), and 93.1%, 81.2%, and 56.4%, respectively, had at  least a 50%, 75%, or 90% improvement in Eczema Area and Severity Index (EASI).  Most (70.9%) patients required uptitration to the approved dupilumab dose  regimen. The proportions of uptitrated patients with an IGA score of 0/1 or 75%  improvement in EASI increased over time, reaching 35.7% and 51.9%, respectively,  48 weeks after the first uptitration visit. By week 52, 29.4% of patients had  clear/almost clear skin sustained for 12 weeks and had stopped medication; 56.7%  relapsed and were subsequently re-initiated on treatment, with a mean time to  re-initiation of 17.5 (± standard deviation 17.3) weeks. CONCLUSIONS: Consistent  with results seen with short-term treatment, long-term treatment with dupilumab  showed an acceptable safety profile while providing incremental clinical benefit  with continued treatment over time. The high proportion of patients who needed  uptitration because of inadequate response to q4w dosing supports the q2w dose  regimen as optimal for this age group. Finally, the majority of patients who  stopped medication after having clear/almost clear skin sustained over 12 weeks  experienced disease recurrence, suggesting the need for continued dupilumab  dosing to maintain efficacy. TRIAL REGISTRATION: ClinicalTrials.gov Identifiers:  NCT02612454, NCT02407756, NCT03054428, and NCT03050151. INFOGRAPHIC: Video  abstract: What is the long-term safety and efficacy profile in adolescents with  moderate-to-severe atopic dermatitis treated with the approved dupilumab dose  regimen? (MP4 40,966 KB).","language":"eng","license":"© 2022. The Author(s).","note":"SC: 0000032 \nDOI: 10.1007/s40257-022-00683-2\nISSN: 1179-1888 1175-0561\nissue: 3\njournalAbbreviation: Am J Clin Dermatol\npage: 365-383\ncontainer-title: American journal of clinical dermatology\nPMID: 35567671 \nPMCID: PMC9142443","title":"Long-Term Efficacy and Safety of Dupilumab in Adolescents with Moderate-to-Severe Atopic Dermatitis: Results Through Week 52 from a Phase III Open-Label Extension  Trial (LIBERTY AD PED-OLE).","volume":"23","author":[{"family":"Blauvelt","given":"Andrew"},{"family":"Guttman-Yassky","given":"Emma"},{"family":"Paller","given":"Amy S."},{"family":"Simpson","given":"Eric L."},{"family":"Cork","given":"Michael J."},{"family":"Weisman","given":"Jamie"},{"family":"Browning","given":"John"},{"family":"Soong","given":"Weily"},{"family":"Sun","given":"Xian"},{"family":"Chen","given":"Zhen"},{"family":"Kosloski","given":"Matthew P."},{"family":"Kamal","given":"Mohamed A."},{"family":"Delevry","given":"Dimittri"},{"family":"Chuang","given":"Chien-Chia"},{"family":"O'Malley","given":"John T."},{"family":"Bansal","given":"Ashish"}],"issued":{"date-parts":[["2022",5]]}}}],"schema":"https://github.com/citation-style-language/schema/raw/master/csl-citation.json"}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[8]</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RCT-Phase3,OLE</w:t>
            </w:r>
          </w:p>
        </w:tc>
        <w:tc>
          <w:tcPr>
            <w:tcW w:w="986" w:type="dxa"/>
            <w:shd w:val="clear" w:color="auto" w:fill="92D050"/>
            <w:noWrap/>
          </w:tcPr>
          <w:p w14:paraId="199B900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FF0000"/>
            <w:noWrap/>
          </w:tcPr>
          <w:p w14:paraId="7FF0561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high risk</w:t>
            </w:r>
          </w:p>
        </w:tc>
        <w:tc>
          <w:tcPr>
            <w:tcW w:w="1275" w:type="dxa"/>
            <w:shd w:val="clear" w:color="auto" w:fill="FF0000"/>
            <w:noWrap/>
          </w:tcPr>
          <w:p w14:paraId="4224C25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shd w:val="clear" w:color="auto" w:fill="FF0000"/>
            <w:noWrap/>
          </w:tcPr>
          <w:p w14:paraId="1740972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23F30C8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3E33953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5BEF5AF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2923B346" w14:textId="77777777">
        <w:trPr>
          <w:trHeight w:val="240"/>
        </w:trPr>
        <w:tc>
          <w:tcPr>
            <w:tcW w:w="461" w:type="dxa"/>
            <w:noWrap/>
          </w:tcPr>
          <w:p w14:paraId="61A36D80"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2</w:t>
            </w:r>
          </w:p>
        </w:tc>
        <w:tc>
          <w:tcPr>
            <w:tcW w:w="4077" w:type="dxa"/>
          </w:tcPr>
          <w:p w14:paraId="55ACBF4F" w14:textId="494D4F11"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M.J. Cork et al,2022,</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{"citationID":"hE6JQ9hQ","properties":{"formattedCitation":"\\super [2]\\nosupersub{}","plainCitation":"[2]","noteIndex":0},"citationItems":[{"id":74,"uris":["http://zotero.org/users/local/f4DW1Eli/items/3UJWT9EP"],"itemDat</w:instrText>
            </w:r>
            <w:r w:rsidR="001A4B5B">
              <w:rPr>
                <w:rFonts w:asciiTheme="minorHAnsi" w:hAnsiTheme="minorHAnsi" w:cstheme="minorHAnsi" w:hint="eastAsia"/>
                <w:color w:val="000000"/>
                <w:kern w:val="0"/>
                <w:sz w:val="22"/>
                <w:szCs w:val="22"/>
              </w:rPr>
              <w:instrText xml:space="preserve">a":{"id":74,"type":"article-journal","abstract":"BACKGROUND: Dupilumab (monoclonal antibody inhibiting IL-4/IL-13 signalling) is approved for use in adolescents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12 years with inadequately controlled  moderate-to-severe atopic dermatitis (AD). Dupil</w:instrText>
            </w:r>
            <w:r w:rsidR="001A4B5B">
              <w:rPr>
                <w:rFonts w:asciiTheme="minorHAnsi" w:hAnsiTheme="minorHAnsi" w:cstheme="minorHAnsi"/>
                <w:color w:val="000000"/>
                <w:kern w:val="0"/>
                <w:sz w:val="22"/>
                <w:szCs w:val="22"/>
              </w:rPr>
              <w:instrText xml:space="preserve">umab significantly improved AD  signs/symptoms in a 16-week, randomised, placebo-controlled phase III trial in  adolescents (NCT03054428). OBJECTIVES: To characterize the pharmacokinetics of  dupilumab, and long-term safety and efficacy in adolescents. METHODS: This was a  global, multicentre, phase IIa, open-label, ascending-dose, sequential cohort  study with a phase III open-label extension (OLE) in adolescents with  moderate-to-severe AD. In the phase IIa study, patients received one dupilumab  dose (2 mg kg(-1) or 4 mg kg(-1) ) and 8 weeks of pharmacokinetic sampling.  Thereafter, patients received the same dose weekly for 4 weeks, with 8-week  safety follow-up. Patients then enrolled in the OLE, continuing 2 mg kg(-1) or 4  mg kg(-1) dupilumab weekly. Primary end points were dupilumab concentration-time  profile and incidence of treatment-emergent adverse events (TEAEs). Secondary  outcomes included Eczema Area and Severity Index (EASI). RESULTS: Forty  adolescents received dupilumab in the phase IIa study; 36 enrolled in the OLE.  Dupilumab showed nonlinear, target-mediated pharmacokinetics. Mean ± SD trough  dupilumab concentrations in serum at week 48 (OLE) were 74 ± 19 mg L(-1) and 161  ± 60 mg L(-1) for 2 mg kg(-1) and 4 mg kg(-1) , respectively. Dupilumab was well  tolerated over 52 weeks; the most common TEAEs were nasopharyngitis (week 52: 41%  [2 mg kg(-1) ], 47% [4 mg kg(-1) ]) and AD exacerbation (29%, 42%). After one  dupilumab dose in the phase IIa study, EASI improved from baseline to week 2  [mean ± SD reduction -34% ± 20% (2 mg kg(-1) ) and -51% ± 29% (4 mg kg(-1) )].  With continuing treatment, EASI scores improved further [week 52: -85% ± 12% (2  mg kg(-1) ) and -84% ± 20% (4 mg kg(-1) )]. CONCLUSIONS: In adolescents with  moderate-to-severe AD, dupilumab's pharmacokinetic profile was similar to that in  adults. These 52-week safety and efficacy data support long-term use of dupilumab  in this patient population. What's already known about this topic? Adolescents  with moderate-to-severe atopic dermatitis (AD) have high unmet medical need, with  significant disease burden and limited treatment options. Dupilumab (monoclonal  antibody against interleukin-4 receptor α) is approved for the treatment of  adolescents with moderate-to-severe AD who are inadequately responsive to  standard of care (U.S.A.) or candidates for systemic therapy (European Union). A  16-week, randomized, placebo-controlled phase III trial in adolescents  demonstrated significant improvements in AD signs/symptoms with an acceptable  safety profile. What does this study add? These studies demonstrate the long-term  safety and efficacy of dupilumab in adolescents with moderate-to-severe AD for up  to 52 weeks of treatment, thus extending and reinforcing the findings from the  16-week dupilumab phase III trial. The data from these studies also support the  use of dupilumab in combination with current standard of care (topical  corticosteroids), which was not evaluated in the 16-week phase III monotherapy  trial.","container-title":"The British journal of dermatology","DOI":"10.1111/bjd.18476","ISSN":"1365-2133 0007-0963","issue":"1","journalAbbreviation":"Br J Dermatol","language":"eng","license":"© 2019 The Authors. British Journal of Dermatology published by John Wiley &amp; Sons Ltd on behalf of British Association of Dermatologists.","note":"SC: 0000126 \npublisher-place: England\nPMID: 31595499 \nPMCID: PMC6972638","page":"85-96","title":"Dupilumab in adolescents with uncontrolled moderate-to-severe atopic dermatitis: results from a phase IIa open-label trial and subsequent phase III open-label  extension.","volume":"182","author":[{"family":"Cork","given":"M. J."},{"family":"Thaçi","given":"D."},{"family":"Eichenfield","given":"L. F."},{"family":"Arkwright","given":"P. D."},{"family":"Hultsch","given":"T."},{"family":"Davis","given":"J. D."},{"family":"Zhang","given":"Y."},{"family":"Zhu","given":"X."},{"family":"Chen","given":"Z."},{"family":"Li","given":"M."},{"family":"Ardeleanu","given":"M."},{"family":"Teper","given":"A."},{"family":"Akinlade","given":"B."},{"family":"Gadkari","given":"A."},{"family":"Eckert","given":"L."},{"family":"Kamal","given":"M. A."},{"family":"Ruddy","given":"M."},{"family":"Graham","given":"N. M. H."},{"family":"Pirozzi","given":"G."},{"family":"Stahl","given":"N."},{"family":"DiCioccio","given":"A. T."},{"family":"Bansal","given":"A."}],"issued":{"date-parts":[["2020",1]]}}}],"schema":"https://github.com/citation-style-language/schema/raw/master/csl-citation.json"}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[2]</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 xml:space="preserve"> RCT-Phase3,OLE</w:t>
            </w:r>
          </w:p>
        </w:tc>
        <w:tc>
          <w:tcPr>
            <w:tcW w:w="986" w:type="dxa"/>
            <w:shd w:val="clear" w:color="auto" w:fill="92D050"/>
            <w:noWrap/>
          </w:tcPr>
          <w:p w14:paraId="5F34248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FF0000"/>
            <w:noWrap/>
          </w:tcPr>
          <w:p w14:paraId="6E6AE97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275" w:type="dxa"/>
            <w:shd w:val="clear" w:color="auto" w:fill="FF0000"/>
            <w:noWrap/>
          </w:tcPr>
          <w:p w14:paraId="168AAB6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shd w:val="clear" w:color="auto" w:fill="FF0000"/>
            <w:noWrap/>
          </w:tcPr>
          <w:p w14:paraId="60DE8B5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5493C11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4364B78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9E173C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11EB2123" w14:textId="77777777">
        <w:trPr>
          <w:trHeight w:val="320"/>
        </w:trPr>
        <w:tc>
          <w:tcPr>
            <w:tcW w:w="461" w:type="dxa"/>
            <w:noWrap/>
          </w:tcPr>
          <w:p w14:paraId="59A14252"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3</w:t>
            </w:r>
          </w:p>
        </w:tc>
        <w:tc>
          <w:tcPr>
            <w:tcW w:w="4077" w:type="dxa"/>
          </w:tcPr>
          <w:p w14:paraId="1A7A1EFB" w14:textId="56784713"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A.S. Paller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{"citationID":"1Vc1WM6P","properties":{"formattedCitation":"\\super [17]\\nosupersub{}","plainCitation":"[17]","noteIndex":0},"citationItems":[{"id":72,"uris":["http://zotero.org/users/local/f4DW1Eli/items/MIYY2R33"],"itemData":{"id":72,"type":"article-journal","abstract":"BACKGROUND: Dupilumab has demonstrated efficacy and acceptable safety in adults and children (aged 6-17 years) with moderate-to-severe atopic dermatitis (AD),  but effective systemic therapy with a favora</w:instrText>
            </w:r>
            <w:r w:rsidR="001A4B5B">
              <w:rPr>
                <w:rFonts w:asciiTheme="minorHAnsi" w:hAnsiTheme="minorHAnsi" w:cstheme="minorHAnsi" w:hint="eastAsia"/>
                <w:color w:val="000000"/>
                <w:kern w:val="0"/>
                <w:sz w:val="22"/>
                <w:szCs w:val="22"/>
              </w:rPr>
              <w:instrText xml:space="preserve">ble risk-benefit profile in younger  children remains a significant unmet need. OBJECTIVES: To determine the  pharmacokinetics, safety and efficacy of single-dose dupilumab in children with  severe AD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6 months to &lt;6 years. METHODS: This open-label, multicenter,  phase 2, sequential, two-age cohort, two-dose level study (LIBERTY AD PRE-SCHOOL;  NCT03346434) included an initial cohort of older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2 to &lt;6 years,  followed by a younger cohort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6 months to &lt;2 years. Pharmacokinetic  samp</w:instrText>
            </w:r>
            <w:r w:rsidR="001A4B5B">
              <w:rPr>
                <w:rFonts w:asciiTheme="minorHAnsi" w:hAnsiTheme="minorHAnsi" w:cstheme="minorHAnsi"/>
                <w:color w:val="000000"/>
                <w:kern w:val="0"/>
                <w:sz w:val="22"/>
                <w:szCs w:val="22"/>
              </w:rPr>
              <w:instrText xml:space="preserve">ling, safety monitoring and efficacy assessments were performed during the  4-week period after a single subcutaneous injection of dupilumab, in two  sequential dosing groups (3 mg/kg, then 6 mg/kg). The use of standardized,  low-to-medium potency topical corticosteroids was allowed. RESULTS: Forty  patients were enrolled (20/age cohort, 10/dose level within a cohort) between  December 20, 2017 and July 22, 2019. Within each age cohort, pharmacokinetic  exposures after a single injection of dupilumab increased in a greater than  dose-proportional manner. At week 3, treatment with 3 and 6 mg/kg dupilumab  reduced scores of mean Eczema Area and Severity Index by -44.6% and -49.7% (older  cohort) and -42.7% and -38.8% (younger cohort), and mean Peak Pruritus NRS scores  by -22.9% and -44.7% (older cohort) and -11.1% and -18.2% (younger cohort),  respectively. At week 4, improvements in most efficacy outcomes diminished in  both age groups, particularly with the lower dose. The safety profile was  comparable to that seen in adults, adolescents and children. CONCLUSIONS:  Single-dose dupilumab was generally well tolerated and substantially reduced  clinical signs/symptoms of AD. Slightly better responses were seen in older than  younger children. The pharmacokinetics of dupilumab were non-linear, consistent  with previous studies in adults and adolescents.","container-title":"Journal of the European Academy of Dermatology and Venereology : JEADV","DOI":"10.1111/jdv.16928","ISSN":"1468-3083 0926-9959","issue":"2","journalAbbreviation":"J Eur Acad Dermatol Venereol","language":"eng","license":"© 2020 Regeneron Pharmaceuticals, Inc. Journal of the European Academy of Dermatology and Venereology published by John Wiley &amp; Sons Ltd on behalf of  European Academy of Dermatology and Venereology.","note":"SC: 0000063 \npublisher-place: England\nPMID: 32893393 \nPMCID: PMC7894166","page":"464-475","title":"A phase 2, open-label study of single-dose dupilumab in children aged 6 months to &lt;6 years with severe uncontrolled atopic dermatitis: pharmacokinetics, safety and  efficacy.","volume":"35","author":[{"family":"Paller","given":"A. S."},{"family":"Siegfried","given":"E. C."},{"family":"Simpson","given":"E. L."},{"family":"Cork","given":"M. J."},{"family":"Lockshin","given":"B."},{"family":"Kosloski","given":"M. P."},{"family":"Kamal","given":"M. A."},{"family":"Davis","given":"J. D."},{"family":"Sun","given":"X."},{"family":"Pirozzi","given":"G."},{"family":"Graham","given":"N. M. H."},{"family":"Gadkari","given":"A."},{"family":"Eckert","given":"L."},{"family":"Ruddy","given":"M."},{"family":"Bansal","given":"A."}],"issued":{"date-parts":[["2021",2]]}}}],"schema":"https://github.com/citation-style-language/schema/raw/master/csl-citation.json"}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[17]</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RCT-Phase2,OLE</w:t>
            </w:r>
          </w:p>
        </w:tc>
        <w:tc>
          <w:tcPr>
            <w:tcW w:w="986" w:type="dxa"/>
            <w:shd w:val="clear" w:color="auto" w:fill="92D050"/>
            <w:noWrap/>
          </w:tcPr>
          <w:p w14:paraId="5A0338D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FF0000"/>
            <w:noWrap/>
          </w:tcPr>
          <w:p w14:paraId="48A81F5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w:t>
            </w:r>
            <w:r>
              <w:rPr>
                <w:rFonts w:asciiTheme="minorHAnsi" w:hAnsiTheme="minorHAnsi" w:cstheme="minorHAnsi"/>
                <w:color w:val="000000"/>
                <w:kern w:val="0"/>
                <w:sz w:val="22"/>
                <w:szCs w:val="22"/>
              </w:rPr>
              <w:lastRenderedPageBreak/>
              <w:t xml:space="preserve">risk </w:t>
            </w:r>
          </w:p>
        </w:tc>
        <w:tc>
          <w:tcPr>
            <w:tcW w:w="1275" w:type="dxa"/>
            <w:shd w:val="clear" w:color="auto" w:fill="FF0000"/>
            <w:noWrap/>
          </w:tcPr>
          <w:p w14:paraId="74C63B6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lastRenderedPageBreak/>
              <w:t xml:space="preserve">high risk </w:t>
            </w:r>
          </w:p>
        </w:tc>
        <w:tc>
          <w:tcPr>
            <w:tcW w:w="1134" w:type="dxa"/>
            <w:shd w:val="clear" w:color="auto" w:fill="FF0000"/>
            <w:noWrap/>
          </w:tcPr>
          <w:p w14:paraId="73E16AC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29CA537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51F01FB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low </w:t>
            </w:r>
            <w:r>
              <w:rPr>
                <w:rFonts w:asciiTheme="minorHAnsi" w:hAnsiTheme="minorHAnsi" w:cstheme="minorHAnsi"/>
                <w:color w:val="000000"/>
                <w:kern w:val="0"/>
                <w:sz w:val="22"/>
                <w:szCs w:val="22"/>
              </w:rPr>
              <w:lastRenderedPageBreak/>
              <w:t>risk</w:t>
            </w:r>
          </w:p>
        </w:tc>
        <w:tc>
          <w:tcPr>
            <w:tcW w:w="986" w:type="dxa"/>
            <w:shd w:val="clear" w:color="auto" w:fill="92D050"/>
            <w:noWrap/>
          </w:tcPr>
          <w:p w14:paraId="03FCBCF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lastRenderedPageBreak/>
              <w:t>low risk</w:t>
            </w:r>
          </w:p>
        </w:tc>
      </w:tr>
      <w:tr w:rsidR="00D1770F" w14:paraId="7688C103" w14:textId="77777777">
        <w:trPr>
          <w:trHeight w:val="220"/>
        </w:trPr>
        <w:tc>
          <w:tcPr>
            <w:tcW w:w="461" w:type="dxa"/>
            <w:noWrap/>
          </w:tcPr>
          <w:p w14:paraId="0462EC6C"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4</w:t>
            </w:r>
          </w:p>
        </w:tc>
        <w:tc>
          <w:tcPr>
            <w:tcW w:w="4077" w:type="dxa"/>
          </w:tcPr>
          <w:p w14:paraId="6214A142" w14:textId="579927B0"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M.J. Cork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{"citationID":"f1ymv7bJ","properties":{"formattedCitation":"\\super [11]\\nosupersub{}","plainCitation":"[11]","noteIndex":0},"citationItems":[{"id":75,"uris":["http://zotero.org/users/local/f4DW1Eli/items/TZI8J5MQ"],"itemD</w:instrText>
            </w:r>
            <w:r w:rsidR="001A4B5B">
              <w:rPr>
                <w:rFonts w:asciiTheme="minorHAnsi" w:hAnsiTheme="minorHAnsi" w:cstheme="minorHAnsi" w:hint="eastAsia"/>
                <w:color w:val="000000"/>
                <w:kern w:val="0"/>
                <w:sz w:val="22"/>
                <w:szCs w:val="22"/>
              </w:rPr>
              <w:instrText xml:space="preserve">ata":{"id":75,"type":"article-journal","abstract":"BACKGROUND: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atopic dermatitis (AD) have limited treatment options. In a 16-week, randomized, placebo-controlled,  phase III trial in children, dupilumab, a mono</w:instrText>
            </w:r>
            <w:r w:rsidR="001A4B5B">
              <w:rPr>
                <w:rFonts w:asciiTheme="minorHAnsi" w:hAnsiTheme="minorHAnsi" w:cstheme="minorHAnsi"/>
                <w:color w:val="000000"/>
                <w:kern w:val="0"/>
                <w:sz w:val="22"/>
                <w:szCs w:val="22"/>
              </w:rPr>
              <w:instrText>clonal antibody inhibiting  interleukin (IL)-4/IL-13 signalling, significantly improved signs and symptoms  with acceptable safety; longer-term safety and efficacy data are lacking.  OBJECTIVES: To report the pharmacokinetic profile and long-term safety a</w:instrText>
            </w:r>
            <w:r w:rsidR="001A4B5B">
              <w:rPr>
                <w:rFonts w:asciiTheme="minorHAnsi" w:hAnsiTheme="minorHAnsi" w:cstheme="minorHAnsi" w:hint="eastAsia"/>
                <w:color w:val="000000"/>
                <w:kern w:val="0"/>
                <w:sz w:val="22"/>
                <w:szCs w:val="22"/>
              </w:rPr>
              <w:instrText xml:space="preserve">nd  efficacy of dupilumab in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  METHODS: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 were enrolled in a  global, multicentre, phase IIa, open-label, ascending-dose, sequential cohort  study and subseque</w:instrText>
            </w:r>
            <w:r w:rsidR="001A4B5B">
              <w:rPr>
                <w:rFonts w:asciiTheme="minorHAnsi" w:hAnsiTheme="minorHAnsi" w:cstheme="minorHAnsi"/>
                <w:color w:val="000000"/>
                <w:kern w:val="0"/>
                <w:sz w:val="22"/>
                <w:szCs w:val="22"/>
              </w:rPr>
              <w:instrText>nt open-label extension (OLE) study. Patients received  single-dose dupilumab 2 or 4 mg kg(-1) followed by 8-week pharmacokinetic  sampling, then 2 or 4 mg kg(-1) weekly for 4 weeks (phase IIa), followed by the  same weekly regimen (OLE). Primary endpoints were dupilumab concentration-time  profile and treatment-emergent adverse events (TEAEs); secondary assessments  included Eczema Area and Severity Index (EASI) and Peak Pruritus Numeric Rating  Scale (PP-NRS) score. RESULTS: Of 38 children enrolled, 37 completed phase IIa  and 33 continued to the OLE. Nonlinear, target-mediated pharmacokinetics  characterized dupilumab concentrations (week 24-48 mean serum concentrations: 2  mg kg(-1) , 61-77 mg L(-1) ; 4 mg kg(-1) , 143-181 mg L(-1) ). TEAEs were mostly  mild to moderate and transient; none led to treatment discontinuation. The most  commonly reported TEAEs were nasopharyngitis (2 mg kg(-1) , 47%; 4 mg kg(-1) ,  56%) and AD exacerbation (29% and 13%, respectively). Single-dose dupilumab  rapidly improved AD with further improvements through week 52. Mean EASI and  PP-NRS improved by -37%/-33% and -17%/-20% at week 2 (phase IIa) and -92%/-84%  and -70%/-58% at week 52 (OLE), respectively. CONCLUSIONS: These safety and  efficacy results support the use o</w:instrText>
            </w:r>
            <w:r w:rsidR="001A4B5B">
              <w:rPr>
                <w:rFonts w:asciiTheme="minorHAnsi" w:hAnsiTheme="minorHAnsi" w:cstheme="minorHAnsi" w:hint="eastAsia"/>
                <w:color w:val="000000"/>
                <w:kern w:val="0"/>
                <w:sz w:val="22"/>
                <w:szCs w:val="22"/>
              </w:rPr>
              <w:instrText xml:space="preserve">f dupilumab as a continuous long-term treatment  for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severe AD.","container-title":"The British journal of dermatology","DOI":"10.1111/bjd.19460","ISSN":"1365-2133 0007-0963","issue":"5","journalAbbreviation":"Br J Der</w:instrText>
            </w:r>
            <w:r w:rsidR="001A4B5B">
              <w:rPr>
                <w:rFonts w:asciiTheme="minorHAnsi" w:hAnsiTheme="minorHAnsi" w:cstheme="minorHAnsi"/>
                <w:color w:val="000000"/>
                <w:kern w:val="0"/>
                <w:sz w:val="22"/>
                <w:szCs w:val="22"/>
              </w:rPr>
              <w:instrText>matol","language":"eng","license":"© 2020 The Authors. British Journal of Dermatology published by John Wiley &amp; Sons Ltd on behalf of British Association of Dermatologists.","note":"SC: None[s0] \npublisher-place: England\nPMID: 32969489 \nPMCID: PMC82470</w:instrText>
            </w:r>
            <w:r w:rsidR="001A4B5B">
              <w:rPr>
                <w:rFonts w:asciiTheme="minorHAnsi" w:hAnsiTheme="minorHAnsi" w:cstheme="minorHAnsi" w:hint="eastAsia"/>
                <w:color w:val="000000"/>
                <w:kern w:val="0"/>
                <w:sz w:val="22"/>
                <w:szCs w:val="22"/>
              </w:rPr>
              <w:instrText xml:space="preserve">37","page":"857-870","title":"Dupilumab provides favourable long-term safety and efficacy in children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 6 to &lt; 12 years with uncontrolled severe atopic dermatitis: results from an  open-label phase IIa study and subsequent phase III open-label extens</w:instrText>
            </w:r>
            <w:r w:rsidR="001A4B5B">
              <w:rPr>
                <w:rFonts w:asciiTheme="minorHAnsi" w:hAnsiTheme="minorHAnsi" w:cstheme="minorHAnsi"/>
                <w:color w:val="000000"/>
                <w:kern w:val="0"/>
                <w:sz w:val="22"/>
                <w:szCs w:val="22"/>
              </w:rPr>
              <w:instrText xml:space="preserve">ion study.","volume":"184","author":[{"family":"Cork","given":"M. J."},{"family":"Thaçi","given":"D."},{"family":"Eichenfield","given":"L. F."},{"family":"Arkwright","given":"P. D."},{"family":"Sun","given":"X."},{"family":"Chen","given":"Z."},{"family":"Akinlade","given":"B."},{"family":"Boklage","given":"S."},{"family":"Guillemin","given":"I."},{"family":"Kosloski","given":"M. P."},{"family":"Kamal","given":"M. A."},{"family":"O'Malley","given":"J. T."},{"family":"Patel","given":"N."},{"family":"Graham","given":"N. M. H."},{"family":"Bansal","given":"A."}],"issued":{"date-parts":[["2021",5]]}}}],"schema":"https://github.com/citation-style-language/schema/raw/master/csl-citation.json"}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[11]</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RCT-Phase3,OLE</w:t>
            </w:r>
          </w:p>
        </w:tc>
        <w:tc>
          <w:tcPr>
            <w:tcW w:w="986" w:type="dxa"/>
            <w:shd w:val="clear" w:color="auto" w:fill="92D050"/>
            <w:noWrap/>
          </w:tcPr>
          <w:p w14:paraId="4C7B396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shd w:val="clear" w:color="auto" w:fill="FF0000"/>
            <w:noWrap/>
          </w:tcPr>
          <w:p w14:paraId="2E55980E"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275" w:type="dxa"/>
            <w:shd w:val="clear" w:color="auto" w:fill="FF0000"/>
            <w:noWrap/>
          </w:tcPr>
          <w:p w14:paraId="24B72C0D"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shd w:val="clear" w:color="auto" w:fill="FF0000"/>
            <w:noWrap/>
          </w:tcPr>
          <w:p w14:paraId="2221B5D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02496E5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5619ED45"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3BB053B9"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6A99A634" w14:textId="77777777">
        <w:trPr>
          <w:trHeight w:val="280"/>
        </w:trPr>
        <w:tc>
          <w:tcPr>
            <w:tcW w:w="461" w:type="dxa"/>
            <w:noWrap/>
          </w:tcPr>
          <w:p w14:paraId="77618400"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5</w:t>
            </w:r>
          </w:p>
        </w:tc>
        <w:tc>
          <w:tcPr>
            <w:tcW w:w="4077" w:type="dxa"/>
          </w:tcPr>
          <w:p w14:paraId="7311F433" w14:textId="200298B9"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Andreas WOLLENBERG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{"citationID":"C00S2r1g","properties":{"formattedCitation":"\\super [8]\\nosupersub{}","plainCitation":"[8]","noteIndex":0},"citationItems":[{"id":84,"uris":["http://zotero.org/users/local/f4DW1Eli/items/TXF6E2GF"],"itemData":{"id":84,"type":"article-journal","abstract":"BACKGROUND: For adolescent patients (aged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12 to &lt; 18 years) with uncontrolled moderate-to-severe atopic dermatitis (AD), 16 weeks of treatment with dupilumab  resulted in substantial clinical benefit compared with placebo, with an  acceptable safety profile. However, long-term data on the approved dose regimens  of dupilumab in adolescents with AD are lacking. OBJECTIVES: This open-label  extension study (LIBERTY AD PED-OLE, NCT02612454) reports the long-term safety,  efficacy, and pharmacokinetics of dupilumab in adolescents with  moderate-to-severe AD who had participated in dupilumab parent trials. METHODS:  Patients enrolled under the original study protocol received subcutaneous  dupilumab according to a weight-based regimen (2 or 4 mg/kg every week).  Following protocol amendment, patients were switched to subcutaneous dupilumab  300 mg every 4 weeks (q4w) irrespective of weight, and newly enrolled patients  were started on dupilumab 300 mg q4w. Patients with an inadequate clinical  response (Investigator's Global Assessment [IGA] score of 0/1 was not reached) to  the q4w regimen could be uptitrated to the approved dupilumab dose regimens of  200 or 300 mg every 2 weeks (body weight &lt; 60 or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color w:val="000000"/>
                <w:kern w:val="0"/>
                <w:sz w:val="22"/>
                <w:szCs w:val="22"/>
              </w:rPr>
              <w:instrText xml:space="preserve"> 60 kg, respectively). Patients  whose IGA score of 0/1 was maintained continuously for a 12-week period after  week 40 were discontinued from dupilumab, monitored for relapse, and re-initiated  on dupilumab if required. RESULTS: Data for 294 patients (mean age 14.7 years)  were analyzed, 102 (34.7%) of whom had completed the 52-week visit at the  database lock. The dupilumab long-term safety profile was comparable to that seen  in adults and consistent with the known safety profile. Most treatment-emergent  adverse events were mild/moderate. By week 52, 42.7% of patients had an IGA score  of 0/1 (clear/almost clear), and 93.1%, 81.2%, and 56.4%, respectively, had at  least a 50%, 75%, or 90% improvement in Eczema Area and Severity Index (EASI).  Most (70.9%) patients required uptitration to the approved dupilumab dose  regimen. The proportions of uptitrated patients with an IGA score of 0/1 or 75%  improvement in EASI increased over time, reaching 35.7% and 51.9%, respectively,  48 weeks after the first uptitration visit. By week 52, 29.4% of patients had  clear/almost clear skin sustained for 12 weeks and had stopped medication; 56.7%  relapsed and were subsequently re-initiated on treatment, with a mean time to  re-initiation of 17.5 (± standard deviation 17.3) weeks. CONCLUSIONS: Consistent  with results seen with short-term treatment, long-term treatment with dupilumab  showed an acceptable safety profile while providing incremental clinical benefit  with continued treatment over time. The high proportion of patients who needed  uptitration because of inadequate response to q4w dosing supports the q2w dose  regimen as optimal for this age group. Finally, the majority of patients who  stopped medication after having clear/almost clear skin sustained over 12 weeks  experienced disease recurrence, suggesting the need for continued dupilumab  dosing to maintain efficacy. TRIAL REGISTRATION: ClinicalTrials.gov Identifiers:  NCT02612454, NCT02407756, NCT03054428, and NCT03050151. INFOGRAPHIC: Video  abstract: What is the long-term safety and efficacy profile in adolescents with  moderate-to-severe atopic dermatitis treated with the approved dupilumab dose  regimen? (MP4 40,966 KB).","language":"eng","license":"© 2022. The Author(s).","note":"SC: 0000032 \nDOI: 10.1007/s40257-022-00683-2\nISSN: 1179-1888 1175-0561\nissue: 3\njournalAbbreviation: Am J Clin Dermatol\npage: 365-383\ncontainer-title: American journal of clinical dermatology\nPMID: 35567671 \nPMCID: PMC9142443","title":"Long-Term Efficacy and Safety of Dupilumab in Adolescents with Moderate-to-Severe Atopic Dermatitis: Results Through Week 52 from a Phase III Open-Label Extension  Trial (LIBERTY AD PED-OLE).","volume":"23","author":[{"family":"Blauvelt","given":"Andrew"},{"family":"Guttman-Yassky","given":"Emma"},{"family":"Paller","given":"Amy S."},{"family":"Simpson","given":"Eric L."},{"family":"Cork","given":"Michael J."},{"family":"Weisman","given":"Jamie"},{"family":"Browning","given":"John"},{"family":"Soong","given":"Weily"},{"family":"Sun","given":"Xian"},{"family":"Chen","given":"Zhen"},{"family":"Kosloski","given":"Matthew P."},{"family":"Kamal","given":"Mohamed A."},{"family":"Delevry","given":"Dimittri"},{"family":"Chuang","given":"Chien-Chia"},{"family":"O'Malley","given":"John T."},{"family":"Bansal","given":"Ashish"}],"issued":{"date-parts":[["2022",5]]}}}],"schema":"https://github.com/citation-style-language/schema/raw/master/csl-citation.json"}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[8]</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RCT-Phase3,OLE</w:t>
            </w:r>
          </w:p>
        </w:tc>
        <w:tc>
          <w:tcPr>
            <w:tcW w:w="986" w:type="dxa"/>
            <w:shd w:val="clear" w:color="auto" w:fill="92D050"/>
            <w:noWrap/>
          </w:tcPr>
          <w:p w14:paraId="12D240A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tcBorders>
              <w:bottom w:val="nil"/>
            </w:tcBorders>
            <w:shd w:val="clear" w:color="auto" w:fill="FF0000"/>
            <w:noWrap/>
          </w:tcPr>
          <w:p w14:paraId="27068DA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275" w:type="dxa"/>
            <w:tcBorders>
              <w:bottom w:val="nil"/>
            </w:tcBorders>
            <w:shd w:val="clear" w:color="auto" w:fill="FF0000"/>
            <w:noWrap/>
          </w:tcPr>
          <w:p w14:paraId="4174EA6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tcBorders>
              <w:bottom w:val="nil"/>
            </w:tcBorders>
            <w:shd w:val="clear" w:color="auto" w:fill="FF0000"/>
            <w:noWrap/>
          </w:tcPr>
          <w:p w14:paraId="3D50533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4D9660B7"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1D093B9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64044B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35CE1303" w14:textId="77777777">
        <w:trPr>
          <w:trHeight w:val="480"/>
        </w:trPr>
        <w:tc>
          <w:tcPr>
            <w:tcW w:w="461" w:type="dxa"/>
            <w:noWrap/>
          </w:tcPr>
          <w:p w14:paraId="238A04CA"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6</w:t>
            </w:r>
          </w:p>
        </w:tc>
        <w:tc>
          <w:tcPr>
            <w:tcW w:w="4077" w:type="dxa"/>
          </w:tcPr>
          <w:p w14:paraId="00E68271" w14:textId="35919F54"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Andrew Blauvelt et al,2020,</w:t>
            </w:r>
            <w:r>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{"citationID":"FKnRZUtY","properties":{"formattedCitation":"\\super [12]\\nosupersub{}","plainCitation":"[12]","noteIndex":0},"citationItems":[{"id":108,"uris":["http://zotero.org/users/local/f4DW1Eli/items/Y4JS97KX"],"itemData":{"id":108,"type":"article-journal","abstract":"IMPORTANCE: Systemic treatments for severe childhood atopic dermatitis have limited evidence and/or are unlicensed. Despite the efficacy of anti-IgE  medication (omalizumab) in the treatment of atopy, no large randomized studies in  childhood atopic dermatitis have been published. OBJECTIVE: To determine the  effectiveness of omalizumab in treating severe atopic dermatitis in children.  DESIGN, SETTING, AND PARTICIPANTS: The Atopic Dermatitis Anti-IgE Pediatric Trial  (ADAPT) was a 24-week single-center, double-blind, placebo-controlled randomized  clinical trial with a 24-week follow-up. Conducted from November 20, 2014, to  August 31, 2017, at Guy's and St Thomas' Hospital NHS Foundation Trust and King's  College London in the United Kingdom, this trial recruited participants after a  screening visit. Eligible participants (n = 62) were aged 4 to 19 years and had  severe eczema (with objective Scoring Atopic Dermatitis [SCORAD] index &gt;40) that  was unresponsive to optimum therapy. Statistical analysis was conducted using the  intention-to-treat principle. INTERVENTIONS: Subcutaneous omalizumab or placebo  for 24 weeks. The drug manufacturer's dosing tables were used to determine the  dosage based on total IgE (30-1500 IU/mL) and body weight (in kilograms) at  randomization. MAIN OUTCOMES AND MEASURES: Objective SCORAD index after 24 weeks  of treatment. RESULTS: In total, 62 children (mean [SD] age, 10.3 [4.2] years; 32  (52%) were male) were randomized to either omalizumab (n = 30) or placebo  (n = 32). Five participants withdrew from treatment (4 [13%] from the placebo  group, and 1 [3%] from the omalizumab group). Follow-up attendance was 97% at  week 24 and 98% at week 48. After adjustment for baseline objective SCORAD index,  age, and IgE level, the mean difference in objective SCORAD index improvement  between groups at week 24 was -6.9 (95% CI, -12.2 to -1.5; P = .01),  significantly favoring omalizumab therapy and reflecting the results in other  assessments of atopic dermatitis severity. Improved quality-of-life scores were  seen in the omalizumab group, as measured by the Children's Dermatology Life  Quality Index/Dermatology Life Quality Index (-3.5; 95% CI, -6.4 to -0.5) and  Pediatric Allergic Disease Quality of Life Questionnaire score (-0.5; 95% CI,  -0.9 to -0.0). Improvements in disease severity occurred despite lower potent  topical corticosteroid use in the omalizumab group compared with the placebo  group (median [interquartile range (IQR)] percentage of body surface area  covered, 16% [10%-46%] vs 31% [14%-55%]; median [IQR] number of days of use, 109  [34-164] days vs 161 [82-171] days). CONCLUSIONS AND RELEVANCE: This randomized  clinical trial found that omalizumab significantly reduced atopic dermatitis  severity and improved quality of life in a pediatric population with atopy and  severe eczema despite highly elevated total IgE levels at baseline. The result  was associated with a potent topical corticosteroid sparing effect and may  suggest that omalizumab is a treatment option for difficult-to-manage severe  eczema in children with atopy. TRIAL REGISTRATION: ClinicalTrials.gov identifier:  NCT02300701.","container-title":"JAMA pediatrics","DOI":"10.1001/jamapediatrics.2019.4476","ISSN":"2168-6211 2168-6203","issue":"1","journalAbbreviation":"JAMA Pediatr","language":"eng","note":"SC: 0000088 \npublisher-place: United States\nPMID: 31764962 \nPMCID: PMC6902112","page":"29-37","title":"Treatment Effect of Omalizumab on Severe Pediatric Atopic Dermatitis: The ADAPT Randomized Clinical Trial.","volume":"174","author":[{"family":"Chan","given":"Susan"},{"family":"Cornelius","given":"Victoria"},{"family":"Cro","given":"Suzie"},{"family":"Harper","given":"John I."},{"family":"Lack","given":"Gideon"}],"issued":{"date-parts":[["2020",1,1]]}}}],"schema":"https://github.com/citation-style-language/schema/raw/master/csl-citation.json"} </w:instrText>
            </w:r>
            <w:r>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[12]</w:t>
            </w:r>
            <w:r>
              <w:rPr>
                <w:rFonts w:asciiTheme="minorHAnsi" w:hAnsiTheme="minorHAnsi" w:cstheme="minorHAnsi"/>
                <w:color w:val="000000"/>
                <w:kern w:val="0"/>
                <w:sz w:val="22"/>
                <w:szCs w:val="22"/>
              </w:rPr>
              <w:fldChar w:fldCharType="end"/>
            </w:r>
            <w:r>
              <w:rPr>
                <w:rFonts w:asciiTheme="minorHAnsi" w:hAnsiTheme="minorHAnsi" w:cstheme="minorHAnsi"/>
                <w:color w:val="000000"/>
                <w:kern w:val="0"/>
                <w:sz w:val="22"/>
                <w:szCs w:val="22"/>
              </w:rPr>
              <w:t>OLE</w:t>
            </w:r>
          </w:p>
        </w:tc>
        <w:tc>
          <w:tcPr>
            <w:tcW w:w="986" w:type="dxa"/>
            <w:shd w:val="clear" w:color="auto" w:fill="FFFF00"/>
            <w:noWrap/>
          </w:tcPr>
          <w:p w14:paraId="2626E05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unclear risk</w:t>
            </w:r>
          </w:p>
        </w:tc>
        <w:tc>
          <w:tcPr>
            <w:tcW w:w="843" w:type="dxa"/>
            <w:tcBorders>
              <w:top w:val="nil"/>
              <w:bottom w:val="nil"/>
            </w:tcBorders>
            <w:shd w:val="clear" w:color="auto" w:fill="FF0000"/>
            <w:noWrap/>
          </w:tcPr>
          <w:p w14:paraId="3C79921F"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high risk</w:t>
            </w:r>
          </w:p>
        </w:tc>
        <w:tc>
          <w:tcPr>
            <w:tcW w:w="1275" w:type="dxa"/>
            <w:tcBorders>
              <w:top w:val="nil"/>
              <w:bottom w:val="nil"/>
            </w:tcBorders>
            <w:shd w:val="clear" w:color="auto" w:fill="FF0000"/>
            <w:noWrap/>
          </w:tcPr>
          <w:p w14:paraId="1EE781CC"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tcBorders>
              <w:top w:val="nil"/>
              <w:bottom w:val="nil"/>
            </w:tcBorders>
            <w:shd w:val="clear" w:color="auto" w:fill="FF0000"/>
            <w:noWrap/>
          </w:tcPr>
          <w:p w14:paraId="326B38B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566AA00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5389786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5BDC8458"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r w:rsidR="00D1770F" w14:paraId="72CC06A1" w14:textId="77777777">
        <w:trPr>
          <w:trHeight w:val="480"/>
        </w:trPr>
        <w:tc>
          <w:tcPr>
            <w:tcW w:w="461" w:type="dxa"/>
            <w:noWrap/>
          </w:tcPr>
          <w:p w14:paraId="3DBC3B46" w14:textId="77777777" w:rsidR="00D1770F" w:rsidRDefault="00000000">
            <w:pPr>
              <w:widowControl/>
              <w:jc w:val="righ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7</w:t>
            </w:r>
          </w:p>
        </w:tc>
        <w:tc>
          <w:tcPr>
            <w:tcW w:w="4077" w:type="dxa"/>
          </w:tcPr>
          <w:p w14:paraId="793AB675" w14:textId="4CCA4901"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hint="eastAsia"/>
                <w:color w:val="000000"/>
                <w:kern w:val="0"/>
                <w:sz w:val="22"/>
                <w:szCs w:val="22"/>
              </w:rPr>
              <w:t>Amy S. Paller et al,2023,Tralokinumab</w:t>
            </w:r>
            <w:r w:rsidR="001A4B5B">
              <w:rPr>
                <w:rFonts w:asciiTheme="minorHAnsi" w:hAnsiTheme="minorHAnsi" w:cstheme="minorHAnsi"/>
                <w:color w:val="000000"/>
                <w:kern w:val="0"/>
                <w:sz w:val="22"/>
                <w:szCs w:val="22"/>
              </w:rPr>
              <w:t>,</w:t>
            </w:r>
            <w:r w:rsidR="001A4B5B">
              <w:rPr>
                <w:rFonts w:asciiTheme="minorHAnsi" w:hAnsiTheme="minorHAnsi" w:cstheme="minorHAnsi"/>
                <w:color w:val="000000"/>
                <w:kern w:val="0"/>
                <w:sz w:val="22"/>
                <w:szCs w:val="22"/>
              </w:rPr>
              <w:fldChar w:fldCharType="begin"/>
            </w:r>
            <w:r w:rsidR="001A4B5B">
              <w:rPr>
                <w:rFonts w:asciiTheme="minorHAnsi" w:hAnsiTheme="minorHAnsi" w:cstheme="minorHAnsi"/>
                <w:color w:val="000000"/>
                <w:kern w:val="0"/>
                <w:sz w:val="22"/>
                <w:szCs w:val="22"/>
              </w:rPr>
              <w:instrText xml:space="preserve"> ADDIN ZOTERO_ITEM CSL_CITATION {"citationID":"l8zYd8zq","properties":{"formattedCitation":"\\super [16]\\nosupersub{}","plainCitation":"[16]","noteIndex":0},"citationItems":[{"id":135,"uris":["http://zotero.org/users/local/f4DW1Eli/items/9T5XN8BP"],"itemData":{"id":135,"type":"article-journal","abstract":"IMPORTANCE: Safe and effective long-term treatments for adolescents with moderate to severe atopic dermatitis (AD) are limited. OBJECTIVE: To evaluate the efficacy  and safety of interleukin-13-targeted treatment with tralokinumab monotherapy in  adolescents with AD. DESIGN, SETTING, AND PARTICIPANTS: The 52-week, randomized,  double-blinded, placebo-controlled, phase 3 ECZTRA 6 trial was conducted from  July 17, 2018, through March 16, 2021, at 72 cent</w:instrText>
            </w:r>
            <w:r w:rsidR="001A4B5B">
              <w:rPr>
                <w:rFonts w:asciiTheme="minorHAnsi" w:hAnsiTheme="minorHAnsi" w:cstheme="minorHAnsi" w:hint="eastAsia"/>
                <w:color w:val="000000"/>
                <w:kern w:val="0"/>
                <w:sz w:val="22"/>
                <w:szCs w:val="22"/>
              </w:rPr>
              <w:instrText xml:space="preserve">ers across 10 countries in North  America, Europe, Asia, and Australia. Enrolled patients were 12 to 17 years old  with moderate to severe AD (Investigator's Global Assessment [IGA] score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 xml:space="preserve">3;  Eczema Area and Severity Index [EASI] </w:instrText>
            </w:r>
            <w:r w:rsidR="001A4B5B">
              <w:rPr>
                <w:rFonts w:asciiTheme="minorHAnsi" w:hAnsiTheme="minorHAnsi" w:cstheme="minorHAnsi" w:hint="eastAsia"/>
                <w:color w:val="000000"/>
                <w:kern w:val="0"/>
                <w:sz w:val="22"/>
                <w:szCs w:val="22"/>
              </w:rPr>
              <w:instrText>≥</w:instrText>
            </w:r>
            <w:r w:rsidR="001A4B5B">
              <w:rPr>
                <w:rFonts w:asciiTheme="minorHAnsi" w:hAnsiTheme="minorHAnsi" w:cstheme="minorHAnsi" w:hint="eastAsia"/>
                <w:color w:val="000000"/>
                <w:kern w:val="0"/>
                <w:sz w:val="22"/>
                <w:szCs w:val="22"/>
              </w:rPr>
              <w:instrText>16). INTERVENTIONS: Pat</w:instrText>
            </w:r>
            <w:r w:rsidR="001A4B5B">
              <w:rPr>
                <w:rFonts w:asciiTheme="minorHAnsi" w:hAnsiTheme="minorHAnsi" w:cstheme="minorHAnsi"/>
                <w:color w:val="000000"/>
                <w:kern w:val="0"/>
                <w:sz w:val="22"/>
                <w:szCs w:val="22"/>
              </w:rPr>
              <w:instrText xml:space="preserve">ients were  randomized (1:1:1) to tralokinumab (150 or 300 mg) or placebo every 2 weeks for  16 weeks. Patients with an IGA score of 0 (clear) or 1 (almost clear) and/or 75%  or higher improvement in EASI (EASI 75) at week 16 without rescue medication  received maintenance treatment; other patients switched to open-label  tralokinumab, 300 mg, every 2 weeks. MAIN OUTCOMES AND MEASURES: Primary end  points at week 16 were an IGA score of 0 or 1 and/or achieving EASI 75. Key  secondary end points were a reduction of Adolescent Worst Pruritus Numeric Rating  Scale of 4 or more, change in SCORing AD, and change in Children's Dermatology  Life Quality Index from baseline to week 16. Safety end points were the number of  adverse events and serious adverse events. RESULTS: Of 301 patients randomized,  289 comprised the full analysis set (median [IQR] age, 15.0 [13.0-16.0] years;  149 [51.6%] male). More patients receiving tralokinumab, 150 mg, (n = 98), and  tralokinumab, 300 mg (n = 97), achieved an IGA score of 0 or 1 without rescue  medication at week 16 (21 [21.4%] and 17 [17.5%], respectively) vs placebo  (n = 94; 4 [4.3%]) (adjusted difference, 17.5% [95% CI, 8.4%-26.6%]; P &lt; .001 and  13.8% [95% CI, 5.3%-22.3%]; P = .002, respectively). More patients receiving  tralokinumab, 150 mg (28 [28.6%]), and tralokinumab, 300 mg, (27 [27.8%]) vs  placebo (6 [6.4%]) achieved EASI 75 without rescue at week 16 (adjusted  difference, 22.5% [95% CI, 12.4%-32.6%]; P &lt; .001 and 22.0% [95% CI,  12.0%-32.0%]; P &lt; .001, respectively). Proportions of patients with Adolescent  Worst Pruritus Numeric Rating Scale reduction of 4 or more from baseline were  greater with tralokinumab, 150 mg (23.2%), and tralokinumab, 300 (25.0%), vs  placebo (3.3%), and adjusted mean changes were greater in SCORing AD with  tralokinumab, 150 mg (-27.5), and tralokinumab, 300 mg (-29.1), vs placebo (-9.5)  and in Children's Dermatology Life Quality Index with tralokinumab, 150 mg  (-6.1), and tralokinumab, 300 mg (-6.7), vs placebo (-4.1) at week 16. At week  52, tralokinumab efficacy was maintained without rescue in more than 50% of  patients meeting primary end point(s) at week 16. In the open-label phase, IGA  score of 0 or 1 and EASI 75 were achieved in 33.3% and 57.8%, respectively, at  week 52. Tralokinumab was well tolerated, without frequency of conjunctivitis  increasing through week 52. CONCLUSIONS AND RELEVANCE: In this randomized  clinical trial, tralokinumab was efficacious and well tolerated, supporting its  value for treating adolescents with moderate to severe AD. TRIAL REGISTRATION:  ClinicalTrials.gov Identifier: NCT03526861.","container-title":"JAMA dermatology","DOI":"10.1001/jamadermatol.2023.0627","ISSN":"2168-6084 2168-6068","issue":"6","journalAbbreviation":"JAMA Dermatol","language":"eng","note":"SC: 0000018 \npublisher-place: United States\nPMID: 37074705 \nPMCID: PMC10116386","page":"596-605","title":"Efficacy and Safety of Tralokinumab in Adolescents With Moderate to Severe Atopic Dermatitis: The Phase 3 ECZTRA 6 Randomized Clinical Trial.","volume":"159","author":[{"family":"Paller","given":"Amy S."},{"family":"Flohr","given":"Carsten"},{"family":"Cork","given":"Michael"},{"family":"Bewley","given":"Anthony"},{"family":"Blauvelt","given":"Andrew"},{"family":"Hong","given":"H. Chih-Ho"},{"family":"Imafuku","given":"Shinichi"},{"family":"Schuttelaar","given":"Marie L. A."},{"family":"Simpson","given":"Eric L."},{"family":"Soong","given":"Weily"},{"family":"Arlert","given":"Petra"},{"family":"Lophaven","given":"Katja Wendicke"},{"family":"Kurbasic","given":"Azra"},{"family":"Soldbro","given":"Lise"},{"family":"Vest","given":"Natacha Strange"},{"family":"Wollenberg","given":"Andreas"}],"issued":{"date-parts":[["2023",6,1]]}}}],"schema":"https://github.com/citation-style-language/schema/raw/master/csl-citation.json"} </w:instrText>
            </w:r>
            <w:r w:rsidR="001A4B5B">
              <w:rPr>
                <w:rFonts w:asciiTheme="minorHAnsi" w:hAnsiTheme="minorHAnsi" w:cstheme="minorHAnsi"/>
                <w:color w:val="000000"/>
                <w:kern w:val="0"/>
                <w:sz w:val="22"/>
                <w:szCs w:val="22"/>
              </w:rPr>
              <w:fldChar w:fldCharType="separate"/>
            </w:r>
            <w:r w:rsidR="001A4B5B" w:rsidRPr="001A4B5B">
              <w:rPr>
                <w:rFonts w:hAnsiTheme="minorHAnsi" w:cs="Calibri"/>
                <w:color w:val="000000"/>
                <w:kern w:val="0"/>
                <w:sz w:val="22"/>
                <w:vertAlign w:val="superscript"/>
              </w:rPr>
              <w:t>[16]</w:t>
            </w:r>
            <w:r w:rsidR="001A4B5B">
              <w:rPr>
                <w:rFonts w:asciiTheme="minorHAnsi" w:hAnsiTheme="minorHAnsi" w:cstheme="minorHAnsi"/>
                <w:color w:val="000000"/>
                <w:kern w:val="0"/>
                <w:sz w:val="22"/>
                <w:szCs w:val="22"/>
              </w:rPr>
              <w:fldChar w:fldCharType="end"/>
            </w:r>
            <w:r>
              <w:rPr>
                <w:rFonts w:asciiTheme="minorHAnsi" w:hAnsiTheme="minorHAnsi" w:cstheme="minorHAnsi" w:hint="eastAsia"/>
                <w:color w:val="000000"/>
                <w:kern w:val="0"/>
                <w:sz w:val="22"/>
                <w:szCs w:val="22"/>
              </w:rPr>
              <w:t>RCT-Phase3,OLE</w:t>
            </w:r>
            <w:r>
              <w:rPr>
                <w:rFonts w:asciiTheme="minorHAnsi" w:hAnsiTheme="minorHAnsi" w:cstheme="minorHAnsi"/>
                <w:color w:val="000000"/>
                <w:kern w:val="0"/>
                <w:sz w:val="22"/>
                <w:szCs w:val="22"/>
                <w:vertAlign w:val="superscript"/>
              </w:rPr>
              <w:t>a</w:t>
            </w:r>
          </w:p>
        </w:tc>
        <w:tc>
          <w:tcPr>
            <w:tcW w:w="986" w:type="dxa"/>
            <w:shd w:val="clear" w:color="auto" w:fill="92D050"/>
            <w:noWrap/>
          </w:tcPr>
          <w:p w14:paraId="5C769206"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843" w:type="dxa"/>
            <w:tcBorders>
              <w:top w:val="nil"/>
            </w:tcBorders>
            <w:shd w:val="clear" w:color="auto" w:fill="FF0000"/>
            <w:noWrap/>
          </w:tcPr>
          <w:p w14:paraId="4BCCE332"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high risk</w:t>
            </w:r>
          </w:p>
        </w:tc>
        <w:tc>
          <w:tcPr>
            <w:tcW w:w="1275" w:type="dxa"/>
            <w:tcBorders>
              <w:top w:val="nil"/>
            </w:tcBorders>
            <w:shd w:val="clear" w:color="auto" w:fill="FF0000"/>
            <w:noWrap/>
          </w:tcPr>
          <w:p w14:paraId="0E34C80A"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1134" w:type="dxa"/>
            <w:tcBorders>
              <w:top w:val="nil"/>
            </w:tcBorders>
            <w:shd w:val="clear" w:color="auto" w:fill="FF0000"/>
            <w:noWrap/>
          </w:tcPr>
          <w:p w14:paraId="19EAD711"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 xml:space="preserve">high risk </w:t>
            </w:r>
          </w:p>
        </w:tc>
        <w:tc>
          <w:tcPr>
            <w:tcW w:w="986" w:type="dxa"/>
            <w:shd w:val="clear" w:color="auto" w:fill="92D050"/>
            <w:noWrap/>
          </w:tcPr>
          <w:p w14:paraId="614959D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656" w:type="dxa"/>
            <w:shd w:val="clear" w:color="auto" w:fill="92D050"/>
            <w:noWrap/>
          </w:tcPr>
          <w:p w14:paraId="5607EBC3"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c>
          <w:tcPr>
            <w:tcW w:w="986" w:type="dxa"/>
            <w:shd w:val="clear" w:color="auto" w:fill="92D050"/>
            <w:noWrap/>
          </w:tcPr>
          <w:p w14:paraId="08EC7834" w14:textId="77777777" w:rsidR="00D1770F" w:rsidRDefault="00000000">
            <w:pPr>
              <w:widowControl/>
              <w:jc w:val="left"/>
              <w:rPr>
                <w:rFonts w:asciiTheme="minorHAnsi" w:hAnsiTheme="minorHAnsi" w:cstheme="minorHAnsi"/>
                <w:color w:val="000000"/>
                <w:kern w:val="0"/>
                <w:sz w:val="22"/>
                <w:szCs w:val="22"/>
              </w:rPr>
            </w:pPr>
            <w:r>
              <w:rPr>
                <w:rFonts w:asciiTheme="minorHAnsi" w:hAnsiTheme="minorHAnsi" w:cstheme="minorHAnsi"/>
                <w:color w:val="000000"/>
                <w:kern w:val="0"/>
                <w:sz w:val="22"/>
                <w:szCs w:val="22"/>
              </w:rPr>
              <w:t>low risk</w:t>
            </w:r>
          </w:p>
        </w:tc>
      </w:tr>
    </w:tbl>
    <w:p w14:paraId="182740FB" w14:textId="77777777" w:rsidR="00D1770F" w:rsidRDefault="00000000">
      <w:pPr>
        <w:jc w:val="left"/>
        <w:rPr>
          <w:rFonts w:cs="Calibri"/>
          <w:color w:val="000000"/>
          <w:kern w:val="0"/>
          <w:sz w:val="22"/>
          <w:szCs w:val="22"/>
        </w:rPr>
      </w:pPr>
      <w:r>
        <w:rPr>
          <w:rFonts w:cs="Calibri"/>
          <w:color w:val="000000"/>
          <w:kern w:val="0"/>
          <w:sz w:val="22"/>
          <w:szCs w:val="22"/>
        </w:rPr>
        <w:t>OLE,open-label extension study;RCT, randomized clinical trial.</w:t>
      </w:r>
    </w:p>
    <w:p w14:paraId="34F4A5A4" w14:textId="77777777" w:rsidR="00D1770F" w:rsidRDefault="00000000">
      <w:pPr>
        <w:jc w:val="left"/>
        <w:rPr>
          <w:rFonts w:cs="Calibri"/>
          <w:color w:val="000000"/>
          <w:kern w:val="0"/>
          <w:sz w:val="22"/>
          <w:szCs w:val="22"/>
        </w:rPr>
      </w:pPr>
      <w:r>
        <w:rPr>
          <w:rFonts w:cs="Calibri"/>
          <w:color w:val="000000"/>
          <w:kern w:val="0"/>
          <w:sz w:val="22"/>
          <w:szCs w:val="22"/>
        </w:rPr>
        <w:t>aThe first authors and publication years of the two articles are identical (Amy S. Paller et al, 2023). To distinguish between them, distinct identifiers 'Upadacitinib' and 'Tralokinumab' are used, representing the full titles of the respective articles: 'Efficacy and Safety of Upadacitinib Treatment in Adolescents With</w:t>
      </w:r>
      <w:r>
        <w:rPr>
          <w:rFonts w:cs="Calibri" w:hint="eastAsia"/>
          <w:color w:val="000000"/>
          <w:kern w:val="0"/>
          <w:sz w:val="22"/>
          <w:szCs w:val="22"/>
        </w:rPr>
        <w:t xml:space="preserve"> </w:t>
      </w:r>
      <w:r>
        <w:rPr>
          <w:rFonts w:cs="Calibri"/>
          <w:color w:val="000000"/>
          <w:kern w:val="0"/>
          <w:sz w:val="22"/>
          <w:szCs w:val="22"/>
        </w:rPr>
        <w:t>Moderate-to-Severe Atopic Dermatitis: Analysis of the Measure Up 1, Measure Up 2, and AD Up Randomized Clinical Trials' and 'Efficacy and Safety of Tralokinumab in Adolescents With Moderate to Severe Atopic Dermatitis: The Phase 3 ECZTRA 6 Randomized Clinical Trial'.</w:t>
      </w:r>
    </w:p>
    <w:p w14:paraId="288350DB" w14:textId="77777777" w:rsidR="00D1770F" w:rsidRDefault="00D1770F">
      <w:pPr>
        <w:jc w:val="left"/>
      </w:pPr>
    </w:p>
    <w:p w14:paraId="50C1B7F3" w14:textId="77777777" w:rsidR="00D1770F" w:rsidRDefault="00D1770F">
      <w:pPr>
        <w:jc w:val="left"/>
      </w:pPr>
    </w:p>
    <w:p w14:paraId="32BACFAD" w14:textId="77777777" w:rsidR="00D1770F" w:rsidRDefault="00000000">
      <w:pPr>
        <w:jc w:val="left"/>
        <w:rPr>
          <w:b/>
          <w:bCs/>
        </w:rPr>
      </w:pPr>
      <w:r>
        <w:rPr>
          <w:b/>
          <w:bCs/>
        </w:rPr>
        <w:t>eReferences.</w:t>
      </w:r>
    </w:p>
    <w:p w14:paraId="43BDF6FD" w14:textId="77777777" w:rsidR="00D1770F" w:rsidRDefault="00D1770F">
      <w:pPr>
        <w:jc w:val="left"/>
      </w:pPr>
    </w:p>
    <w:p w14:paraId="1878DDB8" w14:textId="77777777" w:rsidR="001A4B5B" w:rsidRPr="001A4B5B" w:rsidRDefault="00000000">
      <w:pPr>
        <w:autoSpaceDE w:val="0"/>
        <w:autoSpaceDN w:val="0"/>
        <w:adjustRightInd w:val="0"/>
        <w:rPr>
          <w:rFonts w:cs="Calibri"/>
          <w:color w:val="000000"/>
          <w:kern w:val="0"/>
          <w:sz w:val="22"/>
        </w:rPr>
      </w:pPr>
      <w:r>
        <w:fldChar w:fldCharType="begin"/>
      </w:r>
      <w:r>
        <w:instrText xml:space="preserve"> ADDIN ZOTERO_BIBL {"uncited":[],"omitted":[],"custom":[]} CSL_BIBLIOGRAPHY </w:instrText>
      </w:r>
      <w:r>
        <w:fldChar w:fldCharType="separate"/>
      </w:r>
      <w:r w:rsidR="001A4B5B" w:rsidRPr="001A4B5B">
        <w:rPr>
          <w:rFonts w:cs="Calibri"/>
          <w:color w:val="000000"/>
          <w:kern w:val="0"/>
          <w:sz w:val="22"/>
        </w:rPr>
        <w:t xml:space="preserve">[1] </w:t>
      </w:r>
      <w:r w:rsidR="001A4B5B" w:rsidRPr="001A4B5B">
        <w:rPr>
          <w:rFonts w:cs="Calibri"/>
          <w:color w:val="000000"/>
          <w:kern w:val="0"/>
          <w:sz w:val="22"/>
        </w:rPr>
        <w:tab/>
        <w:t xml:space="preserve">El-Khalawany M A, Hassan H, Shaaban D, Ghonaim N, Eassa B. Methotrexate versus cyclosporine in the treatment of severe atopic dermatitis in children: a multicenter experience from Egypt.[J]. European journal of pediatrics, 2013, 172(3): 351–356. </w:t>
      </w:r>
    </w:p>
    <w:p w14:paraId="6FDE9323"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[2] </w:t>
      </w:r>
      <w:r w:rsidRPr="001A4B5B">
        <w:rPr>
          <w:rFonts w:cs="Calibri"/>
          <w:color w:val="000000"/>
          <w:kern w:val="0"/>
          <w:sz w:val="22"/>
        </w:rPr>
        <w:tab/>
        <w:t xml:space="preserve">Cork M J, Thaçi D, Eichenfield L F, Arkwright P D, Hultsch T, Davis J D, Zhang Y, Zhu X, Chen Z, Li M, Ardeleanu M, Teper A, Akinlade B, Gadkari A, Eckert L, Kamal M A, Ruddy M, Graham N M H, Pirozzi G, Stahl N, DiCioccio A T, Bansal A. Dupilumab in adolescents with uncontrolled moderate-to-severe atopic dermatitis: results from a phase IIa open-label trial and subsequent phase III open-label  extension.[J]. The British journal of dermatology, 2020, 182(1): 85–96. </w:t>
      </w:r>
    </w:p>
    <w:p w14:paraId="48BFA7DD"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[3] </w:t>
      </w:r>
      <w:r w:rsidRPr="001A4B5B">
        <w:rPr>
          <w:rFonts w:cs="Calibri"/>
          <w:color w:val="000000"/>
          <w:kern w:val="0"/>
          <w:sz w:val="22"/>
        </w:rPr>
        <w:tab/>
        <w:t xml:space="preserve">Huang J L, Lee W Y, Chen L C, Kuo M L, Hsieh K H. Changes of serum levels of interleukin-2, intercellular adhesion molecule-1, endothelial leukocyte adhesion molecule-1 and Th1 and Th2 cell in severe atopic  dermatitis after intravenous immunoglobulin therapy.[J]. Annals of allergy, asthma &amp; immunology : official publication of the American College of Allergy, Asthma, &amp; Immunology, 2000, 84(3): 345–352. </w:t>
      </w:r>
    </w:p>
    <w:p w14:paraId="7B97B6C1"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[4] </w:t>
      </w:r>
      <w:r w:rsidRPr="001A4B5B">
        <w:rPr>
          <w:rFonts w:cs="Calibri"/>
          <w:color w:val="000000"/>
          <w:kern w:val="0"/>
          <w:sz w:val="22"/>
        </w:rPr>
        <w:tab/>
        <w:t xml:space="preserve">Stingeni L, Bianchi L, Antonelli E, Caroppo E S, Ferrucci S M, Ortoncelli M, Fabbrocini G, Nettis E, Schena D, Napolitano M, Gola M, Bonzano L, Rossi M, Belloni Fortina A, Balato A, Peris K, Foti C, Guarneri F, Romanelli M, Patruno C, Savoia P, Fargnoli M C, Russo F, Errichetti E, Bianchelli T, Bianchi L, Pellacani G, Feliciani C, Offidani A, Corazza M, Micali G, Milanesi N, Malara G, Chiricozzi A, Tramontana M, Hansel K. Moderate-to-severe atopic dermatitis in adolescents treated with dupilumab: A multicentre Italian real-world experience.[J]. Journal of the European Academy of Dermatology and Venereology : JEADV, 2022, 36(8): 1292–1299. </w:t>
      </w:r>
    </w:p>
    <w:p w14:paraId="064AF26B"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[5] </w:t>
      </w:r>
      <w:r w:rsidRPr="001A4B5B">
        <w:rPr>
          <w:rFonts w:cs="Calibri"/>
          <w:color w:val="000000"/>
          <w:kern w:val="0"/>
          <w:sz w:val="22"/>
        </w:rPr>
        <w:tab/>
        <w:t xml:space="preserve">Stingeni L, Bianchi L, Antonelli E, Caroppo E S, Ferrucci S M, Gurioli C, Ortoncelli M, </w:t>
      </w:r>
      <w:r w:rsidRPr="001A4B5B">
        <w:rPr>
          <w:rFonts w:cs="Calibri"/>
          <w:color w:val="000000"/>
          <w:kern w:val="0"/>
          <w:sz w:val="22"/>
        </w:rPr>
        <w:lastRenderedPageBreak/>
        <w:t xml:space="preserve">Fabbrocini G, Nettis E, Schena D, Napolitano M, Gola M, Bonzano L, Rossi M, Belloni Fortina A, Balato A, Peris K, Foti C, Guarneri F, Romanelli M, Patruno C, Savoia P, Esposito M, Russo F, Errichetti E, Bianchelli T, Bianchi L, Pellacani G, Feliciani C, Offidani A, Corazza M, Micali G, Milanesi N, Malara G, Chiricozzi A, Tramontana M, Hansel K. A 52-week update of a multicentre Italian real-world experience on effectiveness and safety of dupilumab in adolescents with moderate-to-severe atopic dermatitis.[J]. Journal of the European Academy of Dermatology and Venereology : JEADV, 2023, 37(3): e384–e388. </w:t>
      </w:r>
    </w:p>
    <w:p w14:paraId="0442A05B"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[6] </w:t>
      </w:r>
      <w:r w:rsidRPr="001A4B5B">
        <w:rPr>
          <w:rFonts w:cs="Calibri"/>
          <w:color w:val="000000"/>
          <w:kern w:val="0"/>
          <w:sz w:val="22"/>
        </w:rPr>
        <w:tab/>
        <w:t xml:space="preserve">Pagan A D, David E, Ungar B, Ghalili S, He H, Guttman-Yassky E. Dupilumab Improves Clinical Scores in Children and Adolescents With Moderate to Severe Atopic Dermatitis: A Real-World, Single-Center Study.[J]. The journal of allergy and clinical immunology. In practice, 2022, 10(9): 2378–2385. </w:t>
      </w:r>
    </w:p>
    <w:p w14:paraId="0B0E805A"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[7] </w:t>
      </w:r>
      <w:r w:rsidRPr="001A4B5B">
        <w:rPr>
          <w:rFonts w:cs="Calibri"/>
          <w:color w:val="000000"/>
          <w:kern w:val="0"/>
          <w:sz w:val="22"/>
        </w:rPr>
        <w:tab/>
        <w:t xml:space="preserve">Simpson E L, Paller A S, Siegfried E C, Boguniewicz M, Sher L, Gooderham M J, Beck L A, Guttman-Yassky E, Pariser D, Blauvelt A, Weisman J, Lockshin B, Hultsch T, Zhang Q, Kamal M A, Davis J D, Akinlade B, Staudinger H, Hamilton J D, Graham N M H, Pirozzi G, Gadkari A, Eckert L, Stahl N, Yancopoulos G D, Ruddy M, Bansal A. Efficacy and Safety of Dupilumab in Adolescents With Uncontrolled Moderate to Severe Atopic Dermatitis: A Phase 3 Randomized Clinical Trial.[J]. JAMA dermatology, 2020, 156(1): 44–56. </w:t>
      </w:r>
    </w:p>
    <w:p w14:paraId="465EC680"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[8] </w:t>
      </w:r>
      <w:r w:rsidRPr="001A4B5B">
        <w:rPr>
          <w:rFonts w:cs="Calibri"/>
          <w:color w:val="000000"/>
          <w:kern w:val="0"/>
          <w:sz w:val="22"/>
        </w:rPr>
        <w:tab/>
        <w:t xml:space="preserve">Blauvelt A, Guttman-Yassky E, Paller A S, Simpson E L, Cork M J, Weisman J, Browning J, Soong W, Sun X, Chen Z, Kosloski M P, Kamal M A, Delevry D, Chuang C-C, O’Malley J T, Bansal A. Long-Term Efficacy and Safety of Dupilumab in Adolescents with Moderate-to-Severe Atopic Dermatitis: Results Through Week 52 from a Phase III Open-Label Extension  Trial (LIBERTY AD PED-OLE).[J]. 2022, 23(3). ,2022. </w:t>
      </w:r>
    </w:p>
    <w:p w14:paraId="3CF1F31E"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[9] </w:t>
      </w:r>
      <w:r w:rsidRPr="001A4B5B">
        <w:rPr>
          <w:rFonts w:cs="Calibri"/>
          <w:color w:val="000000"/>
          <w:kern w:val="0"/>
          <w:sz w:val="22"/>
        </w:rPr>
        <w:tab/>
        <w:t xml:space="preserve">Paller A S, Simpson E L, Siegfried E C, Cork M J, Wollenberg A, Arkwright P D, Soong W, Gonzalez M E, Schneider L C, Sidbury R, Lockshin B, Meltzer S, Wang Z, Mannent L P, Amin N, Sun Y, Laws E, Akinlade B, Dillon M, Kosloski M P, Kamal M A, Dubost-Brama A, Patel N, Weinreich D M, Yancopoulos G D, O’Malley J T, Bansal A. Dupilumab in children aged 6 months to younger than 6 years with uncontrolled atopic dermatitis: a randomised, double-blind, placebo-controlled, phase 3 trial.[J]. Lancet (London, England), 2022, 400(10356): 908–919. </w:t>
      </w:r>
    </w:p>
    <w:p w14:paraId="29089ED7"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[10] </w:t>
      </w:r>
      <w:r w:rsidRPr="001A4B5B">
        <w:rPr>
          <w:rFonts w:cs="Calibri"/>
          <w:color w:val="000000"/>
          <w:kern w:val="0"/>
          <w:sz w:val="22"/>
        </w:rPr>
        <w:tab/>
        <w:t xml:space="preserve">Eichenfield L F, Flohr C, Sidbury R, Siegfried E, Szalai Z, Galus R, Yao Z, Takahashi H, Barbarot S, Feeney C, Zhang F, DiBonaventura M, Rojo R, Valdez H, Chan G. Efficacy and Safety of Abrocitinib in Combination With Topical Therapy in Adolescents With Moderate-to-Severe Atopic Dermatitis: The JADE TEEN Randomized  Clinical Trial.[J]. JAMA dermatology, 2021, 157(10): 1165–1173. </w:t>
      </w:r>
    </w:p>
    <w:p w14:paraId="4AC268E2"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[11] </w:t>
      </w:r>
      <w:r w:rsidRPr="001A4B5B">
        <w:rPr>
          <w:rFonts w:cs="Calibri"/>
          <w:color w:val="000000"/>
          <w:kern w:val="0"/>
          <w:sz w:val="22"/>
        </w:rPr>
        <w:tab/>
        <w:t xml:space="preserve">Cork M J, Thaçi D, Eichenfield L F, Arkwright P D, Sun X, Chen Z, Akinlade B, Boklage S, Guillemin I, Kosloski M P, Kamal M A, O’Malley J T, Patel N, Graham N M H, Bansal A. Dupilumab provides favourable long-term safety and efficacy in children aged ≥ 6 to &lt; 12 years with uncontrolled severe atopic dermatitis: results from an  open-label phase IIa study and subsequent phase III open-label extension study.[J]. The British journal of dermatology, 2021, 184(5): 857–870. </w:t>
      </w:r>
    </w:p>
    <w:p w14:paraId="1F3E8A95"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[12] </w:t>
      </w:r>
      <w:r w:rsidRPr="001A4B5B">
        <w:rPr>
          <w:rFonts w:cs="Calibri"/>
          <w:color w:val="000000"/>
          <w:kern w:val="0"/>
          <w:sz w:val="22"/>
        </w:rPr>
        <w:tab/>
        <w:t xml:space="preserve">Chan S, Cornelius V, Cro S, Harper J I, Lack G. Treatment Effect of Omalizumab on Severe Pediatric Atopic Dermatitis: The ADAPT Randomized Clinical Trial.[J]. JAMA pediatrics, 2020, 174(1): 29–37. </w:t>
      </w:r>
    </w:p>
    <w:p w14:paraId="3D573FDC"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[13] </w:t>
      </w:r>
      <w:r w:rsidRPr="001A4B5B">
        <w:rPr>
          <w:rFonts w:cs="Calibri"/>
          <w:color w:val="000000"/>
          <w:kern w:val="0"/>
          <w:sz w:val="22"/>
        </w:rPr>
        <w:tab/>
        <w:t xml:space="preserve">Andreae D A, Wang J. Immunologic effects of omalizumab in children with severe </w:t>
      </w:r>
      <w:r w:rsidRPr="001A4B5B">
        <w:rPr>
          <w:rFonts w:cs="Calibri"/>
          <w:color w:val="000000"/>
          <w:kern w:val="0"/>
          <w:sz w:val="22"/>
        </w:rPr>
        <w:lastRenderedPageBreak/>
        <w:t xml:space="preserve">refractory atopic dermatitis: a randomized, placebo-controlled clinical trial.[J]. Pediatrics, 2014, 134 Suppl 3: S160. </w:t>
      </w:r>
    </w:p>
    <w:p w14:paraId="5739AA92"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[14] </w:t>
      </w:r>
      <w:r w:rsidRPr="001A4B5B">
        <w:rPr>
          <w:rFonts w:cs="Calibri"/>
          <w:color w:val="000000"/>
          <w:kern w:val="0"/>
          <w:sz w:val="22"/>
        </w:rPr>
        <w:tab/>
        <w:t xml:space="preserve">Torrelo A, Rewerska B, Galimberti M, Paller A, Yang C-Y, Prakash A, Zhu D, Pontes Filho M A G, Wu W-S, Eichenfield L F. Efficacy and safety of baricitinib in combination with topical corticosteroids in paediatric patients with moderate-to-severe atopic dermatitis with an inadequate  response to topical corticosteroids: results from a phase III, randomized,  double-blind, placebo-controlled study (BREEZE-AD PEDS).[J]. The British journal of dermatology, 2023, 189(1): 23–32. </w:t>
      </w:r>
    </w:p>
    <w:p w14:paraId="5A518019"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[15] </w:t>
      </w:r>
      <w:r w:rsidRPr="001A4B5B">
        <w:rPr>
          <w:rFonts w:cs="Calibri"/>
          <w:color w:val="000000"/>
          <w:kern w:val="0"/>
          <w:sz w:val="22"/>
        </w:rPr>
        <w:tab/>
        <w:t xml:space="preserve">Paller A S, Ladizinski B, Mendes-Bastos P, Siegfried E, Soong W, Prajapati V H, Lio P, Thyssen J P, Simpson E L, Platt A M, Raymundo E M, Liu J, Calimlim B M, Huang X, Gu Y, Hu X, Yang Y, Su J C, Zheng M, Yamamoto-Hanada K, Teixeira H D, Irvine A D. Efficacy and Safety of Upadacitinib Treatment in Adolescents With Moderate-to-Severe Atopic Dermatitis: Analysis of the Measure Up 1, Measure Up 2,  and AD Up Randomized Clinical Trials.[J]. JAMA dermatology, 2023, 159(5): 526–535. </w:t>
      </w:r>
    </w:p>
    <w:p w14:paraId="03AC2FDA"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[16] </w:t>
      </w:r>
      <w:r w:rsidRPr="001A4B5B">
        <w:rPr>
          <w:rFonts w:cs="Calibri"/>
          <w:color w:val="000000"/>
          <w:kern w:val="0"/>
          <w:sz w:val="22"/>
        </w:rPr>
        <w:tab/>
        <w:t xml:space="preserve">Paller A S, Flohr C, Cork M, Bewley A, Blauvelt A, Hong H C-H, Imafuku S, Schuttelaar M L A, Simpson E L, Soong W, Arlert P, Lophaven K W, Kurbasic A, Soldbro L, Vest N S, Wollenberg A. Efficacy and Safety of Tralokinumab in Adolescents With Moderate to Severe Atopic Dermatitis: The Phase 3 ECZTRA 6 Randomized Clinical Trial.[J]. JAMA dermatology, 2023, 159(6): 596–605. </w:t>
      </w:r>
    </w:p>
    <w:p w14:paraId="7FB47FD4" w14:textId="77777777" w:rsidR="001A4B5B" w:rsidRPr="001A4B5B" w:rsidRDefault="001A4B5B">
      <w:pPr>
        <w:autoSpaceDE w:val="0"/>
        <w:autoSpaceDN w:val="0"/>
        <w:adjustRightInd w:val="0"/>
        <w:rPr>
          <w:rFonts w:cs="Calibri"/>
          <w:color w:val="000000"/>
          <w:kern w:val="0"/>
          <w:sz w:val="22"/>
        </w:rPr>
      </w:pPr>
      <w:r w:rsidRPr="001A4B5B">
        <w:rPr>
          <w:rFonts w:cs="Calibri"/>
          <w:color w:val="000000"/>
          <w:kern w:val="0"/>
          <w:sz w:val="22"/>
        </w:rPr>
        <w:t xml:space="preserve">[17] </w:t>
      </w:r>
      <w:r w:rsidRPr="001A4B5B">
        <w:rPr>
          <w:rFonts w:cs="Calibri"/>
          <w:color w:val="000000"/>
          <w:kern w:val="0"/>
          <w:sz w:val="22"/>
        </w:rPr>
        <w:tab/>
        <w:t xml:space="preserve">Paller A S, Siegfried E C, Simpson E L, Cork M J, Lockshin B, Kosloski M P, Kamal M A, Davis J D, Sun X, Pirozzi G, Graham N M H, Gadkari A, Eckert L, Ruddy M, Bansal A. A phase 2, open-label study of single-dose dupilumab in children aged 6 months to &lt;6 years with severe uncontrolled atopic dermatitis: pharmacokinetics, safety and  efficacy.[J]. Journal of the European Academy of Dermatology and Venereology : JEADV, 2021, 35(2): 464–475. </w:t>
      </w:r>
    </w:p>
    <w:p w14:paraId="49763D0C" w14:textId="67BDF654" w:rsidR="00D1770F" w:rsidRDefault="00000000">
      <w:pPr>
        <w:jc w:val="left"/>
      </w:pPr>
      <w:r>
        <w:rPr>
          <w:rFonts w:cs="Calibri"/>
          <w:color w:val="000000"/>
          <w:kern w:val="0"/>
          <w:sz w:val="22"/>
          <w:szCs w:val="22"/>
        </w:rPr>
        <w:fldChar w:fldCharType="end"/>
      </w:r>
    </w:p>
    <w:sectPr w:rsidR="00D17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altName w:val="苹方-简"/>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embedSystemFont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IxMTMyZmNiMmM0Nzk5N2Y1OGJjNGJkOWI4N2Y4YjUifQ=="/>
  </w:docVars>
  <w:rsids>
    <w:rsidRoot w:val="ED72613C"/>
    <w:rsid w:val="B7FB4AB5"/>
    <w:rsid w:val="BDD7554A"/>
    <w:rsid w:val="BEFEC350"/>
    <w:rsid w:val="BF6FF87C"/>
    <w:rsid w:val="DD3BE376"/>
    <w:rsid w:val="DD7ECA68"/>
    <w:rsid w:val="E6BFA2B2"/>
    <w:rsid w:val="E7BB1E9B"/>
    <w:rsid w:val="ED72613C"/>
    <w:rsid w:val="FBFFBA8A"/>
    <w:rsid w:val="FEF76DC9"/>
    <w:rsid w:val="FFBFD3FC"/>
    <w:rsid w:val="FFDDD8B6"/>
    <w:rsid w:val="0009356E"/>
    <w:rsid w:val="001127C5"/>
    <w:rsid w:val="001A4B5B"/>
    <w:rsid w:val="00230DE7"/>
    <w:rsid w:val="00255359"/>
    <w:rsid w:val="0025641B"/>
    <w:rsid w:val="00266456"/>
    <w:rsid w:val="00280175"/>
    <w:rsid w:val="002F6A37"/>
    <w:rsid w:val="003003F1"/>
    <w:rsid w:val="00372A53"/>
    <w:rsid w:val="00383DE4"/>
    <w:rsid w:val="003A12E0"/>
    <w:rsid w:val="00437B14"/>
    <w:rsid w:val="00461F45"/>
    <w:rsid w:val="005156F7"/>
    <w:rsid w:val="00566387"/>
    <w:rsid w:val="005B7A34"/>
    <w:rsid w:val="00607F87"/>
    <w:rsid w:val="007033FA"/>
    <w:rsid w:val="007071BB"/>
    <w:rsid w:val="00731993"/>
    <w:rsid w:val="0078196C"/>
    <w:rsid w:val="00843260"/>
    <w:rsid w:val="008725EF"/>
    <w:rsid w:val="009C72A1"/>
    <w:rsid w:val="00A306BF"/>
    <w:rsid w:val="00AD539D"/>
    <w:rsid w:val="00B34E08"/>
    <w:rsid w:val="00B8287D"/>
    <w:rsid w:val="00CF223A"/>
    <w:rsid w:val="00D1770F"/>
    <w:rsid w:val="00D266F6"/>
    <w:rsid w:val="00E5271B"/>
    <w:rsid w:val="00E9774C"/>
    <w:rsid w:val="00E97F19"/>
    <w:rsid w:val="00EA722B"/>
    <w:rsid w:val="05924C61"/>
    <w:rsid w:val="1BFFD3FF"/>
    <w:rsid w:val="3EFC3831"/>
    <w:rsid w:val="4DF899BD"/>
    <w:rsid w:val="4FFF7859"/>
    <w:rsid w:val="5DADA07C"/>
    <w:rsid w:val="6FBFD5E0"/>
    <w:rsid w:val="6FD60337"/>
    <w:rsid w:val="6FFBAB03"/>
    <w:rsid w:val="738F996B"/>
    <w:rsid w:val="75F948C7"/>
    <w:rsid w:val="7AFF4C12"/>
    <w:rsid w:val="7BFFFA91"/>
    <w:rsid w:val="7EAE6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D19760"/>
  <w15:docId w15:val="{79975DFC-8AE0-E64D-AFB9-15BA36F7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tabs>
        <w:tab w:val="center" w:pos="4153"/>
        <w:tab w:val="right" w:pos="8306"/>
      </w:tabs>
      <w:snapToGrid w:val="0"/>
      <w:jc w:val="center"/>
    </w:pPr>
    <w:rPr>
      <w:sz w:val="18"/>
      <w:szCs w:val="18"/>
    </w:rPr>
  </w:style>
  <w:style w:type="table" w:styleId="a7">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表 21"/>
    <w:basedOn w:val="a1"/>
    <w:uiPriority w:val="47"/>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网格表 31"/>
    <w:basedOn w:val="a1"/>
    <w:uiPriority w:val="48"/>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41">
    <w:name w:val="网格表 41"/>
    <w:basedOn w:val="a1"/>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51">
    <w:name w:val="网格表 5 深色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61">
    <w:name w:val="网格表 6 彩色1"/>
    <w:basedOn w:val="a1"/>
    <w:uiPriority w:val="51"/>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11">
    <w:name w:val="font11"/>
    <w:basedOn w:val="a0"/>
    <w:rPr>
      <w:rFonts w:ascii="Calibri" w:hAnsi="Calibri" w:cs="Calibri" w:hint="default"/>
      <w:color w:val="000000"/>
      <w:sz w:val="22"/>
      <w:szCs w:val="22"/>
      <w:u w:val="none"/>
    </w:rPr>
  </w:style>
  <w:style w:type="character" w:customStyle="1" w:styleId="font31">
    <w:name w:val="font31"/>
    <w:basedOn w:val="a0"/>
    <w:rPr>
      <w:rFonts w:ascii="Calibri" w:hAnsi="Calibri" w:cs="Calibri" w:hint="default"/>
      <w:color w:val="000000"/>
      <w:sz w:val="22"/>
      <w:szCs w:val="22"/>
      <w:u w:val="none"/>
      <w:vertAlign w:val="superscript"/>
    </w:rPr>
  </w:style>
  <w:style w:type="character" w:customStyle="1" w:styleId="font21">
    <w:name w:val="font21"/>
    <w:basedOn w:val="a0"/>
    <w:rPr>
      <w:rFonts w:ascii="Calibri" w:hAnsi="Calibri" w:cs="Calibri" w:hint="default"/>
      <w:color w:val="000000"/>
      <w:sz w:val="22"/>
      <w:szCs w:val="22"/>
      <w:u w:val="none"/>
    </w:rPr>
  </w:style>
  <w:style w:type="character" w:customStyle="1" w:styleId="font41">
    <w:name w:val="font41"/>
    <w:basedOn w:val="a0"/>
    <w:rPr>
      <w:rFonts w:ascii="Calibri" w:hAnsi="Calibri" w:cs="Calibri" w:hint="default"/>
      <w:color w:val="000000"/>
      <w:sz w:val="22"/>
      <w:szCs w:val="22"/>
      <w:u w:val="none"/>
      <w:vertAlign w:val="superscript"/>
    </w:rPr>
  </w:style>
  <w:style w:type="table" w:customStyle="1" w:styleId="210">
    <w:name w:val="无格式表格 21"/>
    <w:basedOn w:val="a1"/>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11">
    <w:name w:val="网格表 4 - 着色 11"/>
    <w:basedOn w:val="a1"/>
    <w:uiPriority w:val="49"/>
    <w:tblPr>
      <w:tblBorders>
        <w:top w:val="single" w:sz="4" w:space="0" w:color="91ABDF" w:themeColor="accent1" w:themeTint="99"/>
        <w:left w:val="single" w:sz="4" w:space="0" w:color="91ABDF" w:themeColor="accent1" w:themeTint="99"/>
        <w:bottom w:val="single" w:sz="4" w:space="0" w:color="91ABDF" w:themeColor="accent1" w:themeTint="99"/>
        <w:right w:val="single" w:sz="4" w:space="0" w:color="91ABDF" w:themeColor="accent1" w:themeTint="99"/>
        <w:insideH w:val="single" w:sz="4" w:space="0" w:color="91ABDF" w:themeColor="accent1" w:themeTint="99"/>
        <w:insideV w:val="single" w:sz="4" w:space="0" w:color="91ABDF" w:themeColor="accent1" w:themeTint="99"/>
      </w:tblBorders>
    </w:tblPr>
    <w:tblStylePr w:type="firstRow">
      <w:rPr>
        <w:b/>
        <w:bCs/>
        <w:color w:val="FFFFFF" w:themeColor="background1"/>
      </w:rPr>
      <w:tblPr/>
      <w:tcPr>
        <w:tcBorders>
          <w:top w:val="single" w:sz="4" w:space="0" w:color="4874CB" w:themeColor="accent1"/>
          <w:left w:val="single" w:sz="4" w:space="0" w:color="4874CB" w:themeColor="accent1"/>
          <w:bottom w:val="single" w:sz="4" w:space="0" w:color="4874CB" w:themeColor="accent1"/>
          <w:right w:val="single" w:sz="4" w:space="0" w:color="4874CB" w:themeColor="accent1"/>
          <w:insideH w:val="nil"/>
          <w:insideV w:val="nil"/>
        </w:tcBorders>
        <w:shd w:val="clear" w:color="auto" w:fill="4874CB" w:themeFill="accent1"/>
      </w:tcPr>
    </w:tblStylePr>
    <w:tblStylePr w:type="lastRow">
      <w:rPr>
        <w:b/>
        <w:bCs/>
      </w:rPr>
      <w:tblPr/>
      <w:tcPr>
        <w:tcBorders>
          <w:top w:val="double" w:sz="4" w:space="0" w:color="4874CB" w:themeColor="accent1"/>
        </w:tcBorders>
      </w:tcPr>
    </w:tblStylePr>
    <w:tblStylePr w:type="firstCol">
      <w:rPr>
        <w:b/>
        <w:bCs/>
      </w:rPr>
    </w:tblStylePr>
    <w:tblStylePr w:type="lastCol">
      <w:rPr>
        <w:b/>
        <w:bCs/>
      </w:rPr>
    </w:tblStylePr>
    <w:tblStylePr w:type="band1Vert">
      <w:tblPr/>
      <w:tcPr>
        <w:shd w:val="clear" w:color="auto" w:fill="DAE3F4" w:themeFill="accent1" w:themeFillTint="33"/>
      </w:tcPr>
    </w:tblStylePr>
    <w:tblStylePr w:type="band1Horz">
      <w:tblPr/>
      <w:tcPr>
        <w:shd w:val="clear" w:color="auto" w:fill="DAE3F4" w:themeFill="accent1" w:themeFillTint="33"/>
      </w:tcPr>
    </w:tblStylePr>
  </w:style>
  <w:style w:type="table" w:customStyle="1" w:styleId="3-61">
    <w:name w:val="网格表 3 - 着色 61"/>
    <w:basedOn w:val="a1"/>
    <w:uiPriority w:val="48"/>
    <w:tblPr>
      <w:tblBorders>
        <w:top w:val="single" w:sz="4" w:space="0" w:color="EF939E" w:themeColor="accent6" w:themeTint="99"/>
        <w:left w:val="single" w:sz="4" w:space="0" w:color="EF939E" w:themeColor="accent6" w:themeTint="99"/>
        <w:bottom w:val="single" w:sz="4" w:space="0" w:color="EF939E" w:themeColor="accent6" w:themeTint="99"/>
        <w:right w:val="single" w:sz="4" w:space="0" w:color="EF939E" w:themeColor="accent6" w:themeTint="99"/>
        <w:insideH w:val="single" w:sz="4" w:space="0" w:color="EF939E" w:themeColor="accent6" w:themeTint="99"/>
        <w:insideV w:val="single" w:sz="4" w:space="0" w:color="EF93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BDE" w:themeFill="accent6" w:themeFillTint="33"/>
      </w:tcPr>
    </w:tblStylePr>
    <w:tblStylePr w:type="band1Horz">
      <w:tblPr/>
      <w:tcPr>
        <w:shd w:val="clear" w:color="auto" w:fill="F9DBDE" w:themeFill="accent6" w:themeFillTint="33"/>
      </w:tcPr>
    </w:tblStylePr>
    <w:tblStylePr w:type="neCell">
      <w:tblPr/>
      <w:tcPr>
        <w:tcBorders>
          <w:bottom w:val="single" w:sz="4" w:space="0" w:color="EF939E" w:themeColor="accent6" w:themeTint="99"/>
        </w:tcBorders>
      </w:tcPr>
    </w:tblStylePr>
    <w:tblStylePr w:type="nwCell">
      <w:tblPr/>
      <w:tcPr>
        <w:tcBorders>
          <w:bottom w:val="single" w:sz="4" w:space="0" w:color="EF939E" w:themeColor="accent6" w:themeTint="99"/>
        </w:tcBorders>
      </w:tcPr>
    </w:tblStylePr>
    <w:tblStylePr w:type="seCell">
      <w:tblPr/>
      <w:tcPr>
        <w:tcBorders>
          <w:top w:val="single" w:sz="4" w:space="0" w:color="EF939E" w:themeColor="accent6" w:themeTint="99"/>
        </w:tcBorders>
      </w:tcPr>
    </w:tblStylePr>
    <w:tblStylePr w:type="swCell">
      <w:tblPr/>
      <w:tcPr>
        <w:tcBorders>
          <w:top w:val="single" w:sz="4" w:space="0" w:color="EF939E" w:themeColor="accent6" w:themeTint="99"/>
        </w:tcBorders>
      </w:tcPr>
    </w:tblStylePr>
  </w:style>
  <w:style w:type="table" w:customStyle="1" w:styleId="3-51">
    <w:name w:val="网格表 3 - 着色 51"/>
    <w:basedOn w:val="a1"/>
    <w:uiPriority w:val="48"/>
    <w:tblPr>
      <w:tblBorders>
        <w:top w:val="single" w:sz="4" w:space="0" w:color="7DDED6" w:themeColor="accent5" w:themeTint="99"/>
        <w:left w:val="single" w:sz="4" w:space="0" w:color="7DDED6" w:themeColor="accent5" w:themeTint="99"/>
        <w:bottom w:val="single" w:sz="4" w:space="0" w:color="7DDED6" w:themeColor="accent5" w:themeTint="99"/>
        <w:right w:val="single" w:sz="4" w:space="0" w:color="7DDED6" w:themeColor="accent5" w:themeTint="99"/>
        <w:insideH w:val="single" w:sz="4" w:space="0" w:color="7DDED6" w:themeColor="accent5" w:themeTint="99"/>
        <w:insideV w:val="single" w:sz="4" w:space="0" w:color="7DDE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4F1" w:themeFill="accent5" w:themeFillTint="33"/>
      </w:tcPr>
    </w:tblStylePr>
    <w:tblStylePr w:type="band1Horz">
      <w:tblPr/>
      <w:tcPr>
        <w:shd w:val="clear" w:color="auto" w:fill="D3F4F1" w:themeFill="accent5" w:themeFillTint="33"/>
      </w:tcPr>
    </w:tblStylePr>
    <w:tblStylePr w:type="neCell">
      <w:tblPr/>
      <w:tcPr>
        <w:tcBorders>
          <w:bottom w:val="single" w:sz="4" w:space="0" w:color="7DDED6" w:themeColor="accent5" w:themeTint="99"/>
        </w:tcBorders>
      </w:tcPr>
    </w:tblStylePr>
    <w:tblStylePr w:type="nwCell">
      <w:tblPr/>
      <w:tcPr>
        <w:tcBorders>
          <w:bottom w:val="single" w:sz="4" w:space="0" w:color="7DDED6" w:themeColor="accent5" w:themeTint="99"/>
        </w:tcBorders>
      </w:tcPr>
    </w:tblStylePr>
    <w:tblStylePr w:type="seCell">
      <w:tblPr/>
      <w:tcPr>
        <w:tcBorders>
          <w:top w:val="single" w:sz="4" w:space="0" w:color="7DDED6" w:themeColor="accent5" w:themeTint="99"/>
        </w:tcBorders>
      </w:tcPr>
    </w:tblStylePr>
    <w:tblStylePr w:type="swCell">
      <w:tblPr/>
      <w:tcPr>
        <w:tcBorders>
          <w:top w:val="single" w:sz="4" w:space="0" w:color="7DDED6" w:themeColor="accent5" w:themeTint="99"/>
        </w:tcBorders>
      </w:tcPr>
    </w:tblStylePr>
  </w:style>
  <w:style w:type="table" w:customStyle="1" w:styleId="3-41">
    <w:name w:val="网格表 3 - 着色 41"/>
    <w:basedOn w:val="a1"/>
    <w:uiPriority w:val="48"/>
    <w:tblPr>
      <w:tblBorders>
        <w:top w:val="single" w:sz="4" w:space="0" w:color="ABD78D" w:themeColor="accent4" w:themeTint="99"/>
        <w:left w:val="single" w:sz="4" w:space="0" w:color="ABD78D" w:themeColor="accent4" w:themeTint="99"/>
        <w:bottom w:val="single" w:sz="4" w:space="0" w:color="ABD78D" w:themeColor="accent4" w:themeTint="99"/>
        <w:right w:val="single" w:sz="4" w:space="0" w:color="ABD78D" w:themeColor="accent4" w:themeTint="99"/>
        <w:insideH w:val="single" w:sz="4" w:space="0" w:color="ABD78D" w:themeColor="accent4" w:themeTint="99"/>
        <w:insideV w:val="single" w:sz="4" w:space="0" w:color="ABD7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D9" w:themeFill="accent4" w:themeFillTint="33"/>
      </w:tcPr>
    </w:tblStylePr>
    <w:tblStylePr w:type="band1Horz">
      <w:tblPr/>
      <w:tcPr>
        <w:shd w:val="clear" w:color="auto" w:fill="E3F1D9" w:themeFill="accent4" w:themeFillTint="33"/>
      </w:tcPr>
    </w:tblStylePr>
    <w:tblStylePr w:type="neCell">
      <w:tblPr/>
      <w:tcPr>
        <w:tcBorders>
          <w:bottom w:val="single" w:sz="4" w:space="0" w:color="ABD78D" w:themeColor="accent4" w:themeTint="99"/>
        </w:tcBorders>
      </w:tcPr>
    </w:tblStylePr>
    <w:tblStylePr w:type="nwCell">
      <w:tblPr/>
      <w:tcPr>
        <w:tcBorders>
          <w:bottom w:val="single" w:sz="4" w:space="0" w:color="ABD78D" w:themeColor="accent4" w:themeTint="99"/>
        </w:tcBorders>
      </w:tcPr>
    </w:tblStylePr>
    <w:tblStylePr w:type="seCell">
      <w:tblPr/>
      <w:tcPr>
        <w:tcBorders>
          <w:top w:val="single" w:sz="4" w:space="0" w:color="ABD78D" w:themeColor="accent4" w:themeTint="99"/>
        </w:tcBorders>
      </w:tcPr>
    </w:tblStylePr>
    <w:tblStylePr w:type="swCell">
      <w:tblPr/>
      <w:tcPr>
        <w:tcBorders>
          <w:top w:val="single" w:sz="4" w:space="0" w:color="ABD78D" w:themeColor="accent4" w:themeTint="99"/>
        </w:tcBorders>
      </w:tcPr>
    </w:tblStylePr>
  </w:style>
  <w:style w:type="table" w:customStyle="1" w:styleId="3-31">
    <w:name w:val="网格表 3 - 着色 31"/>
    <w:basedOn w:val="a1"/>
    <w:uiPriority w:val="48"/>
    <w:tblPr>
      <w:tblBorders>
        <w:top w:val="single" w:sz="4" w:space="0" w:color="FDD860" w:themeColor="accent3" w:themeTint="99"/>
        <w:left w:val="single" w:sz="4" w:space="0" w:color="FDD860" w:themeColor="accent3" w:themeTint="99"/>
        <w:bottom w:val="single" w:sz="4" w:space="0" w:color="FDD860" w:themeColor="accent3" w:themeTint="99"/>
        <w:right w:val="single" w:sz="4" w:space="0" w:color="FDD860" w:themeColor="accent3" w:themeTint="99"/>
        <w:insideH w:val="single" w:sz="4" w:space="0" w:color="FDD860" w:themeColor="accent3" w:themeTint="99"/>
        <w:insideV w:val="single" w:sz="4" w:space="0" w:color="FDD86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CA" w:themeFill="accent3" w:themeFillTint="33"/>
      </w:tcPr>
    </w:tblStylePr>
    <w:tblStylePr w:type="band1Horz">
      <w:tblPr/>
      <w:tcPr>
        <w:shd w:val="clear" w:color="auto" w:fill="FEF2CA" w:themeFill="accent3" w:themeFillTint="33"/>
      </w:tcPr>
    </w:tblStylePr>
    <w:tblStylePr w:type="neCell">
      <w:tblPr/>
      <w:tcPr>
        <w:tcBorders>
          <w:bottom w:val="single" w:sz="4" w:space="0" w:color="FDD860" w:themeColor="accent3" w:themeTint="99"/>
        </w:tcBorders>
      </w:tcPr>
    </w:tblStylePr>
    <w:tblStylePr w:type="nwCell">
      <w:tblPr/>
      <w:tcPr>
        <w:tcBorders>
          <w:bottom w:val="single" w:sz="4" w:space="0" w:color="FDD860" w:themeColor="accent3" w:themeTint="99"/>
        </w:tcBorders>
      </w:tcPr>
    </w:tblStylePr>
    <w:tblStylePr w:type="seCell">
      <w:tblPr/>
      <w:tcPr>
        <w:tcBorders>
          <w:top w:val="single" w:sz="4" w:space="0" w:color="FDD860" w:themeColor="accent3" w:themeTint="99"/>
        </w:tcBorders>
      </w:tcPr>
    </w:tblStylePr>
    <w:tblStylePr w:type="swCell">
      <w:tblPr/>
      <w:tcPr>
        <w:tcBorders>
          <w:top w:val="single" w:sz="4" w:space="0" w:color="FDD860" w:themeColor="accent3" w:themeTint="99"/>
        </w:tcBorders>
      </w:tcPr>
    </w:tblStylePr>
  </w:style>
  <w:style w:type="table" w:customStyle="1" w:styleId="1">
    <w:name w:val="网格型浅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页眉 字符"/>
    <w:basedOn w:val="a0"/>
    <w:link w:val="a5"/>
    <w:rPr>
      <w:rFonts w:ascii="Calibri" w:eastAsia="宋体" w:hAnsi="Calibri" w:cs="Times New Roman"/>
      <w:kern w:val="2"/>
      <w:sz w:val="18"/>
      <w:szCs w:val="18"/>
    </w:rPr>
  </w:style>
  <w:style w:type="character" w:customStyle="1" w:styleId="a4">
    <w:name w:val="页脚 字符"/>
    <w:basedOn w:val="a0"/>
    <w:link w:val="a3"/>
    <w:rPr>
      <w:rFonts w:ascii="Calibri" w:eastAsia="宋体" w:hAnsi="Calibri" w:cs="Times New Roman"/>
      <w:kern w:val="2"/>
      <w:sz w:val="18"/>
      <w:szCs w:val="18"/>
    </w:rPr>
  </w:style>
  <w:style w:type="paragraph" w:customStyle="1" w:styleId="10">
    <w:name w:val="书目1"/>
    <w:basedOn w:val="a"/>
    <w:link w:val="Bibliography"/>
    <w:pPr>
      <w:tabs>
        <w:tab w:val="left" w:pos="500"/>
      </w:tabs>
      <w:ind w:left="504" w:hanging="504"/>
      <w:jc w:val="left"/>
    </w:pPr>
  </w:style>
  <w:style w:type="character" w:customStyle="1" w:styleId="Bibliography">
    <w:name w:val="Bibliography 字符"/>
    <w:basedOn w:val="a0"/>
    <w:link w:val="10"/>
    <w:rPr>
      <w:rFonts w:ascii="Calibri" w:eastAsia="宋体" w:hAnsi="Calibri" w:cs="Times New Roman"/>
      <w:kern w:val="2"/>
      <w:sz w:val="21"/>
      <w:szCs w:val="21"/>
    </w:rPr>
  </w:style>
  <w:style w:type="table" w:customStyle="1" w:styleId="110">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1"/>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a"/>
    <w:pPr>
      <w:ind w:left="440"/>
      <w:jc w:val="left"/>
    </w:pPr>
    <w:rPr>
      <w:rFonts w:ascii="Helvetica Neue" w:eastAsia="Helvetica Neue" w:hAnsi="Helvetica Neue"/>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18107</Words>
  <Characters>103213</Characters>
  <Application>Microsoft Office Word</Application>
  <DocSecurity>0</DocSecurity>
  <Lines>860</Lines>
  <Paragraphs>242</Paragraphs>
  <ScaleCrop>false</ScaleCrop>
  <Company/>
  <LinksUpToDate>false</LinksUpToDate>
  <CharactersWithSpaces>121078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阵雨儿</dc:creator>
  <cp:lastModifiedBy>office</cp:lastModifiedBy>
  <cp:revision>24</cp:revision>
  <dcterms:created xsi:type="dcterms:W3CDTF">2023-12-24T18:03:00Z</dcterms:created>
  <dcterms:modified xsi:type="dcterms:W3CDTF">2024-04-06T18:01:00Z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532B08CADB097C128C588D651D7B080E_43</vt:lpwstr>
  </property>
  <property fmtid="{D5CDD505-2E9C-101B-9397-08002B2CF9AE}" pid="4" name="ZOTERO_PREF_1">
    <vt:lpwstr>&lt;data data-version="3" zotero-version="6.0.37"&gt;&lt;session id="blKWdacC"/&gt;&lt;style id="http://www.zotero.org/styles/chinese-std-gb-t-7714-2015-author-lowercase_all_author" hasBibliography="1" bibliographyStyleHasBeenSet="1"/&gt;&lt;prefs&gt;&lt;pref name="fieldType" value</vt:lpwstr>
  </property>
  <property fmtid="{D5CDD505-2E9C-101B-9397-08002B2CF9AE}" pid="5" name="ZOTERO_PREF_2">
    <vt:lpwstr>="Field"/&gt;&lt;/prefs&gt;&lt;/data&gt;</vt:lpwstr>
  </property>
</Properties>
</file>