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0626E" w14:textId="77777777" w:rsidR="00A830DA" w:rsidRPr="00AE5778" w:rsidRDefault="00A830DA" w:rsidP="0047412E">
      <w:pPr>
        <w:pStyle w:val="1"/>
        <w:tabs>
          <w:tab w:val="num" w:pos="567"/>
        </w:tabs>
        <w:ind w:left="567" w:hanging="567"/>
      </w:pPr>
      <w:r w:rsidRPr="00AE5778">
        <w:t>Performance of PCGIMA</w:t>
      </w:r>
    </w:p>
    <w:p w14:paraId="754D006F" w14:textId="77777777" w:rsidR="00A830DA" w:rsidRPr="0047412E" w:rsidRDefault="00A830DA" w:rsidP="0047412E">
      <w:pPr>
        <w:jc w:val="both"/>
        <w:rPr>
          <w:rFonts w:cs="Times New Roman"/>
          <w:szCs w:val="24"/>
        </w:rPr>
      </w:pPr>
      <w:r w:rsidRPr="0047412E">
        <w:rPr>
          <w:rFonts w:cs="Times New Roman"/>
          <w:szCs w:val="24"/>
        </w:rPr>
        <w:t xml:space="preserve">The homepage of PCGIMA (http://www.combio-lezhang.online/pcgima/HOME.html) is shown in Fig. 1. The corresponding interface will be displayed on the </w:t>
      </w:r>
      <w:r w:rsidRPr="0047412E">
        <w:rPr>
          <w:rFonts w:cs="Times New Roman" w:hint="eastAsia"/>
          <w:szCs w:val="24"/>
        </w:rPr>
        <w:t>middle</w:t>
      </w:r>
      <w:r w:rsidRPr="0047412E">
        <w:rPr>
          <w:rFonts w:cs="Times New Roman"/>
          <w:szCs w:val="24"/>
        </w:rPr>
        <w:t xml:space="preserve"> when user clicks one of these links in the function navigation bar on the </w:t>
      </w:r>
      <w:r w:rsidRPr="0047412E">
        <w:rPr>
          <w:rFonts w:cs="Times New Roman" w:hint="eastAsia"/>
          <w:szCs w:val="24"/>
        </w:rPr>
        <w:t>top</w:t>
      </w:r>
      <w:r w:rsidRPr="0047412E">
        <w:rPr>
          <w:rFonts w:cs="Times New Roman"/>
          <w:szCs w:val="24"/>
        </w:rPr>
        <w:t xml:space="preserve"> (Fig. 1)</w:t>
      </w:r>
      <w:r w:rsidRPr="0047412E">
        <w:rPr>
          <w:rFonts w:cs="Times New Roman" w:hint="eastAsia"/>
          <w:szCs w:val="24"/>
        </w:rPr>
        <w:t>.</w:t>
      </w:r>
      <w:r w:rsidRPr="0047412E">
        <w:rPr>
          <w:rFonts w:cs="Times New Roman"/>
          <w:szCs w:val="24"/>
        </w:rPr>
        <w:t xml:space="preserve"> </w:t>
      </w:r>
    </w:p>
    <w:p w14:paraId="67EF7755" w14:textId="77777777" w:rsidR="0051470E" w:rsidRDefault="0051470E" w:rsidP="0051470E">
      <w:r>
        <w:rPr>
          <w:noProof/>
        </w:rPr>
        <w:drawing>
          <wp:inline distT="0" distB="0" distL="0" distR="0" wp14:anchorId="72D020E3" wp14:editId="358A953C">
            <wp:extent cx="5274310" cy="4073525"/>
            <wp:effectExtent l="0" t="0" r="254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4073525"/>
                    </a:xfrm>
                    <a:prstGeom prst="rect">
                      <a:avLst/>
                    </a:prstGeom>
                  </pic:spPr>
                </pic:pic>
              </a:graphicData>
            </a:graphic>
          </wp:inline>
        </w:drawing>
      </w:r>
    </w:p>
    <w:p w14:paraId="77E00367" w14:textId="208BE083" w:rsidR="0051470E" w:rsidRPr="0051470E" w:rsidRDefault="0051470E" w:rsidP="00985C93">
      <w:r w:rsidRPr="00AE5778">
        <w:rPr>
          <w:b/>
          <w:bCs/>
        </w:rPr>
        <w:t>Fig.1</w:t>
      </w:r>
      <w:r>
        <w:t xml:space="preserve"> T</w:t>
      </w:r>
      <w:r>
        <w:rPr>
          <w:rFonts w:hint="eastAsia"/>
        </w:rPr>
        <w:t>he</w:t>
      </w:r>
      <w:r>
        <w:t xml:space="preserve"> homepage </w:t>
      </w:r>
      <w:r>
        <w:rPr>
          <w:rFonts w:hint="eastAsia"/>
        </w:rPr>
        <w:t>of</w:t>
      </w:r>
      <w:r>
        <w:t xml:space="preserve"> PCGIMA.</w:t>
      </w:r>
    </w:p>
    <w:p w14:paraId="26169770" w14:textId="77777777" w:rsidR="00A830DA" w:rsidRPr="0047412E" w:rsidRDefault="00A830DA" w:rsidP="0047412E">
      <w:pPr>
        <w:jc w:val="both"/>
        <w:rPr>
          <w:rFonts w:cs="Times New Roman"/>
          <w:szCs w:val="24"/>
        </w:rPr>
      </w:pPr>
      <w:r w:rsidRPr="0047412E">
        <w:rPr>
          <w:rFonts w:cs="Times New Roman"/>
          <w:szCs w:val="24"/>
        </w:rPr>
        <w:t>"Human position-defined CGI prediction" module provides two functions. One is "Position-defined CGI prediction", which can online predict position-defined CGI for the human genome or a particular chromosome with multiple consecutive (d) values. The other is "Position-defined CGI features analysis”, which can describe the connection between the proportion distribution of CGI and CGI features.</w:t>
      </w:r>
    </w:p>
    <w:p w14:paraId="4BBC79EE" w14:textId="77777777" w:rsidR="00A830DA" w:rsidRPr="0047412E" w:rsidRDefault="00A830DA" w:rsidP="0047412E">
      <w:pPr>
        <w:jc w:val="both"/>
        <w:rPr>
          <w:rFonts w:cs="Times New Roman"/>
          <w:szCs w:val="24"/>
        </w:rPr>
      </w:pPr>
      <w:r w:rsidRPr="0047412E">
        <w:rPr>
          <w:rFonts w:cs="Times New Roman"/>
          <w:szCs w:val="24"/>
        </w:rPr>
        <w:t>"CpG sites annotation analysis" module consists of two functions. First is “Human CpG sites Distribution analysis”, which can analyze the distribution of CpG methylation sites in different structural and functional categories of genomic sequences. Second is "Human CpG sites permutation analysis" module, which can analyze the CpG permutation patterns of density- and position- defined CGIs.</w:t>
      </w:r>
    </w:p>
    <w:p w14:paraId="189E7BED" w14:textId="77777777" w:rsidR="00A830DA" w:rsidRPr="0047412E" w:rsidRDefault="00A830DA" w:rsidP="0047412E">
      <w:pPr>
        <w:jc w:val="both"/>
        <w:rPr>
          <w:rFonts w:cs="Times New Roman"/>
          <w:szCs w:val="24"/>
        </w:rPr>
      </w:pPr>
      <w:r w:rsidRPr="0047412E">
        <w:rPr>
          <w:rFonts w:cs="Times New Roman"/>
          <w:szCs w:val="24"/>
        </w:rPr>
        <w:t xml:space="preserve">"CGI methylation analysis " module also provides two functions. One is “Position-defined CGI methylation analysis”, which can analyze the specificity of methylation level for CpG sites under </w:t>
      </w:r>
      <w:r w:rsidRPr="0047412E">
        <w:rPr>
          <w:rFonts w:cs="Times New Roman"/>
          <w:szCs w:val="24"/>
        </w:rPr>
        <w:lastRenderedPageBreak/>
        <w:t>different annotation categories. The other is “GO enrichment analysis”, which can make GO enrichment analysis for the CGI+ genes of position-defined CGIs</w:t>
      </w:r>
      <w:r w:rsidRPr="0047412E">
        <w:rPr>
          <w:rFonts w:cs="Times New Roman" w:hint="eastAsia"/>
          <w:szCs w:val="24"/>
        </w:rPr>
        <w:t>.</w:t>
      </w:r>
      <w:r w:rsidRPr="0047412E">
        <w:rPr>
          <w:rFonts w:cs="Times New Roman"/>
          <w:szCs w:val="24"/>
        </w:rPr>
        <w:t xml:space="preserve"> The next sections will introduce these links in detail.</w:t>
      </w:r>
    </w:p>
    <w:p w14:paraId="29EFB934" w14:textId="77777777" w:rsidR="00A830DA" w:rsidRPr="00AE5778" w:rsidRDefault="00A830DA" w:rsidP="0047412E">
      <w:pPr>
        <w:pStyle w:val="1"/>
        <w:numPr>
          <w:ilvl w:val="0"/>
          <w:numId w:val="20"/>
        </w:numPr>
        <w:tabs>
          <w:tab w:val="num" w:pos="567"/>
        </w:tabs>
        <w:ind w:left="567" w:hanging="567"/>
      </w:pPr>
      <w:r w:rsidRPr="00AE5778">
        <w:t>Human position-defined CGI prediction</w:t>
      </w:r>
    </w:p>
    <w:p w14:paraId="6E77F303" w14:textId="00BA9FFD" w:rsidR="00A830DA" w:rsidRPr="0047412E" w:rsidRDefault="00A830DA" w:rsidP="0047412E">
      <w:pPr>
        <w:pStyle w:val="1"/>
        <w:tabs>
          <w:tab w:val="num" w:pos="567"/>
        </w:tabs>
        <w:ind w:left="567" w:hanging="567"/>
      </w:pPr>
      <w:r w:rsidRPr="0047412E">
        <w:t xml:space="preserve">1.1 </w:t>
      </w:r>
      <w:r w:rsidR="00241304" w:rsidRPr="0047412E">
        <w:tab/>
      </w:r>
      <w:r w:rsidRPr="0047412E">
        <w:t>Position-defined CGI prediction</w:t>
      </w:r>
    </w:p>
    <w:p w14:paraId="0AB2B640" w14:textId="77777777" w:rsidR="00A830DA" w:rsidRPr="0047412E" w:rsidRDefault="00A830DA" w:rsidP="0047412E">
      <w:pPr>
        <w:jc w:val="both"/>
        <w:rPr>
          <w:rFonts w:cs="Times New Roman"/>
          <w:szCs w:val="24"/>
        </w:rPr>
      </w:pPr>
      <w:r w:rsidRPr="0047412E">
        <w:rPr>
          <w:rFonts w:cs="Times New Roman"/>
          <w:szCs w:val="24"/>
        </w:rPr>
        <w:t xml:space="preserve">After clicking " CpG island Cluster Counting" link, the </w:t>
      </w:r>
      <w:r w:rsidRPr="0047412E">
        <w:rPr>
          <w:rFonts w:cs="Times New Roman" w:hint="eastAsia"/>
          <w:szCs w:val="24"/>
        </w:rPr>
        <w:t>method</w:t>
      </w:r>
      <w:r w:rsidRPr="0047412E">
        <w:rPr>
          <w:rFonts w:cs="Times New Roman"/>
          <w:szCs w:val="24"/>
        </w:rPr>
        <w:t xml:space="preserve"> of MR</w:t>
      </w:r>
      <w:r w:rsidRPr="0047412E">
        <w:rPr>
          <w:rFonts w:cs="Times New Roman" w:hint="eastAsia"/>
          <w:szCs w:val="24"/>
        </w:rPr>
        <w:t>-</w:t>
      </w:r>
      <w:proofErr w:type="spellStart"/>
      <w:r w:rsidRPr="0047412E">
        <w:rPr>
          <w:rFonts w:cs="Times New Roman"/>
          <w:szCs w:val="24"/>
        </w:rPr>
        <w:t>CpGCluster</w:t>
      </w:r>
      <w:proofErr w:type="spellEnd"/>
      <w:r w:rsidRPr="0047412E">
        <w:rPr>
          <w:rFonts w:cs="Times New Roman"/>
          <w:szCs w:val="24"/>
        </w:rPr>
        <w:t xml:space="preserve"> is briefly introduced at the button of the page (Fig. 2A). T</w:t>
      </w:r>
      <w:r w:rsidRPr="0047412E">
        <w:rPr>
          <w:rFonts w:cs="Times New Roman" w:hint="eastAsia"/>
          <w:szCs w:val="24"/>
        </w:rPr>
        <w:t>he</w:t>
      </w:r>
      <w:r w:rsidRPr="0047412E">
        <w:rPr>
          <w:rFonts w:cs="Times New Roman"/>
          <w:szCs w:val="24"/>
        </w:rPr>
        <w:t xml:space="preserve"> </w:t>
      </w:r>
      <w:r w:rsidRPr="0047412E">
        <w:rPr>
          <w:rFonts w:cs="Times New Roman" w:hint="eastAsia"/>
          <w:szCs w:val="24"/>
        </w:rPr>
        <w:t>code</w:t>
      </w:r>
      <w:r w:rsidRPr="0047412E">
        <w:rPr>
          <w:rFonts w:cs="Times New Roman"/>
          <w:szCs w:val="24"/>
        </w:rPr>
        <w:t xml:space="preserve"> </w:t>
      </w:r>
      <w:r w:rsidRPr="0047412E">
        <w:rPr>
          <w:rFonts w:cs="Times New Roman" w:hint="eastAsia"/>
          <w:szCs w:val="24"/>
        </w:rPr>
        <w:t>of</w:t>
      </w:r>
      <w:r w:rsidRPr="0047412E">
        <w:rPr>
          <w:rFonts w:cs="Times New Roman"/>
          <w:szCs w:val="24"/>
        </w:rPr>
        <w:t xml:space="preserve"> MR</w:t>
      </w:r>
      <w:r w:rsidRPr="0047412E">
        <w:rPr>
          <w:rFonts w:cs="Times New Roman" w:hint="eastAsia"/>
          <w:szCs w:val="24"/>
        </w:rPr>
        <w:t>-</w:t>
      </w:r>
      <w:proofErr w:type="spellStart"/>
      <w:r w:rsidRPr="0047412E">
        <w:rPr>
          <w:rFonts w:cs="Times New Roman"/>
          <w:szCs w:val="24"/>
        </w:rPr>
        <w:t>CpGCluster</w:t>
      </w:r>
      <w:proofErr w:type="spellEnd"/>
      <w:r w:rsidRPr="0047412E">
        <w:rPr>
          <w:rFonts w:cs="Times New Roman"/>
          <w:szCs w:val="24"/>
        </w:rPr>
        <w:t xml:space="preserve"> is available to download when user </w:t>
      </w:r>
      <w:r w:rsidRPr="0047412E">
        <w:rPr>
          <w:rFonts w:cs="Times New Roman" w:hint="eastAsia"/>
          <w:szCs w:val="24"/>
        </w:rPr>
        <w:t>click</w:t>
      </w:r>
      <w:r w:rsidRPr="0047412E">
        <w:rPr>
          <w:rFonts w:cs="Times New Roman"/>
          <w:szCs w:val="24"/>
        </w:rPr>
        <w:t xml:space="preserve">s </w:t>
      </w:r>
      <w:r w:rsidRPr="0047412E">
        <w:rPr>
          <w:rFonts w:cs="Times New Roman" w:hint="eastAsia"/>
          <w:szCs w:val="24"/>
        </w:rPr>
        <w:t>the</w:t>
      </w:r>
      <w:r w:rsidRPr="0047412E">
        <w:rPr>
          <w:rFonts w:cs="Times New Roman"/>
          <w:szCs w:val="24"/>
        </w:rPr>
        <w:t xml:space="preserve"> “here” link (Fig. 2A). User can use the parameter selection interface (Fig. 2B) to select the genome annotation version, the maximum dis</w:t>
      </w:r>
      <w:r w:rsidRPr="0047412E">
        <w:rPr>
          <w:rFonts w:cs="Times New Roman" w:hint="eastAsia"/>
          <w:szCs w:val="24"/>
        </w:rPr>
        <w:t>tance parameter</w:t>
      </w:r>
      <w:r w:rsidRPr="0047412E">
        <w:rPr>
          <w:rFonts w:cs="Times New Roman"/>
          <w:szCs w:val="24"/>
        </w:rPr>
        <w:t xml:space="preserve"> </w:t>
      </w:r>
      <w:proofErr w:type="gramStart"/>
      <w:r w:rsidRPr="0047412E">
        <w:rPr>
          <w:rFonts w:cs="Times New Roman"/>
          <w:szCs w:val="24"/>
        </w:rPr>
        <w:t>range</w:t>
      </w:r>
      <w:proofErr w:type="gramEnd"/>
      <w:r w:rsidRPr="0047412E">
        <w:rPr>
          <w:rFonts w:cs="Times New Roman"/>
          <w:szCs w:val="24"/>
        </w:rPr>
        <w:t xml:space="preserve"> and</w:t>
      </w:r>
      <w:r w:rsidRPr="0047412E">
        <w:rPr>
          <w:rFonts w:cs="Times New Roman" w:hint="eastAsia"/>
          <w:szCs w:val="24"/>
        </w:rPr>
        <w:t xml:space="preserve"> the chromosome for </w:t>
      </w:r>
      <w:r w:rsidRPr="0047412E">
        <w:rPr>
          <w:rFonts w:cs="Times New Roman"/>
          <w:szCs w:val="24"/>
        </w:rPr>
        <w:t>CGI prediction</w:t>
      </w:r>
      <w:r w:rsidRPr="0047412E">
        <w:rPr>
          <w:rFonts w:cs="Times New Roman" w:hint="eastAsia"/>
          <w:szCs w:val="24"/>
        </w:rPr>
        <w:t xml:space="preserve">. </w:t>
      </w:r>
      <w:r w:rsidRPr="0047412E">
        <w:rPr>
          <w:rFonts w:cs="Times New Roman"/>
          <w:szCs w:val="24"/>
        </w:rPr>
        <w:t xml:space="preserve">Considering the calculation time and the simplicity of analysis result charts, we set 5 as the maximum range of different d for each count </w:t>
      </w:r>
      <w:r w:rsidRPr="0047412E">
        <w:rPr>
          <w:rFonts w:cs="Times New Roman" w:hint="eastAsia"/>
          <w:szCs w:val="24"/>
        </w:rPr>
        <w:t xml:space="preserve">(Fig. </w:t>
      </w:r>
      <w:r w:rsidRPr="0047412E">
        <w:rPr>
          <w:rFonts w:cs="Times New Roman"/>
          <w:szCs w:val="24"/>
        </w:rPr>
        <w:t>2</w:t>
      </w:r>
      <w:r w:rsidRPr="0047412E">
        <w:rPr>
          <w:rFonts w:cs="Times New Roman" w:hint="eastAsia"/>
          <w:szCs w:val="24"/>
        </w:rPr>
        <w:t>B). User can get the analys</w:t>
      </w:r>
      <w:r w:rsidRPr="0047412E">
        <w:rPr>
          <w:rFonts w:cs="Times New Roman"/>
          <w:szCs w:val="24"/>
        </w:rPr>
        <w:t xml:space="preserve">is results by </w:t>
      </w:r>
      <w:r w:rsidRPr="0047412E">
        <w:rPr>
          <w:rFonts w:cs="Times New Roman" w:hint="eastAsia"/>
          <w:szCs w:val="24"/>
        </w:rPr>
        <w:t>click</w:t>
      </w:r>
      <w:r w:rsidRPr="0047412E">
        <w:rPr>
          <w:rFonts w:cs="Times New Roman"/>
          <w:szCs w:val="24"/>
        </w:rPr>
        <w:t>ing</w:t>
      </w:r>
      <w:r w:rsidRPr="0047412E">
        <w:rPr>
          <w:rFonts w:cs="Times New Roman" w:hint="eastAsia"/>
          <w:szCs w:val="24"/>
        </w:rPr>
        <w:t xml:space="preserve"> the </w:t>
      </w:r>
      <w:r w:rsidRPr="0047412E">
        <w:rPr>
          <w:rFonts w:cs="Times New Roman"/>
          <w:szCs w:val="24"/>
        </w:rPr>
        <w:t>“</w:t>
      </w:r>
      <w:r w:rsidRPr="0047412E">
        <w:rPr>
          <w:rFonts w:cs="Times New Roman" w:hint="eastAsia"/>
          <w:szCs w:val="24"/>
        </w:rPr>
        <w:t>submit</w:t>
      </w:r>
      <w:r w:rsidRPr="0047412E">
        <w:rPr>
          <w:rFonts w:cs="Times New Roman"/>
          <w:szCs w:val="24"/>
        </w:rPr>
        <w:t>”</w:t>
      </w:r>
      <w:r w:rsidRPr="0047412E">
        <w:rPr>
          <w:rFonts w:cs="Times New Roman" w:hint="eastAsia"/>
          <w:szCs w:val="24"/>
        </w:rPr>
        <w:t xml:space="preserve"> button</w:t>
      </w:r>
      <w:r w:rsidRPr="0047412E">
        <w:rPr>
          <w:rFonts w:cs="Times New Roman"/>
          <w:szCs w:val="24"/>
        </w:rPr>
        <w:t>.</w:t>
      </w:r>
    </w:p>
    <w:p w14:paraId="61CFBA89" w14:textId="7BF70AC0" w:rsidR="00A830DA" w:rsidRPr="0047412E" w:rsidRDefault="00A830DA" w:rsidP="0047412E">
      <w:pPr>
        <w:jc w:val="both"/>
        <w:rPr>
          <w:rFonts w:cs="Times New Roman"/>
          <w:szCs w:val="24"/>
        </w:rPr>
      </w:pPr>
      <w:r w:rsidRPr="0047412E">
        <w:rPr>
          <w:rFonts w:cs="Times New Roman"/>
          <w:szCs w:val="24"/>
        </w:rPr>
        <w:t>MR-</w:t>
      </w:r>
      <w:proofErr w:type="spellStart"/>
      <w:r w:rsidRPr="0047412E">
        <w:rPr>
          <w:rFonts w:cs="Times New Roman"/>
          <w:szCs w:val="24"/>
        </w:rPr>
        <w:t>CpGCluster</w:t>
      </w:r>
      <w:proofErr w:type="spellEnd"/>
      <w:r w:rsidRPr="0047412E">
        <w:rPr>
          <w:rFonts w:cs="Times New Roman"/>
          <w:szCs w:val="24"/>
        </w:rPr>
        <w:t xml:space="preserve"> count may take several minutes to run. After that, the analysis results (Fig 2</w:t>
      </w:r>
      <w:proofErr w:type="gramStart"/>
      <w:r w:rsidRPr="0047412E">
        <w:rPr>
          <w:rFonts w:cs="Times New Roman"/>
          <w:szCs w:val="24"/>
        </w:rPr>
        <w:t>C,D</w:t>
      </w:r>
      <w:proofErr w:type="gramEnd"/>
      <w:r w:rsidRPr="0047412E">
        <w:rPr>
          <w:rFonts w:cs="Times New Roman"/>
          <w:szCs w:val="24"/>
        </w:rPr>
        <w:t xml:space="preserve">) will </w:t>
      </w:r>
      <w:r w:rsidRPr="0047412E">
        <w:rPr>
          <w:rFonts w:cs="Times New Roman" w:hint="eastAsia"/>
          <w:szCs w:val="24"/>
        </w:rPr>
        <w:t>d</w:t>
      </w:r>
      <w:r w:rsidRPr="0047412E">
        <w:rPr>
          <w:rFonts w:cs="Times New Roman"/>
          <w:szCs w:val="24"/>
        </w:rPr>
        <w:t>isplay at the bottom of the page</w:t>
      </w:r>
      <w:r w:rsidRPr="0047412E">
        <w:rPr>
          <w:rFonts w:cs="Times New Roman" w:hint="eastAsia"/>
          <w:szCs w:val="24"/>
        </w:rPr>
        <w:t>,</w:t>
      </w:r>
      <w:r w:rsidRPr="0047412E">
        <w:rPr>
          <w:rFonts w:cs="Times New Roman"/>
          <w:szCs w:val="24"/>
        </w:rPr>
        <w:t xml:space="preserve"> user can download specific results data by clicking the "Download data" button. </w:t>
      </w:r>
    </w:p>
    <w:p w14:paraId="7933F601" w14:textId="77777777" w:rsidR="00A830DA" w:rsidRDefault="00A830DA" w:rsidP="00A830DA">
      <w:pPr>
        <w:jc w:val="center"/>
      </w:pPr>
      <w:r>
        <w:rPr>
          <w:noProof/>
        </w:rPr>
        <w:drawing>
          <wp:inline distT="0" distB="0" distL="0" distR="0" wp14:anchorId="1C9B762B" wp14:editId="13111635">
            <wp:extent cx="3764280" cy="2545625"/>
            <wp:effectExtent l="19050" t="19050" r="26670" b="266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73166" cy="2551634"/>
                    </a:xfrm>
                    <a:prstGeom prst="rect">
                      <a:avLst/>
                    </a:prstGeom>
                    <a:noFill/>
                    <a:ln>
                      <a:solidFill>
                        <a:schemeClr val="tx1"/>
                      </a:solidFill>
                    </a:ln>
                  </pic:spPr>
                </pic:pic>
              </a:graphicData>
            </a:graphic>
          </wp:inline>
        </w:drawing>
      </w:r>
    </w:p>
    <w:p w14:paraId="59717534" w14:textId="77777777" w:rsidR="00A830DA" w:rsidRDefault="00A830DA" w:rsidP="00A830DA">
      <w:pPr>
        <w:ind w:firstLine="480"/>
        <w:jc w:val="center"/>
      </w:pPr>
      <w:r>
        <w:rPr>
          <w:rFonts w:hint="eastAsia"/>
        </w:rPr>
        <w:t>(</w:t>
      </w:r>
      <w:r>
        <w:t>A)</w:t>
      </w:r>
    </w:p>
    <w:p w14:paraId="70AA3B02" w14:textId="77777777" w:rsidR="00A830DA" w:rsidRDefault="00A830DA" w:rsidP="00A830DA">
      <w:pPr>
        <w:jc w:val="center"/>
      </w:pPr>
      <w:r>
        <w:rPr>
          <w:noProof/>
        </w:rPr>
        <w:drawing>
          <wp:inline distT="0" distB="0" distL="0" distR="0" wp14:anchorId="118DA6C7" wp14:editId="0243EAA0">
            <wp:extent cx="3771900" cy="1431925"/>
            <wp:effectExtent l="19050" t="19050" r="19050" b="15875"/>
            <wp:docPr id="24" name="图片 24" descr="C:\Users\qwe\AppData\Local\Temp\15804616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qwe\AppData\Local\Temp\1580461652(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773615" cy="1432676"/>
                    </a:xfrm>
                    <a:prstGeom prst="rect">
                      <a:avLst/>
                    </a:prstGeom>
                    <a:noFill/>
                    <a:ln>
                      <a:solidFill>
                        <a:schemeClr val="tx1"/>
                      </a:solidFill>
                    </a:ln>
                  </pic:spPr>
                </pic:pic>
              </a:graphicData>
            </a:graphic>
          </wp:inline>
        </w:drawing>
      </w:r>
    </w:p>
    <w:p w14:paraId="4DA6A3E0" w14:textId="77777777" w:rsidR="00A830DA" w:rsidRDefault="00A830DA" w:rsidP="00A830DA">
      <w:pPr>
        <w:ind w:firstLine="480"/>
        <w:jc w:val="center"/>
      </w:pPr>
      <w:r>
        <w:rPr>
          <w:rFonts w:hint="eastAsia"/>
        </w:rPr>
        <w:t>(</w:t>
      </w:r>
      <w:r>
        <w:t>B)</w:t>
      </w:r>
    </w:p>
    <w:p w14:paraId="0CE9B4CD" w14:textId="77777777" w:rsidR="00A830DA" w:rsidRDefault="00A830DA" w:rsidP="00797BBF">
      <w:pPr>
        <w:ind w:firstLineChars="800" w:firstLine="1920"/>
      </w:pPr>
      <w:r>
        <w:rPr>
          <w:noProof/>
        </w:rPr>
        <w:lastRenderedPageBreak/>
        <w:drawing>
          <wp:inline distT="0" distB="0" distL="0" distR="0" wp14:anchorId="028CB6CC" wp14:editId="6B4D6C34">
            <wp:extent cx="3825240" cy="1994596"/>
            <wp:effectExtent l="19050" t="19050" r="22860" b="2476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32520" cy="1998392"/>
                    </a:xfrm>
                    <a:prstGeom prst="rect">
                      <a:avLst/>
                    </a:prstGeom>
                    <a:noFill/>
                    <a:ln>
                      <a:solidFill>
                        <a:schemeClr val="tx1"/>
                      </a:solidFill>
                    </a:ln>
                  </pic:spPr>
                </pic:pic>
              </a:graphicData>
            </a:graphic>
          </wp:inline>
        </w:drawing>
      </w:r>
    </w:p>
    <w:p w14:paraId="7CC9C993" w14:textId="77777777" w:rsidR="00A830DA" w:rsidRDefault="00A830DA" w:rsidP="00A830DA">
      <w:pPr>
        <w:ind w:firstLine="480"/>
        <w:jc w:val="center"/>
      </w:pPr>
      <w:r>
        <w:rPr>
          <w:rFonts w:hint="eastAsia"/>
        </w:rPr>
        <w:t>(</w:t>
      </w:r>
      <w:r>
        <w:t>C)</w:t>
      </w:r>
    </w:p>
    <w:p w14:paraId="644719F1" w14:textId="77777777" w:rsidR="00A830DA" w:rsidRDefault="00A830DA" w:rsidP="00A830DA">
      <w:pPr>
        <w:ind w:firstLine="480"/>
        <w:jc w:val="center"/>
      </w:pPr>
      <w:r>
        <w:rPr>
          <w:noProof/>
        </w:rPr>
        <w:drawing>
          <wp:inline distT="0" distB="0" distL="0" distR="0" wp14:anchorId="143CEB4B" wp14:editId="001B5785">
            <wp:extent cx="3893820" cy="1281688"/>
            <wp:effectExtent l="19050" t="19050" r="11430" b="139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17804" cy="1289583"/>
                    </a:xfrm>
                    <a:prstGeom prst="rect">
                      <a:avLst/>
                    </a:prstGeom>
                    <a:noFill/>
                    <a:ln>
                      <a:solidFill>
                        <a:schemeClr val="tx1"/>
                      </a:solidFill>
                    </a:ln>
                  </pic:spPr>
                </pic:pic>
              </a:graphicData>
            </a:graphic>
          </wp:inline>
        </w:drawing>
      </w:r>
    </w:p>
    <w:p w14:paraId="16BB110A" w14:textId="77777777" w:rsidR="00A830DA" w:rsidRDefault="00A830DA" w:rsidP="00A830DA">
      <w:pPr>
        <w:ind w:firstLine="480"/>
        <w:jc w:val="center"/>
      </w:pPr>
      <w:r>
        <w:rPr>
          <w:rFonts w:hint="eastAsia"/>
        </w:rPr>
        <w:t>(</w:t>
      </w:r>
      <w:r>
        <w:t>D)</w:t>
      </w:r>
    </w:p>
    <w:p w14:paraId="2E80C09D" w14:textId="58A47C98" w:rsidR="00A830DA" w:rsidRDefault="00A830DA" w:rsidP="00E16E86">
      <w:r w:rsidRPr="00AE5778">
        <w:rPr>
          <w:b/>
          <w:bCs/>
        </w:rPr>
        <w:t>Fig.2</w:t>
      </w:r>
      <w:r>
        <w:t xml:space="preserve"> </w:t>
      </w:r>
      <w:r w:rsidRPr="00C334BA">
        <w:t>Position-defined CGI prediction</w:t>
      </w:r>
      <w:r>
        <w:t>. (A) Introduction of MR-</w:t>
      </w:r>
      <w:proofErr w:type="spellStart"/>
      <w:r>
        <w:t>CpGCluster</w:t>
      </w:r>
      <w:proofErr w:type="spellEnd"/>
      <w:r>
        <w:t xml:space="preserve">; (B) The selection interface; </w:t>
      </w:r>
      <w:r>
        <w:rPr>
          <w:rFonts w:hint="eastAsia"/>
        </w:rPr>
        <w:t>(</w:t>
      </w:r>
      <w:r>
        <w:t>C) Distributions of the island length for</w:t>
      </w:r>
      <w:r>
        <w:rPr>
          <w:rFonts w:hint="eastAsia"/>
        </w:rPr>
        <w:t xml:space="preserve"> </w:t>
      </w:r>
      <w:r>
        <w:t>the result;</w:t>
      </w:r>
      <w:r>
        <w:rPr>
          <w:rFonts w:hint="eastAsia"/>
        </w:rPr>
        <w:t xml:space="preserve"> (</w:t>
      </w:r>
      <w:r>
        <w:t>D) The statistical table of the results</w:t>
      </w:r>
      <w:r>
        <w:rPr>
          <w:rFonts w:hint="eastAsia"/>
        </w:rPr>
        <w:t>.</w:t>
      </w:r>
    </w:p>
    <w:p w14:paraId="2A79D138" w14:textId="4F645F2F" w:rsidR="00A830DA" w:rsidRPr="0047412E" w:rsidRDefault="00A830DA" w:rsidP="0047412E">
      <w:pPr>
        <w:pStyle w:val="1"/>
        <w:tabs>
          <w:tab w:val="num" w:pos="567"/>
        </w:tabs>
        <w:ind w:left="567" w:hanging="567"/>
      </w:pPr>
      <w:r w:rsidRPr="0047412E">
        <w:t>1.2 H</w:t>
      </w:r>
      <w:r w:rsidRPr="0047412E">
        <w:rPr>
          <w:rFonts w:hint="eastAsia"/>
        </w:rPr>
        <w:t>uman</w:t>
      </w:r>
      <w:r w:rsidRPr="0047412E">
        <w:t xml:space="preserve"> </w:t>
      </w:r>
      <w:r w:rsidRPr="0047412E">
        <w:rPr>
          <w:rFonts w:hint="eastAsia"/>
        </w:rPr>
        <w:t>p</w:t>
      </w:r>
      <w:r w:rsidRPr="0047412E">
        <w:t>osition-defined CGI analysis</w:t>
      </w:r>
    </w:p>
    <w:p w14:paraId="1E5C11C9" w14:textId="77777777" w:rsidR="00A830DA" w:rsidRPr="0047412E" w:rsidRDefault="00A830DA" w:rsidP="0047412E">
      <w:pPr>
        <w:jc w:val="both"/>
        <w:rPr>
          <w:rFonts w:cs="Times New Roman"/>
          <w:szCs w:val="24"/>
        </w:rPr>
      </w:pPr>
      <w:r w:rsidRPr="0047412E">
        <w:rPr>
          <w:rFonts w:cs="Times New Roman"/>
          <w:szCs w:val="24"/>
        </w:rPr>
        <w:t>After clicking "H</w:t>
      </w:r>
      <w:r w:rsidRPr="0047412E">
        <w:rPr>
          <w:rFonts w:cs="Times New Roman" w:hint="eastAsia"/>
          <w:szCs w:val="24"/>
        </w:rPr>
        <w:t>uman</w:t>
      </w:r>
      <w:r w:rsidRPr="0047412E">
        <w:rPr>
          <w:rFonts w:cs="Times New Roman"/>
          <w:szCs w:val="24"/>
        </w:rPr>
        <w:t xml:space="preserve"> </w:t>
      </w:r>
      <w:r w:rsidRPr="0047412E">
        <w:rPr>
          <w:rFonts w:cs="Times New Roman" w:hint="eastAsia"/>
          <w:szCs w:val="24"/>
        </w:rPr>
        <w:t>p</w:t>
      </w:r>
      <w:r w:rsidRPr="0047412E">
        <w:rPr>
          <w:rFonts w:cs="Times New Roman"/>
          <w:szCs w:val="24"/>
        </w:rPr>
        <w:t xml:space="preserve">osition-defined CGI analysis " link, </w:t>
      </w:r>
      <w:r w:rsidRPr="0047412E">
        <w:rPr>
          <w:rFonts w:cs="Times New Roman" w:hint="eastAsia"/>
          <w:szCs w:val="24"/>
        </w:rPr>
        <w:t>u</w:t>
      </w:r>
      <w:r w:rsidRPr="0047412E">
        <w:rPr>
          <w:rFonts w:cs="Times New Roman"/>
          <w:szCs w:val="24"/>
        </w:rPr>
        <w:t>ser can use the parameter selection interface (Fig. 3A) to select the genome annotation version, the maximum distance parameter,</w:t>
      </w:r>
      <w:r w:rsidRPr="0047412E">
        <w:rPr>
          <w:rFonts w:cs="Times New Roman" w:hint="eastAsia"/>
          <w:szCs w:val="24"/>
        </w:rPr>
        <w:t xml:space="preserve"> </w:t>
      </w:r>
      <w:r w:rsidRPr="0047412E">
        <w:rPr>
          <w:rFonts w:cs="Times New Roman"/>
          <w:szCs w:val="24"/>
        </w:rPr>
        <w:t>and the chromosome for MR-</w:t>
      </w:r>
      <w:proofErr w:type="spellStart"/>
      <w:r w:rsidRPr="0047412E">
        <w:rPr>
          <w:rFonts w:cs="Times New Roman"/>
          <w:szCs w:val="24"/>
        </w:rPr>
        <w:t>CpGCluster</w:t>
      </w:r>
      <w:proofErr w:type="spellEnd"/>
      <w:r w:rsidRPr="0047412E">
        <w:rPr>
          <w:rFonts w:cs="Times New Roman"/>
          <w:szCs w:val="24"/>
        </w:rPr>
        <w:t xml:space="preserve"> </w:t>
      </w:r>
      <w:r w:rsidRPr="0047412E">
        <w:rPr>
          <w:rFonts w:cs="Times New Roman" w:hint="eastAsia"/>
          <w:szCs w:val="24"/>
        </w:rPr>
        <w:t>a</w:t>
      </w:r>
      <w:r w:rsidRPr="0047412E">
        <w:rPr>
          <w:rFonts w:cs="Times New Roman"/>
          <w:szCs w:val="24"/>
        </w:rPr>
        <w:t>nalysis. User can also click the radio button to choose whether to distinguish the CGI of in/ not in gene bo</w:t>
      </w:r>
      <w:r w:rsidRPr="0047412E">
        <w:rPr>
          <w:rFonts w:cs="Times New Roman" w:hint="eastAsia"/>
          <w:szCs w:val="24"/>
        </w:rPr>
        <w:t>d</w:t>
      </w:r>
      <w:r w:rsidRPr="0047412E">
        <w:rPr>
          <w:rFonts w:cs="Times New Roman"/>
          <w:szCs w:val="24"/>
        </w:rPr>
        <w:t>y in the result (Fig. 3A). User can click the submit button to get the analysis results (Fig. 3A).</w:t>
      </w:r>
    </w:p>
    <w:p w14:paraId="4D230796" w14:textId="77777777" w:rsidR="00A830DA" w:rsidRPr="0047412E" w:rsidRDefault="00A830DA" w:rsidP="0047412E">
      <w:pPr>
        <w:jc w:val="both"/>
        <w:rPr>
          <w:rFonts w:cs="Times New Roman"/>
          <w:szCs w:val="24"/>
        </w:rPr>
      </w:pPr>
      <w:r w:rsidRPr="0047412E">
        <w:rPr>
          <w:rFonts w:cs="Times New Roman"/>
          <w:szCs w:val="24"/>
        </w:rPr>
        <w:t>The analysis results consist of four charts, which show the distribution of island length, CpG O/E ratio, GC content and CpG density of the CGIs which predicted by MR</w:t>
      </w:r>
      <w:r w:rsidRPr="0047412E">
        <w:rPr>
          <w:rFonts w:cs="Times New Roman" w:hint="eastAsia"/>
          <w:szCs w:val="24"/>
        </w:rPr>
        <w:t>-</w:t>
      </w:r>
      <w:proofErr w:type="spellStart"/>
      <w:r w:rsidRPr="0047412E">
        <w:rPr>
          <w:rFonts w:cs="Times New Roman"/>
          <w:szCs w:val="24"/>
        </w:rPr>
        <w:t>CpGCluster</w:t>
      </w:r>
      <w:proofErr w:type="spellEnd"/>
      <w:r w:rsidRPr="0047412E">
        <w:rPr>
          <w:rFonts w:cs="Times New Roman"/>
          <w:szCs w:val="24"/>
        </w:rPr>
        <w:t xml:space="preserve"> respectively. Fig</w:t>
      </w:r>
      <w:r w:rsidRPr="0047412E">
        <w:rPr>
          <w:rFonts w:cs="Times New Roman" w:hint="eastAsia"/>
          <w:szCs w:val="24"/>
        </w:rPr>
        <w:t>.</w:t>
      </w:r>
      <w:r w:rsidRPr="0047412E">
        <w:rPr>
          <w:rFonts w:cs="Times New Roman"/>
          <w:szCs w:val="24"/>
        </w:rPr>
        <w:t xml:space="preserve"> 3F shows some statistical results of the </w:t>
      </w:r>
      <w:proofErr w:type="spellStart"/>
      <w:r w:rsidRPr="0047412E">
        <w:rPr>
          <w:rFonts w:cs="Times New Roman"/>
          <w:szCs w:val="24"/>
        </w:rPr>
        <w:t>CpGCluster</w:t>
      </w:r>
      <w:proofErr w:type="spellEnd"/>
      <w:r w:rsidRPr="0047412E">
        <w:rPr>
          <w:rFonts w:cs="Times New Roman"/>
          <w:szCs w:val="24"/>
        </w:rPr>
        <w:t xml:space="preserve"> analysis. User can also click the "Download data" button to download specific </w:t>
      </w:r>
      <w:proofErr w:type="spellStart"/>
      <w:r w:rsidRPr="0047412E">
        <w:rPr>
          <w:rFonts w:cs="Times New Roman"/>
          <w:szCs w:val="24"/>
        </w:rPr>
        <w:t>CpGCluster</w:t>
      </w:r>
      <w:proofErr w:type="spellEnd"/>
      <w:r w:rsidRPr="0047412E">
        <w:rPr>
          <w:rFonts w:cs="Times New Roman"/>
          <w:szCs w:val="24"/>
        </w:rPr>
        <w:t xml:space="preserve"> Analysis </w:t>
      </w:r>
      <w:r w:rsidRPr="0047412E">
        <w:rPr>
          <w:rFonts w:cs="Times New Roman" w:hint="eastAsia"/>
          <w:szCs w:val="24"/>
        </w:rPr>
        <w:t>results</w:t>
      </w:r>
      <w:r w:rsidRPr="0047412E">
        <w:rPr>
          <w:rFonts w:cs="Times New Roman"/>
          <w:szCs w:val="24"/>
        </w:rPr>
        <w:t xml:space="preserve"> data (Fig. 3F).</w:t>
      </w:r>
    </w:p>
    <w:p w14:paraId="1D5646FB" w14:textId="4D220F6C" w:rsidR="00A830DA" w:rsidRPr="0047412E" w:rsidRDefault="00A830DA" w:rsidP="0047412E">
      <w:pPr>
        <w:jc w:val="both"/>
        <w:rPr>
          <w:rFonts w:cs="Times New Roman"/>
          <w:szCs w:val="24"/>
        </w:rPr>
      </w:pPr>
      <w:r w:rsidRPr="0047412E">
        <w:rPr>
          <w:rFonts w:cs="Times New Roman"/>
          <w:szCs w:val="24"/>
        </w:rPr>
        <w:t xml:space="preserve">For example, </w:t>
      </w:r>
      <w:r w:rsidRPr="0047412E">
        <w:rPr>
          <w:rFonts w:cs="Times New Roman" w:hint="eastAsia"/>
          <w:szCs w:val="24"/>
        </w:rPr>
        <w:t>after</w:t>
      </w:r>
      <w:r w:rsidRPr="0047412E">
        <w:rPr>
          <w:rFonts w:cs="Times New Roman"/>
          <w:szCs w:val="24"/>
        </w:rPr>
        <w:t xml:space="preserve"> select</w:t>
      </w:r>
      <w:r w:rsidRPr="0047412E">
        <w:rPr>
          <w:rFonts w:cs="Times New Roman" w:hint="eastAsia"/>
          <w:szCs w:val="24"/>
        </w:rPr>
        <w:t>ing</w:t>
      </w:r>
      <w:r w:rsidRPr="0047412E">
        <w:rPr>
          <w:rFonts w:cs="Times New Roman"/>
          <w:szCs w:val="24"/>
        </w:rPr>
        <w:t xml:space="preserve"> "</w:t>
      </w:r>
      <w:proofErr w:type="spellStart"/>
      <w:r w:rsidRPr="0047412E">
        <w:rPr>
          <w:rFonts w:cs="Times New Roman"/>
          <w:szCs w:val="24"/>
        </w:rPr>
        <w:t>Gencode</w:t>
      </w:r>
      <w:proofErr w:type="spellEnd"/>
      <w:r w:rsidRPr="0047412E">
        <w:rPr>
          <w:rFonts w:cs="Times New Roman"/>
          <w:szCs w:val="24"/>
        </w:rPr>
        <w:t xml:space="preserve"> v28", "d = 50, d = 25, d = 12", "All Chromosomes" </w:t>
      </w:r>
      <w:r w:rsidRPr="0047412E">
        <w:rPr>
          <w:rFonts w:cs="Times New Roman" w:hint="eastAsia"/>
          <w:szCs w:val="24"/>
        </w:rPr>
        <w:t>in</w:t>
      </w:r>
      <w:r w:rsidRPr="0047412E">
        <w:rPr>
          <w:rFonts w:cs="Times New Roman"/>
          <w:szCs w:val="24"/>
        </w:rPr>
        <w:t xml:space="preserve"> figure B</w:t>
      </w:r>
      <w:r w:rsidRPr="0047412E">
        <w:rPr>
          <w:rFonts w:cs="Times New Roman" w:hint="eastAsia"/>
          <w:szCs w:val="24"/>
        </w:rPr>
        <w:t>.</w:t>
      </w:r>
      <w:r w:rsidRPr="0047412E">
        <w:rPr>
          <w:rFonts w:cs="Times New Roman"/>
          <w:szCs w:val="24"/>
        </w:rPr>
        <w:t xml:space="preserve"> Figures C-F show that when d=50, the island length is the longer than d = 25 and d = 12 (Fig.3B), and when d=12, the O</w:t>
      </w:r>
      <w:r w:rsidRPr="0047412E">
        <w:rPr>
          <w:rFonts w:cs="Times New Roman" w:hint="eastAsia"/>
          <w:szCs w:val="24"/>
        </w:rPr>
        <w:t>/</w:t>
      </w:r>
      <w:r w:rsidRPr="0047412E">
        <w:rPr>
          <w:rFonts w:cs="Times New Roman"/>
          <w:szCs w:val="24"/>
        </w:rPr>
        <w:t>E ratio (Fig. 3C), GC content (Fig. 3D) and CpG density (Fig. 3E) of the CGIs are larger than when d=25 and d=50. Fig. G shows that the less CGI is predicted when d</w:t>
      </w:r>
      <w:r w:rsidRPr="0047412E">
        <w:rPr>
          <w:rFonts w:cs="Times New Roman" w:hint="eastAsia"/>
          <w:szCs w:val="24"/>
        </w:rPr>
        <w:t xml:space="preserve"> </w:t>
      </w:r>
      <w:r w:rsidRPr="0047412E">
        <w:rPr>
          <w:rFonts w:cs="Times New Roman"/>
          <w:szCs w:val="24"/>
        </w:rPr>
        <w:t>is smaller.</w:t>
      </w:r>
    </w:p>
    <w:p w14:paraId="11EDDA3C" w14:textId="77777777" w:rsidR="00A830DA" w:rsidRDefault="00A830DA" w:rsidP="00A830DA">
      <w:pPr>
        <w:jc w:val="center"/>
      </w:pPr>
      <w:r>
        <w:rPr>
          <w:noProof/>
        </w:rPr>
        <w:lastRenderedPageBreak/>
        <w:drawing>
          <wp:inline distT="0" distB="0" distL="0" distR="0" wp14:anchorId="33F9306E" wp14:editId="79C3BEC1">
            <wp:extent cx="3429000" cy="1398270"/>
            <wp:effectExtent l="19050" t="19050" r="19050" b="11430"/>
            <wp:docPr id="996345757" name="图片 996345757" descr="C:\Users\qwe\AppData\Local\Temp\15802036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qwe\AppData\Local\Temp\158020363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459642" cy="1411169"/>
                    </a:xfrm>
                    <a:prstGeom prst="rect">
                      <a:avLst/>
                    </a:prstGeom>
                    <a:noFill/>
                    <a:ln>
                      <a:solidFill>
                        <a:schemeClr val="tx1"/>
                      </a:solidFill>
                    </a:ln>
                  </pic:spPr>
                </pic:pic>
              </a:graphicData>
            </a:graphic>
          </wp:inline>
        </w:drawing>
      </w:r>
    </w:p>
    <w:p w14:paraId="6CD9FB79" w14:textId="77777777" w:rsidR="00A830DA" w:rsidRDefault="00A830DA" w:rsidP="00A830DA">
      <w:pPr>
        <w:jc w:val="center"/>
      </w:pPr>
      <w:r>
        <w:rPr>
          <w:rFonts w:ascii="Arial" w:hAnsi="Arial" w:cs="Arial" w:hint="eastAsia"/>
          <w:sz w:val="20"/>
        </w:rPr>
        <w:t>(</w:t>
      </w:r>
      <w:r>
        <w:rPr>
          <w:rFonts w:ascii="Arial" w:hAnsi="Arial" w:cs="Arial"/>
          <w:sz w:val="20"/>
        </w:rPr>
        <w:t>A)</w:t>
      </w:r>
    </w:p>
    <w:p w14:paraId="01913C55" w14:textId="77777777" w:rsidR="00A830DA" w:rsidRDefault="00A830DA" w:rsidP="00A830DA">
      <w:pPr>
        <w:jc w:val="center"/>
      </w:pPr>
      <w:r>
        <w:rPr>
          <w:noProof/>
        </w:rPr>
        <w:drawing>
          <wp:inline distT="0" distB="0" distL="0" distR="0" wp14:anchorId="6579F5AF" wp14:editId="12D33948">
            <wp:extent cx="3444240" cy="1584960"/>
            <wp:effectExtent l="19050" t="19050" r="22860" b="15240"/>
            <wp:docPr id="13" name="图片 13" descr="C:\Users\qwe\AppData\Local\Temp\15802043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qwe\AppData\Local\Temp\1580204349(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467140" cy="1595985"/>
                    </a:xfrm>
                    <a:prstGeom prst="rect">
                      <a:avLst/>
                    </a:prstGeom>
                    <a:noFill/>
                    <a:ln>
                      <a:solidFill>
                        <a:schemeClr val="tx1"/>
                      </a:solidFill>
                    </a:ln>
                  </pic:spPr>
                </pic:pic>
              </a:graphicData>
            </a:graphic>
          </wp:inline>
        </w:drawing>
      </w:r>
    </w:p>
    <w:p w14:paraId="3BC44798" w14:textId="77777777" w:rsidR="00A830DA" w:rsidRDefault="00A830DA" w:rsidP="00A830DA">
      <w:pPr>
        <w:jc w:val="center"/>
        <w:rPr>
          <w:rFonts w:ascii="Arial" w:hAnsi="Arial" w:cs="Arial"/>
          <w:sz w:val="20"/>
        </w:rPr>
      </w:pPr>
      <w:r>
        <w:rPr>
          <w:rFonts w:ascii="Arial" w:hAnsi="Arial" w:cs="Arial" w:hint="eastAsia"/>
          <w:sz w:val="20"/>
        </w:rPr>
        <w:t>(</w:t>
      </w:r>
      <w:r>
        <w:rPr>
          <w:rFonts w:ascii="Arial" w:hAnsi="Arial" w:cs="Arial"/>
          <w:sz w:val="20"/>
        </w:rPr>
        <w:t>B</w:t>
      </w:r>
      <w:r>
        <w:rPr>
          <w:rFonts w:ascii="Arial" w:hAnsi="Arial" w:cs="Arial" w:hint="eastAsia"/>
          <w:sz w:val="20"/>
        </w:rPr>
        <w:t>)</w:t>
      </w:r>
    </w:p>
    <w:p w14:paraId="73FB6D54" w14:textId="77777777" w:rsidR="00A830DA" w:rsidRDefault="00A830DA" w:rsidP="00A830DA">
      <w:pPr>
        <w:jc w:val="center"/>
      </w:pPr>
      <w:r>
        <w:rPr>
          <w:noProof/>
        </w:rPr>
        <w:drawing>
          <wp:inline distT="0" distB="0" distL="0" distR="0" wp14:anchorId="4C49388D" wp14:editId="300B584F">
            <wp:extent cx="3467100" cy="1630680"/>
            <wp:effectExtent l="19050" t="19050" r="19050" b="26670"/>
            <wp:docPr id="14" name="图片 14" descr="C:\Users\qwe\AppData\Local\Temp\15802043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qwe\AppData\Local\Temp\1580204396(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488872" cy="1641495"/>
                    </a:xfrm>
                    <a:prstGeom prst="rect">
                      <a:avLst/>
                    </a:prstGeom>
                    <a:noFill/>
                    <a:ln>
                      <a:solidFill>
                        <a:schemeClr val="tx1"/>
                      </a:solidFill>
                    </a:ln>
                  </pic:spPr>
                </pic:pic>
              </a:graphicData>
            </a:graphic>
          </wp:inline>
        </w:drawing>
      </w:r>
    </w:p>
    <w:p w14:paraId="0F9E3664" w14:textId="77777777" w:rsidR="00A830DA" w:rsidRDefault="00A830DA" w:rsidP="00A830DA">
      <w:pPr>
        <w:jc w:val="center"/>
        <w:rPr>
          <w:rFonts w:ascii="Arial" w:hAnsi="Arial" w:cs="Arial"/>
          <w:sz w:val="20"/>
        </w:rPr>
      </w:pPr>
      <w:r>
        <w:rPr>
          <w:rFonts w:ascii="Arial" w:hAnsi="Arial" w:cs="Arial" w:hint="eastAsia"/>
          <w:sz w:val="20"/>
        </w:rPr>
        <w:t>(</w:t>
      </w:r>
      <w:r>
        <w:rPr>
          <w:rFonts w:ascii="Arial" w:hAnsi="Arial" w:cs="Arial"/>
          <w:sz w:val="20"/>
        </w:rPr>
        <w:t>C</w:t>
      </w:r>
      <w:r>
        <w:rPr>
          <w:rFonts w:ascii="Arial" w:hAnsi="Arial" w:cs="Arial" w:hint="eastAsia"/>
          <w:sz w:val="20"/>
        </w:rPr>
        <w:t>)</w:t>
      </w:r>
    </w:p>
    <w:p w14:paraId="43994C01" w14:textId="77777777" w:rsidR="00A830DA" w:rsidRDefault="00A830DA" w:rsidP="00A830DA">
      <w:pPr>
        <w:jc w:val="center"/>
      </w:pPr>
      <w:r>
        <w:rPr>
          <w:noProof/>
        </w:rPr>
        <w:drawing>
          <wp:inline distT="0" distB="0" distL="0" distR="0" wp14:anchorId="3E47956F" wp14:editId="5B3C88C8">
            <wp:extent cx="3482340" cy="1631315"/>
            <wp:effectExtent l="19050" t="19050" r="22860" b="26035"/>
            <wp:docPr id="15" name="图片 15" descr="C:\Users\qwe\AppData\Local\Temp\1580204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qwe\AppData\Local\Temp\1580204426(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528372" cy="1653392"/>
                    </a:xfrm>
                    <a:prstGeom prst="rect">
                      <a:avLst/>
                    </a:prstGeom>
                    <a:noFill/>
                    <a:ln>
                      <a:solidFill>
                        <a:schemeClr val="tx1"/>
                      </a:solidFill>
                    </a:ln>
                  </pic:spPr>
                </pic:pic>
              </a:graphicData>
            </a:graphic>
          </wp:inline>
        </w:drawing>
      </w:r>
    </w:p>
    <w:p w14:paraId="6B05AC9C" w14:textId="77777777" w:rsidR="00A830DA" w:rsidRDefault="00A830DA" w:rsidP="00A830DA">
      <w:pPr>
        <w:jc w:val="center"/>
      </w:pPr>
      <w:r>
        <w:rPr>
          <w:rFonts w:ascii="Arial" w:hAnsi="Arial" w:cs="Arial" w:hint="eastAsia"/>
          <w:sz w:val="20"/>
        </w:rPr>
        <w:t>(</w:t>
      </w:r>
      <w:r>
        <w:rPr>
          <w:rFonts w:ascii="Arial" w:hAnsi="Arial" w:cs="Arial"/>
          <w:sz w:val="20"/>
        </w:rPr>
        <w:t>D</w:t>
      </w:r>
      <w:r>
        <w:rPr>
          <w:rFonts w:ascii="Arial" w:hAnsi="Arial" w:cs="Arial" w:hint="eastAsia"/>
          <w:sz w:val="20"/>
        </w:rPr>
        <w:t>)</w:t>
      </w:r>
    </w:p>
    <w:p w14:paraId="53BBCC3D" w14:textId="77777777" w:rsidR="00A830DA" w:rsidRDefault="00A830DA" w:rsidP="00A830DA">
      <w:pPr>
        <w:jc w:val="center"/>
      </w:pPr>
      <w:r>
        <w:rPr>
          <w:noProof/>
        </w:rPr>
        <w:lastRenderedPageBreak/>
        <w:drawing>
          <wp:inline distT="0" distB="0" distL="0" distR="0" wp14:anchorId="3C58491B" wp14:editId="21F97298">
            <wp:extent cx="3512820" cy="1628775"/>
            <wp:effectExtent l="19050" t="19050" r="11430" b="28575"/>
            <wp:docPr id="16" name="图片 16" descr="C:\Users\qwe\AppData\Local\Temp\15802044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qwe\AppData\Local\Temp\1580204454(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557175" cy="1649704"/>
                    </a:xfrm>
                    <a:prstGeom prst="rect">
                      <a:avLst/>
                    </a:prstGeom>
                    <a:noFill/>
                    <a:ln>
                      <a:solidFill>
                        <a:schemeClr val="tx1"/>
                      </a:solidFill>
                    </a:ln>
                  </pic:spPr>
                </pic:pic>
              </a:graphicData>
            </a:graphic>
          </wp:inline>
        </w:drawing>
      </w:r>
    </w:p>
    <w:p w14:paraId="66972BD5" w14:textId="77777777" w:rsidR="00A830DA" w:rsidRDefault="00A830DA" w:rsidP="00A830DA">
      <w:pPr>
        <w:jc w:val="center"/>
        <w:rPr>
          <w:rFonts w:ascii="Arial" w:hAnsi="Arial" w:cs="Arial"/>
          <w:sz w:val="20"/>
        </w:rPr>
      </w:pPr>
      <w:r>
        <w:rPr>
          <w:rFonts w:ascii="Arial" w:hAnsi="Arial" w:cs="Arial" w:hint="eastAsia"/>
          <w:sz w:val="20"/>
        </w:rPr>
        <w:t>(</w:t>
      </w:r>
      <w:r>
        <w:rPr>
          <w:rFonts w:ascii="Arial" w:hAnsi="Arial" w:cs="Arial"/>
          <w:sz w:val="20"/>
        </w:rPr>
        <w:t>E</w:t>
      </w:r>
      <w:r>
        <w:rPr>
          <w:rFonts w:ascii="Arial" w:hAnsi="Arial" w:cs="Arial" w:hint="eastAsia"/>
          <w:sz w:val="20"/>
        </w:rPr>
        <w:t>)</w:t>
      </w:r>
    </w:p>
    <w:p w14:paraId="507964E4" w14:textId="77777777" w:rsidR="00A830DA" w:rsidRDefault="00A830DA" w:rsidP="00A830DA">
      <w:pPr>
        <w:jc w:val="center"/>
      </w:pPr>
      <w:r>
        <w:rPr>
          <w:noProof/>
        </w:rPr>
        <w:drawing>
          <wp:inline distT="0" distB="0" distL="0" distR="0" wp14:anchorId="79ADE644" wp14:editId="2C1621B7">
            <wp:extent cx="4114800" cy="754380"/>
            <wp:effectExtent l="19050" t="19050" r="19050" b="26670"/>
            <wp:docPr id="9" name="图片 9" descr="C:\Users\qwe\AppData\Local\Temp\15802039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qwe\AppData\Local\Temp\1580203993(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191656" cy="768470"/>
                    </a:xfrm>
                    <a:prstGeom prst="rect">
                      <a:avLst/>
                    </a:prstGeom>
                    <a:noFill/>
                    <a:ln>
                      <a:solidFill>
                        <a:schemeClr val="tx1"/>
                      </a:solidFill>
                    </a:ln>
                  </pic:spPr>
                </pic:pic>
              </a:graphicData>
            </a:graphic>
          </wp:inline>
        </w:drawing>
      </w:r>
    </w:p>
    <w:p w14:paraId="62634DDB" w14:textId="19646DE9" w:rsidR="00A830DA" w:rsidRDefault="00A830DA" w:rsidP="00C371FC">
      <w:pPr>
        <w:jc w:val="center"/>
        <w:rPr>
          <w:rFonts w:ascii="Arial" w:hAnsi="Arial" w:cs="Arial"/>
          <w:sz w:val="20"/>
        </w:rPr>
      </w:pPr>
      <w:r>
        <w:rPr>
          <w:rFonts w:ascii="Arial" w:hAnsi="Arial" w:cs="Arial" w:hint="eastAsia"/>
          <w:sz w:val="20"/>
        </w:rPr>
        <w:t>(</w:t>
      </w:r>
      <w:r>
        <w:rPr>
          <w:rFonts w:ascii="Arial" w:hAnsi="Arial" w:cs="Arial"/>
          <w:sz w:val="20"/>
        </w:rPr>
        <w:t>F</w:t>
      </w:r>
      <w:r>
        <w:rPr>
          <w:rFonts w:ascii="Arial" w:hAnsi="Arial" w:cs="Arial" w:hint="eastAsia"/>
          <w:sz w:val="20"/>
        </w:rPr>
        <w:t>)</w:t>
      </w:r>
    </w:p>
    <w:p w14:paraId="16AEC286" w14:textId="77777777" w:rsidR="00A830DA" w:rsidRPr="0047412E" w:rsidRDefault="00A830DA" w:rsidP="0047412E">
      <w:pPr>
        <w:jc w:val="both"/>
        <w:rPr>
          <w:rFonts w:cs="Times New Roman"/>
          <w:szCs w:val="24"/>
        </w:rPr>
      </w:pPr>
      <w:r w:rsidRPr="0047412E">
        <w:rPr>
          <w:rFonts w:cs="Times New Roman"/>
          <w:b/>
          <w:bCs/>
          <w:szCs w:val="24"/>
        </w:rPr>
        <w:t>Fig.3</w:t>
      </w:r>
      <w:r w:rsidRPr="0047412E">
        <w:rPr>
          <w:rFonts w:cs="Times New Roman"/>
          <w:szCs w:val="24"/>
        </w:rPr>
        <w:t xml:space="preserve"> Human position-defined CGI analysis. (A) The selection interface; </w:t>
      </w:r>
      <w:r w:rsidRPr="0047412E">
        <w:rPr>
          <w:rFonts w:cs="Times New Roman" w:hint="eastAsia"/>
          <w:szCs w:val="24"/>
        </w:rPr>
        <w:t>(</w:t>
      </w:r>
      <w:r w:rsidRPr="0047412E">
        <w:rPr>
          <w:rFonts w:cs="Times New Roman"/>
          <w:szCs w:val="24"/>
        </w:rPr>
        <w:t>B) Distributions of the island length;</w:t>
      </w:r>
      <w:r w:rsidRPr="0047412E">
        <w:rPr>
          <w:rFonts w:cs="Times New Roman" w:hint="eastAsia"/>
          <w:szCs w:val="24"/>
        </w:rPr>
        <w:t xml:space="preserve"> (</w:t>
      </w:r>
      <w:r w:rsidRPr="0047412E">
        <w:rPr>
          <w:rFonts w:cs="Times New Roman"/>
          <w:szCs w:val="24"/>
        </w:rPr>
        <w:t>C) Distributions of the CpG O/E ratio f;</w:t>
      </w:r>
      <w:r w:rsidRPr="0047412E">
        <w:rPr>
          <w:rFonts w:cs="Times New Roman" w:hint="eastAsia"/>
          <w:szCs w:val="24"/>
        </w:rPr>
        <w:t xml:space="preserve"> (</w:t>
      </w:r>
      <w:r w:rsidRPr="0047412E">
        <w:rPr>
          <w:rFonts w:cs="Times New Roman"/>
          <w:szCs w:val="24"/>
        </w:rPr>
        <w:t>D) Distributions of the GC content;</w:t>
      </w:r>
      <w:r w:rsidRPr="0047412E">
        <w:rPr>
          <w:rFonts w:cs="Times New Roman" w:hint="eastAsia"/>
          <w:szCs w:val="24"/>
        </w:rPr>
        <w:t xml:space="preserve"> (</w:t>
      </w:r>
      <w:r w:rsidRPr="0047412E">
        <w:rPr>
          <w:rFonts w:cs="Times New Roman"/>
          <w:szCs w:val="24"/>
        </w:rPr>
        <w:t>E) Distributions of the CpG density;</w:t>
      </w:r>
      <w:r w:rsidRPr="0047412E">
        <w:rPr>
          <w:rFonts w:cs="Times New Roman" w:hint="eastAsia"/>
          <w:szCs w:val="24"/>
        </w:rPr>
        <w:t xml:space="preserve"> (</w:t>
      </w:r>
      <w:r w:rsidRPr="0047412E">
        <w:rPr>
          <w:rFonts w:cs="Times New Roman"/>
          <w:szCs w:val="24"/>
        </w:rPr>
        <w:t>F) The statistical table of cluster results</w:t>
      </w:r>
      <w:r w:rsidRPr="0047412E">
        <w:rPr>
          <w:rFonts w:cs="Times New Roman" w:hint="eastAsia"/>
          <w:szCs w:val="24"/>
        </w:rPr>
        <w:t>.</w:t>
      </w:r>
    </w:p>
    <w:p w14:paraId="49693ABD" w14:textId="77777777" w:rsidR="00A830DA" w:rsidRPr="00AE5778" w:rsidRDefault="00A830DA" w:rsidP="0047412E">
      <w:pPr>
        <w:pStyle w:val="1"/>
        <w:numPr>
          <w:ilvl w:val="0"/>
          <w:numId w:val="20"/>
        </w:numPr>
        <w:tabs>
          <w:tab w:val="num" w:pos="567"/>
        </w:tabs>
        <w:ind w:left="567" w:hanging="567"/>
      </w:pPr>
      <w:r w:rsidRPr="00AE5778">
        <w:t>CpG sites annotation analysis</w:t>
      </w:r>
    </w:p>
    <w:p w14:paraId="2DEE131B" w14:textId="335507F0" w:rsidR="00A830DA" w:rsidRPr="0047412E" w:rsidRDefault="00CD1CFE" w:rsidP="0047412E">
      <w:pPr>
        <w:pStyle w:val="1"/>
        <w:tabs>
          <w:tab w:val="num" w:pos="567"/>
        </w:tabs>
        <w:ind w:left="567" w:hanging="567"/>
      </w:pPr>
      <w:r w:rsidRPr="0047412E">
        <w:t xml:space="preserve">2.1 </w:t>
      </w:r>
      <w:r w:rsidR="003A5EF5" w:rsidRPr="0047412E">
        <w:t xml:space="preserve">     </w:t>
      </w:r>
      <w:r w:rsidR="00A830DA" w:rsidRPr="0047412E">
        <w:t>Human CpG sites Distribution analysis</w:t>
      </w:r>
    </w:p>
    <w:p w14:paraId="215FC24F" w14:textId="77777777" w:rsidR="00A830DA" w:rsidRPr="0047412E" w:rsidRDefault="00A830DA" w:rsidP="0047412E">
      <w:pPr>
        <w:jc w:val="both"/>
        <w:rPr>
          <w:rFonts w:cs="Times New Roman"/>
          <w:szCs w:val="24"/>
        </w:rPr>
      </w:pPr>
      <w:r w:rsidRPr="0047412E">
        <w:rPr>
          <w:rFonts w:cs="Times New Roman"/>
          <w:szCs w:val="24"/>
        </w:rPr>
        <w:t>User can employ the interface (Fig. 4A) to choose the genome annotation version and the chromosome after clicking the “Human CpG sites Distribution analysis” link. User can have the CpG sites mapping results by clicking “Submit” button.</w:t>
      </w:r>
    </w:p>
    <w:p w14:paraId="71AE1FD2" w14:textId="77777777" w:rsidR="00A830DA" w:rsidRPr="0047412E" w:rsidRDefault="00A830DA" w:rsidP="0047412E">
      <w:pPr>
        <w:jc w:val="both"/>
        <w:rPr>
          <w:rFonts w:cs="Times New Roman"/>
          <w:szCs w:val="24"/>
        </w:rPr>
      </w:pPr>
      <w:r w:rsidRPr="0047412E">
        <w:rPr>
          <w:rFonts w:cs="Times New Roman"/>
          <w:szCs w:val="24"/>
        </w:rPr>
        <w:t xml:space="preserve">The CpG sites mapping results consist of </w:t>
      </w:r>
      <w:r w:rsidRPr="0047412E">
        <w:rPr>
          <w:rFonts w:cs="Times New Roman" w:hint="eastAsia"/>
          <w:szCs w:val="24"/>
        </w:rPr>
        <w:t>five</w:t>
      </w:r>
      <w:r w:rsidRPr="0047412E">
        <w:rPr>
          <w:rFonts w:cs="Times New Roman"/>
          <w:szCs w:val="24"/>
        </w:rPr>
        <w:t xml:space="preserve"> charts. First, Fig. 4B shows the proportion of CpG sits in different genetic region for the current human genome annotation </w:t>
      </w:r>
      <w:r w:rsidRPr="0047412E">
        <w:rPr>
          <w:rFonts w:cs="Times New Roman" w:hint="eastAsia"/>
          <w:szCs w:val="24"/>
        </w:rPr>
        <w:t>data</w:t>
      </w:r>
      <w:r w:rsidRPr="0047412E">
        <w:rPr>
          <w:rFonts w:cs="Times New Roman"/>
          <w:szCs w:val="24"/>
        </w:rPr>
        <w:t xml:space="preserve">. Second, Fig. 4C shows </w:t>
      </w:r>
      <w:r w:rsidRPr="0047412E">
        <w:rPr>
          <w:rFonts w:cs="Times New Roman" w:hint="eastAsia"/>
          <w:szCs w:val="24"/>
        </w:rPr>
        <w:t>t</w:t>
      </w:r>
      <w:r w:rsidRPr="0047412E">
        <w:rPr>
          <w:rFonts w:cs="Times New Roman"/>
          <w:szCs w:val="24"/>
        </w:rPr>
        <w:t xml:space="preserve">he proportion of CpG sites in different tissue expression specific genes. Third, Fig. 4D shows </w:t>
      </w:r>
      <w:r w:rsidRPr="0047412E">
        <w:rPr>
          <w:rFonts w:cs="Times New Roman" w:hint="eastAsia"/>
          <w:szCs w:val="24"/>
        </w:rPr>
        <w:t>the</w:t>
      </w:r>
      <w:r w:rsidRPr="0047412E">
        <w:rPr>
          <w:rFonts w:cs="Times New Roman"/>
          <w:szCs w:val="24"/>
        </w:rPr>
        <w:t xml:space="preserve"> density of CpG sites in different gene regions. Fourth, Fig. 4E compares the proportion of CpG sits in different density CGIs. Lastly, Fig. 4F shows average CpG sits number in different density CGIs</w:t>
      </w:r>
      <w:r w:rsidRPr="0047412E">
        <w:rPr>
          <w:rFonts w:cs="Times New Roman" w:hint="eastAsia"/>
          <w:szCs w:val="24"/>
        </w:rPr>
        <w:t>.</w:t>
      </w:r>
    </w:p>
    <w:p w14:paraId="4007B44C" w14:textId="77777777" w:rsidR="00A830DA" w:rsidRPr="0047412E" w:rsidRDefault="00A830DA" w:rsidP="0047412E">
      <w:pPr>
        <w:jc w:val="both"/>
        <w:rPr>
          <w:rFonts w:cs="Times New Roman"/>
          <w:szCs w:val="24"/>
        </w:rPr>
      </w:pPr>
      <w:r w:rsidRPr="0047412E">
        <w:rPr>
          <w:rFonts w:cs="Times New Roman"/>
          <w:szCs w:val="24"/>
        </w:rPr>
        <w:t>For example, after choosing "</w:t>
      </w:r>
      <w:proofErr w:type="spellStart"/>
      <w:r w:rsidRPr="0047412E">
        <w:rPr>
          <w:rFonts w:cs="Times New Roman"/>
          <w:szCs w:val="24"/>
        </w:rPr>
        <w:t>Gencode</w:t>
      </w:r>
      <w:proofErr w:type="spellEnd"/>
      <w:r w:rsidRPr="0047412E">
        <w:rPr>
          <w:rFonts w:cs="Times New Roman"/>
          <w:szCs w:val="24"/>
        </w:rPr>
        <w:t xml:space="preserve"> v28", and "All Chromosomes" </w:t>
      </w:r>
      <w:r w:rsidRPr="0047412E">
        <w:rPr>
          <w:rFonts w:cs="Times New Roman" w:hint="eastAsia"/>
          <w:szCs w:val="24"/>
        </w:rPr>
        <w:t>(</w:t>
      </w:r>
      <w:r w:rsidRPr="0047412E">
        <w:rPr>
          <w:rFonts w:cs="Times New Roman"/>
          <w:szCs w:val="24"/>
        </w:rPr>
        <w:t xml:space="preserve">Fig. A), Fig. B </w:t>
      </w:r>
      <w:r w:rsidRPr="0047412E">
        <w:rPr>
          <w:rFonts w:cs="Times New Roman" w:hint="eastAsia"/>
          <w:szCs w:val="24"/>
        </w:rPr>
        <w:t>shows</w:t>
      </w:r>
      <w:r w:rsidRPr="0047412E">
        <w:rPr>
          <w:rFonts w:cs="Times New Roman"/>
          <w:szCs w:val="24"/>
        </w:rPr>
        <w:t xml:space="preserve"> </w:t>
      </w:r>
      <w:r w:rsidRPr="0047412E">
        <w:rPr>
          <w:rFonts w:cs="Times New Roman" w:hint="eastAsia"/>
          <w:szCs w:val="24"/>
        </w:rPr>
        <w:t>that</w:t>
      </w:r>
      <w:r w:rsidRPr="0047412E">
        <w:rPr>
          <w:rFonts w:cs="Times New Roman"/>
          <w:szCs w:val="24"/>
        </w:rPr>
        <w:t xml:space="preserve"> most CpG sites are locate in the gene body (62.64%). Fig. C shows that most of the CpG sites are locate in the body of coding genes, among which the proportion of HK gene is the highest (20.79%). Fig. D </w:t>
      </w:r>
      <w:r w:rsidRPr="0047412E">
        <w:rPr>
          <w:rFonts w:cs="Times New Roman" w:hint="eastAsia"/>
          <w:szCs w:val="24"/>
        </w:rPr>
        <w:t>shows</w:t>
      </w:r>
      <w:r w:rsidRPr="0047412E">
        <w:rPr>
          <w:rFonts w:cs="Times New Roman"/>
          <w:szCs w:val="24"/>
        </w:rPr>
        <w:t xml:space="preserve"> that </w:t>
      </w:r>
      <w:r w:rsidRPr="0047412E">
        <w:rPr>
          <w:rFonts w:cs="Times New Roman" w:hint="eastAsia"/>
          <w:szCs w:val="24"/>
        </w:rPr>
        <w:t>w</w:t>
      </w:r>
      <w:r w:rsidRPr="0047412E">
        <w:rPr>
          <w:rFonts w:cs="Times New Roman"/>
          <w:szCs w:val="24"/>
        </w:rPr>
        <w:t xml:space="preserve">hen d=25, the average CpG </w:t>
      </w:r>
      <w:r w:rsidRPr="0047412E">
        <w:rPr>
          <w:rFonts w:cs="Times New Roman" w:hint="eastAsia"/>
          <w:szCs w:val="24"/>
        </w:rPr>
        <w:t>number</w:t>
      </w:r>
      <w:r w:rsidRPr="0047412E">
        <w:rPr>
          <w:rFonts w:cs="Times New Roman"/>
          <w:szCs w:val="24"/>
        </w:rPr>
        <w:t xml:space="preserve"> in HCGIs is the largest.</w:t>
      </w:r>
    </w:p>
    <w:p w14:paraId="029CAEF1" w14:textId="77777777" w:rsidR="00A830DA" w:rsidRDefault="00A830DA" w:rsidP="00A830DA">
      <w:pPr>
        <w:ind w:firstLine="420"/>
        <w:jc w:val="center"/>
      </w:pPr>
      <w:r>
        <w:rPr>
          <w:noProof/>
        </w:rPr>
        <w:lastRenderedPageBreak/>
        <w:drawing>
          <wp:inline distT="0" distB="0" distL="0" distR="0" wp14:anchorId="67C93669" wp14:editId="2D393735">
            <wp:extent cx="3649980" cy="1218565"/>
            <wp:effectExtent l="19050" t="19050" r="26670" b="19685"/>
            <wp:docPr id="2" name="图片 2" descr="C:\Users\qwe\AppData\Local\Temp\15802901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qwe\AppData\Local\Temp\1580290186(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655300" cy="1220389"/>
                    </a:xfrm>
                    <a:prstGeom prst="rect">
                      <a:avLst/>
                    </a:prstGeom>
                    <a:noFill/>
                    <a:ln>
                      <a:solidFill>
                        <a:schemeClr val="tx1"/>
                      </a:solidFill>
                    </a:ln>
                  </pic:spPr>
                </pic:pic>
              </a:graphicData>
            </a:graphic>
          </wp:inline>
        </w:drawing>
      </w:r>
    </w:p>
    <w:p w14:paraId="4FEFF32B" w14:textId="77777777" w:rsidR="00A830DA" w:rsidRDefault="00A830DA" w:rsidP="00A830DA">
      <w:pPr>
        <w:jc w:val="center"/>
        <w:rPr>
          <w:rFonts w:ascii="Arial" w:hAnsi="Arial" w:cs="Arial"/>
          <w:sz w:val="20"/>
        </w:rPr>
      </w:pPr>
      <w:r>
        <w:rPr>
          <w:rFonts w:ascii="Arial" w:hAnsi="Arial" w:cs="Arial" w:hint="eastAsia"/>
          <w:sz w:val="20"/>
        </w:rPr>
        <w:t>（</w:t>
      </w:r>
      <w:r>
        <w:rPr>
          <w:rFonts w:ascii="Arial" w:hAnsi="Arial" w:cs="Arial" w:hint="eastAsia"/>
          <w:sz w:val="20"/>
        </w:rPr>
        <w:t>A</w:t>
      </w:r>
      <w:r>
        <w:rPr>
          <w:rFonts w:ascii="Arial" w:hAnsi="Arial" w:cs="Arial" w:hint="eastAsia"/>
          <w:sz w:val="20"/>
        </w:rPr>
        <w:t>）</w:t>
      </w:r>
    </w:p>
    <w:p w14:paraId="4350AB7D" w14:textId="77777777" w:rsidR="00A830DA" w:rsidRDefault="00A830DA" w:rsidP="00A830DA">
      <w:pPr>
        <w:ind w:firstLine="420"/>
        <w:jc w:val="center"/>
      </w:pPr>
      <w:r>
        <w:rPr>
          <w:noProof/>
        </w:rPr>
        <w:drawing>
          <wp:inline distT="0" distB="0" distL="0" distR="0" wp14:anchorId="0707B6A9" wp14:editId="4DF73308">
            <wp:extent cx="3843398" cy="1527810"/>
            <wp:effectExtent l="19050" t="19050" r="24130" b="15240"/>
            <wp:docPr id="10" name="图片 10" descr="C:\Users\qwe\AppData\Local\Temp\15802902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qwe\AppData\Local\Temp\158029024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63172" cy="1535670"/>
                    </a:xfrm>
                    <a:prstGeom prst="rect">
                      <a:avLst/>
                    </a:prstGeom>
                    <a:noFill/>
                    <a:ln>
                      <a:solidFill>
                        <a:schemeClr val="tx1"/>
                      </a:solidFill>
                    </a:ln>
                  </pic:spPr>
                </pic:pic>
              </a:graphicData>
            </a:graphic>
          </wp:inline>
        </w:drawing>
      </w:r>
    </w:p>
    <w:p w14:paraId="08CFB65A" w14:textId="77777777" w:rsidR="00A830DA" w:rsidRDefault="00A830DA" w:rsidP="00A830DA">
      <w:pPr>
        <w:jc w:val="center"/>
        <w:rPr>
          <w:rFonts w:ascii="Arial" w:hAnsi="Arial" w:cs="Arial"/>
          <w:sz w:val="20"/>
        </w:rPr>
      </w:pPr>
      <w:r>
        <w:rPr>
          <w:rFonts w:ascii="Arial" w:hAnsi="Arial" w:cs="Arial" w:hint="eastAsia"/>
          <w:sz w:val="20"/>
        </w:rPr>
        <w:t>（</w:t>
      </w:r>
      <w:r>
        <w:rPr>
          <w:rFonts w:ascii="Arial" w:hAnsi="Arial" w:cs="Arial" w:hint="eastAsia"/>
          <w:sz w:val="20"/>
        </w:rPr>
        <w:t>B</w:t>
      </w:r>
      <w:r>
        <w:rPr>
          <w:rFonts w:ascii="Arial" w:hAnsi="Arial" w:cs="Arial" w:hint="eastAsia"/>
          <w:sz w:val="20"/>
        </w:rPr>
        <w:t>）</w:t>
      </w:r>
    </w:p>
    <w:p w14:paraId="2393494E" w14:textId="77777777" w:rsidR="00A830DA" w:rsidRDefault="00A830DA" w:rsidP="00A830DA">
      <w:pPr>
        <w:ind w:firstLine="420"/>
        <w:jc w:val="center"/>
      </w:pPr>
      <w:r>
        <w:rPr>
          <w:noProof/>
        </w:rPr>
        <w:drawing>
          <wp:inline distT="0" distB="0" distL="0" distR="0" wp14:anchorId="1F6D983E" wp14:editId="4A76504C">
            <wp:extent cx="3836670" cy="1452299"/>
            <wp:effectExtent l="19050" t="19050" r="11430" b="14605"/>
            <wp:docPr id="11" name="图片 11" descr="C:\Users\qwe\AppData\Local\Temp\15802902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qwe\AppData\Local\Temp\1580290286(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18143" cy="1483139"/>
                    </a:xfrm>
                    <a:prstGeom prst="rect">
                      <a:avLst/>
                    </a:prstGeom>
                    <a:noFill/>
                    <a:ln>
                      <a:solidFill>
                        <a:schemeClr val="tx1"/>
                      </a:solidFill>
                    </a:ln>
                  </pic:spPr>
                </pic:pic>
              </a:graphicData>
            </a:graphic>
          </wp:inline>
        </w:drawing>
      </w:r>
    </w:p>
    <w:p w14:paraId="646FE80F" w14:textId="77777777" w:rsidR="00A830DA" w:rsidRDefault="00A830DA" w:rsidP="00A830DA">
      <w:pPr>
        <w:jc w:val="center"/>
        <w:rPr>
          <w:rFonts w:ascii="Arial" w:hAnsi="Arial" w:cs="Arial"/>
          <w:sz w:val="20"/>
        </w:rPr>
      </w:pPr>
      <w:r>
        <w:rPr>
          <w:rFonts w:ascii="Arial" w:hAnsi="Arial" w:cs="Arial" w:hint="eastAsia"/>
          <w:sz w:val="20"/>
        </w:rPr>
        <w:t>（</w:t>
      </w:r>
      <w:r>
        <w:rPr>
          <w:rFonts w:ascii="Arial" w:hAnsi="Arial" w:cs="Arial" w:hint="eastAsia"/>
          <w:sz w:val="20"/>
        </w:rPr>
        <w:t>C</w:t>
      </w:r>
      <w:r>
        <w:rPr>
          <w:rFonts w:ascii="Arial" w:hAnsi="Arial" w:cs="Arial" w:hint="eastAsia"/>
          <w:sz w:val="20"/>
        </w:rPr>
        <w:t>）</w:t>
      </w:r>
    </w:p>
    <w:p w14:paraId="34268687" w14:textId="77777777" w:rsidR="00A830DA" w:rsidRDefault="00A830DA" w:rsidP="00A830DA">
      <w:pPr>
        <w:jc w:val="center"/>
        <w:rPr>
          <w:rFonts w:ascii="Arial" w:hAnsi="Arial" w:cs="Arial"/>
          <w:sz w:val="20"/>
        </w:rPr>
      </w:pPr>
      <w:r>
        <w:rPr>
          <w:noProof/>
        </w:rPr>
        <w:drawing>
          <wp:inline distT="0" distB="0" distL="0" distR="0" wp14:anchorId="37F36247" wp14:editId="0F0E2280">
            <wp:extent cx="4354830" cy="1753257"/>
            <wp:effectExtent l="19050" t="19050" r="26670" b="184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67321" cy="1758286"/>
                    </a:xfrm>
                    <a:prstGeom prst="rect">
                      <a:avLst/>
                    </a:prstGeom>
                    <a:noFill/>
                    <a:ln>
                      <a:solidFill>
                        <a:schemeClr val="tx1"/>
                      </a:solidFill>
                    </a:ln>
                  </pic:spPr>
                </pic:pic>
              </a:graphicData>
            </a:graphic>
          </wp:inline>
        </w:drawing>
      </w:r>
    </w:p>
    <w:p w14:paraId="4503C548" w14:textId="77777777" w:rsidR="00A830DA" w:rsidRDefault="00A830DA" w:rsidP="00A830DA">
      <w:pPr>
        <w:jc w:val="center"/>
        <w:rPr>
          <w:rFonts w:ascii="Arial" w:hAnsi="Arial" w:cs="Arial"/>
          <w:sz w:val="20"/>
        </w:rPr>
      </w:pPr>
      <w:r>
        <w:rPr>
          <w:rFonts w:ascii="Arial" w:hAnsi="Arial" w:cs="Arial" w:hint="eastAsia"/>
          <w:sz w:val="20"/>
        </w:rPr>
        <w:t>(</w:t>
      </w:r>
      <w:r>
        <w:rPr>
          <w:rFonts w:ascii="Arial" w:hAnsi="Arial" w:cs="Arial"/>
          <w:sz w:val="20"/>
        </w:rPr>
        <w:t>D)</w:t>
      </w:r>
    </w:p>
    <w:p w14:paraId="3CB425A3" w14:textId="77777777" w:rsidR="00A830DA" w:rsidRDefault="00A830DA" w:rsidP="00A830DA">
      <w:pPr>
        <w:jc w:val="center"/>
      </w:pPr>
      <w:r>
        <w:rPr>
          <w:noProof/>
        </w:rPr>
        <w:lastRenderedPageBreak/>
        <w:drawing>
          <wp:inline distT="0" distB="0" distL="0" distR="0" wp14:anchorId="2C4E40C6" wp14:editId="5117AF37">
            <wp:extent cx="4191000" cy="1707893"/>
            <wp:effectExtent l="19050" t="19050" r="19050" b="260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7669" cy="1710611"/>
                    </a:xfrm>
                    <a:prstGeom prst="rect">
                      <a:avLst/>
                    </a:prstGeom>
                    <a:noFill/>
                    <a:ln>
                      <a:solidFill>
                        <a:schemeClr val="tx1"/>
                      </a:solidFill>
                    </a:ln>
                  </pic:spPr>
                </pic:pic>
              </a:graphicData>
            </a:graphic>
          </wp:inline>
        </w:drawing>
      </w:r>
    </w:p>
    <w:p w14:paraId="6614A6D2" w14:textId="77777777" w:rsidR="00A830DA" w:rsidRDefault="00A830DA" w:rsidP="00A830DA">
      <w:pPr>
        <w:jc w:val="center"/>
        <w:rPr>
          <w:rFonts w:ascii="Arial" w:hAnsi="Arial" w:cs="Arial"/>
          <w:sz w:val="20"/>
        </w:rPr>
      </w:pPr>
      <w:r>
        <w:rPr>
          <w:rFonts w:ascii="Arial" w:hAnsi="Arial" w:cs="Arial" w:hint="eastAsia"/>
          <w:sz w:val="20"/>
        </w:rPr>
        <w:t>(</w:t>
      </w:r>
      <w:r>
        <w:rPr>
          <w:rFonts w:ascii="Arial" w:hAnsi="Arial" w:cs="Arial"/>
          <w:sz w:val="20"/>
        </w:rPr>
        <w:t>E)</w:t>
      </w:r>
    </w:p>
    <w:p w14:paraId="4D2A4303" w14:textId="26E321AC" w:rsidR="00A830DA" w:rsidRPr="0047412E" w:rsidRDefault="00A830DA" w:rsidP="0047412E">
      <w:pPr>
        <w:jc w:val="both"/>
        <w:rPr>
          <w:rFonts w:cs="Times New Roman"/>
          <w:szCs w:val="24"/>
        </w:rPr>
      </w:pPr>
      <w:r w:rsidRPr="0047412E">
        <w:rPr>
          <w:rFonts w:cs="Times New Roman"/>
          <w:b/>
          <w:bCs/>
          <w:szCs w:val="24"/>
        </w:rPr>
        <w:t>Fig.4</w:t>
      </w:r>
      <w:r w:rsidRPr="0047412E">
        <w:rPr>
          <w:rFonts w:cs="Times New Roman"/>
          <w:szCs w:val="24"/>
        </w:rPr>
        <w:t xml:space="preserve"> Human CpG sites mapping results. </w:t>
      </w:r>
      <w:r w:rsidRPr="0047412E">
        <w:rPr>
          <w:rFonts w:cs="Times New Roman" w:hint="eastAsia"/>
          <w:szCs w:val="24"/>
        </w:rPr>
        <w:t>(</w:t>
      </w:r>
      <w:r w:rsidRPr="0047412E">
        <w:rPr>
          <w:rFonts w:cs="Times New Roman"/>
          <w:szCs w:val="24"/>
        </w:rPr>
        <w:t xml:space="preserve">A) The selection interface; </w:t>
      </w:r>
      <w:r w:rsidRPr="0047412E">
        <w:rPr>
          <w:rFonts w:cs="Times New Roman" w:hint="eastAsia"/>
          <w:szCs w:val="24"/>
        </w:rPr>
        <w:t>(</w:t>
      </w:r>
      <w:r w:rsidRPr="0047412E">
        <w:rPr>
          <w:rFonts w:cs="Times New Roman"/>
          <w:szCs w:val="24"/>
        </w:rPr>
        <w:t>B) The proportion of CpG sits in different genetic region;</w:t>
      </w:r>
      <w:r w:rsidRPr="0047412E">
        <w:rPr>
          <w:rFonts w:cs="Times New Roman" w:hint="eastAsia"/>
          <w:szCs w:val="24"/>
        </w:rPr>
        <w:t xml:space="preserve"> (</w:t>
      </w:r>
      <w:r w:rsidRPr="0047412E">
        <w:rPr>
          <w:rFonts w:cs="Times New Roman"/>
          <w:szCs w:val="24"/>
        </w:rPr>
        <w:t>C) The proportion of CpG sites in different tissue expression specific genes;</w:t>
      </w:r>
      <w:r w:rsidRPr="0047412E">
        <w:rPr>
          <w:rFonts w:cs="Times New Roman" w:hint="eastAsia"/>
          <w:szCs w:val="24"/>
        </w:rPr>
        <w:t xml:space="preserve"> (</w:t>
      </w:r>
      <w:r w:rsidRPr="0047412E">
        <w:rPr>
          <w:rFonts w:cs="Times New Roman"/>
          <w:szCs w:val="24"/>
        </w:rPr>
        <w:t>D) Density of CpG sites in different gene regions;</w:t>
      </w:r>
      <w:r w:rsidRPr="0047412E">
        <w:rPr>
          <w:rFonts w:cs="Times New Roman" w:hint="eastAsia"/>
          <w:szCs w:val="24"/>
        </w:rPr>
        <w:t xml:space="preserve"> (</w:t>
      </w:r>
      <w:r w:rsidRPr="0047412E">
        <w:rPr>
          <w:rFonts w:cs="Times New Roman"/>
          <w:szCs w:val="24"/>
        </w:rPr>
        <w:t>E) Average CpG sits number in different density CGIs</w:t>
      </w:r>
      <w:r w:rsidRPr="0047412E">
        <w:rPr>
          <w:rFonts w:cs="Times New Roman" w:hint="eastAsia"/>
          <w:szCs w:val="24"/>
        </w:rPr>
        <w:t>.</w:t>
      </w:r>
    </w:p>
    <w:p w14:paraId="318AB542" w14:textId="728F9142" w:rsidR="00A830DA" w:rsidRPr="0047412E" w:rsidRDefault="00A830DA" w:rsidP="0047412E">
      <w:pPr>
        <w:pStyle w:val="1"/>
        <w:tabs>
          <w:tab w:val="num" w:pos="567"/>
        </w:tabs>
        <w:ind w:left="567" w:hanging="567"/>
      </w:pPr>
      <w:r w:rsidRPr="0047412E">
        <w:t>2.2 Human CpG sites permutation analysis</w:t>
      </w:r>
    </w:p>
    <w:p w14:paraId="2C05BE17" w14:textId="1D1BD6F1" w:rsidR="00A830DA" w:rsidRPr="0047412E" w:rsidRDefault="00A830DA" w:rsidP="0047412E">
      <w:pPr>
        <w:jc w:val="both"/>
        <w:rPr>
          <w:rFonts w:cs="Times New Roman"/>
          <w:szCs w:val="24"/>
        </w:rPr>
      </w:pPr>
      <w:r w:rsidRPr="0047412E">
        <w:rPr>
          <w:rFonts w:cs="Times New Roman"/>
          <w:szCs w:val="24"/>
        </w:rPr>
        <w:t xml:space="preserve">After clicking " Human CpG sites permutation analysis " </w:t>
      </w:r>
      <w:r w:rsidRPr="0047412E">
        <w:rPr>
          <w:rFonts w:cs="Times New Roman" w:hint="eastAsia"/>
          <w:szCs w:val="24"/>
        </w:rPr>
        <w:t>link</w:t>
      </w:r>
      <w:r w:rsidRPr="0047412E">
        <w:rPr>
          <w:rFonts w:cs="Times New Roman"/>
          <w:szCs w:val="24"/>
        </w:rPr>
        <w:t>, Firstly, the analysis method of C</w:t>
      </w:r>
      <w:r w:rsidRPr="0047412E">
        <w:rPr>
          <w:rFonts w:cs="Times New Roman" w:hint="eastAsia"/>
          <w:szCs w:val="24"/>
        </w:rPr>
        <w:t>p</w:t>
      </w:r>
      <w:r w:rsidRPr="0047412E">
        <w:rPr>
          <w:rFonts w:cs="Times New Roman"/>
          <w:szCs w:val="24"/>
        </w:rPr>
        <w:t xml:space="preserve">G-containing sequences permutation patterns analysis </w:t>
      </w:r>
      <w:r w:rsidRPr="0047412E">
        <w:rPr>
          <w:rFonts w:cs="Times New Roman"/>
          <w:szCs w:val="24"/>
        </w:rPr>
        <w:fldChar w:fldCharType="begin"/>
      </w:r>
      <w:hyperlink w:tooltip="Zhang, 2018 #322" w:history="1">
        <w:r w:rsidRPr="0047412E">
          <w:rPr>
            <w:rFonts w:cs="Times New Roman"/>
            <w:szCs w:val="24"/>
          </w:rPr>
          <w:instrText>1</w:instrText>
        </w:r>
      </w:hyperlink>
      <w:r w:rsidRPr="0047412E">
        <w:rPr>
          <w:rFonts w:cs="Times New Roman"/>
          <w:szCs w:val="24"/>
        </w:rPr>
        <w:instrText>, 2]</w:instrText>
      </w:r>
      <w:r w:rsidRPr="0047412E">
        <w:rPr>
          <w:rFonts w:cs="Times New Roman"/>
          <w:szCs w:val="24"/>
        </w:rPr>
        <w:fldChar w:fldCharType="end"/>
      </w:r>
      <w:r w:rsidRPr="0047412E">
        <w:rPr>
          <w:rFonts w:cs="Times New Roman"/>
          <w:szCs w:val="24"/>
        </w:rPr>
        <w:t>was briefly introduced at the button of the page (Fig</w:t>
      </w:r>
      <w:r w:rsidRPr="0047412E">
        <w:rPr>
          <w:rFonts w:cs="Times New Roman" w:hint="eastAsia"/>
          <w:szCs w:val="24"/>
        </w:rPr>
        <w:t>.</w:t>
      </w:r>
      <w:r w:rsidRPr="0047412E">
        <w:rPr>
          <w:rFonts w:cs="Times New Roman"/>
          <w:szCs w:val="24"/>
        </w:rPr>
        <w:t xml:space="preserve"> 5A). Users can employ the gene annotation category interface (Fig</w:t>
      </w:r>
      <w:r w:rsidRPr="0047412E">
        <w:rPr>
          <w:rFonts w:cs="Times New Roman" w:hint="eastAsia"/>
          <w:szCs w:val="24"/>
        </w:rPr>
        <w:t>.</w:t>
      </w:r>
      <w:r w:rsidRPr="0047412E">
        <w:rPr>
          <w:rFonts w:cs="Times New Roman"/>
          <w:szCs w:val="24"/>
        </w:rPr>
        <w:t xml:space="preserve"> 5B) to choose the genome annotation version and CGI density. Also, users can click the radio button (Fig</w:t>
      </w:r>
      <w:r w:rsidRPr="0047412E">
        <w:rPr>
          <w:rFonts w:cs="Times New Roman" w:hint="eastAsia"/>
          <w:szCs w:val="24"/>
        </w:rPr>
        <w:t>.</w:t>
      </w:r>
      <w:r w:rsidRPr="0047412E">
        <w:rPr>
          <w:rFonts w:cs="Times New Roman"/>
          <w:szCs w:val="24"/>
        </w:rPr>
        <w:t xml:space="preserve"> 5B) to show the results of O/E Ratio or O/E Compare. Finally, users can get the analysis results by clicking the "Submit" button (Fig</w:t>
      </w:r>
      <w:r w:rsidRPr="0047412E">
        <w:rPr>
          <w:rFonts w:cs="Times New Roman" w:hint="eastAsia"/>
          <w:szCs w:val="24"/>
        </w:rPr>
        <w:t>.</w:t>
      </w:r>
      <w:r w:rsidRPr="0047412E">
        <w:rPr>
          <w:rFonts w:cs="Times New Roman"/>
          <w:szCs w:val="24"/>
        </w:rPr>
        <w:t xml:space="preserve"> 5B).</w:t>
      </w:r>
    </w:p>
    <w:p w14:paraId="735A3C3D" w14:textId="77777777" w:rsidR="00A830DA" w:rsidRDefault="00A830DA" w:rsidP="00A830DA">
      <w:pPr>
        <w:ind w:firstLine="420"/>
        <w:jc w:val="center"/>
        <w:rPr>
          <w:rFonts w:ascii="Arial" w:hAnsi="Arial" w:cs="Arial"/>
          <w:sz w:val="20"/>
        </w:rPr>
      </w:pPr>
      <w:r>
        <w:rPr>
          <w:noProof/>
        </w:rPr>
        <w:drawing>
          <wp:inline distT="0" distB="0" distL="0" distR="0" wp14:anchorId="14A9AF2B" wp14:editId="4CB1C476">
            <wp:extent cx="3070860" cy="1496610"/>
            <wp:effectExtent l="19050" t="19050" r="15240" b="279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82250" cy="1502161"/>
                    </a:xfrm>
                    <a:prstGeom prst="rect">
                      <a:avLst/>
                    </a:prstGeom>
                    <a:noFill/>
                    <a:ln>
                      <a:solidFill>
                        <a:schemeClr val="tx1"/>
                      </a:solidFill>
                    </a:ln>
                  </pic:spPr>
                </pic:pic>
              </a:graphicData>
            </a:graphic>
          </wp:inline>
        </w:drawing>
      </w:r>
    </w:p>
    <w:p w14:paraId="67C5DFBA" w14:textId="77777777" w:rsidR="00A830DA" w:rsidRDefault="00A830DA" w:rsidP="00A830DA">
      <w:pPr>
        <w:ind w:firstLine="400"/>
        <w:jc w:val="center"/>
        <w:rPr>
          <w:rFonts w:ascii="Arial" w:hAnsi="Arial" w:cs="Arial"/>
          <w:sz w:val="20"/>
        </w:rPr>
      </w:pPr>
      <w:r>
        <w:rPr>
          <w:rFonts w:ascii="Arial" w:hAnsi="Arial" w:cs="Arial" w:hint="eastAsia"/>
          <w:sz w:val="20"/>
        </w:rPr>
        <w:t>(</w:t>
      </w:r>
      <w:r>
        <w:rPr>
          <w:rFonts w:ascii="Arial" w:hAnsi="Arial" w:cs="Arial"/>
          <w:sz w:val="20"/>
        </w:rPr>
        <w:t>A)</w:t>
      </w:r>
    </w:p>
    <w:p w14:paraId="2D24CE3E" w14:textId="77777777" w:rsidR="00A830DA" w:rsidRDefault="00A830DA" w:rsidP="00A830DA">
      <w:pPr>
        <w:ind w:firstLine="420"/>
        <w:jc w:val="center"/>
      </w:pPr>
      <w:r>
        <w:rPr>
          <w:noProof/>
        </w:rPr>
        <w:drawing>
          <wp:inline distT="0" distB="0" distL="0" distR="0" wp14:anchorId="5ACAB36A" wp14:editId="2D51CD77">
            <wp:extent cx="3063240" cy="1506220"/>
            <wp:effectExtent l="19050" t="19050" r="22860" b="17780"/>
            <wp:docPr id="5" name="图片 5" descr="C:\Users\qwe\AppData\Local\Temp\15797695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qwe\AppData\Local\Temp\1579769591(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082021" cy="1516076"/>
                    </a:xfrm>
                    <a:prstGeom prst="rect">
                      <a:avLst/>
                    </a:prstGeom>
                    <a:noFill/>
                    <a:ln>
                      <a:solidFill>
                        <a:schemeClr val="tx1"/>
                      </a:solidFill>
                    </a:ln>
                  </pic:spPr>
                </pic:pic>
              </a:graphicData>
            </a:graphic>
          </wp:inline>
        </w:drawing>
      </w:r>
    </w:p>
    <w:p w14:paraId="7808FB09" w14:textId="77777777" w:rsidR="00A830DA" w:rsidRDefault="00A830DA" w:rsidP="00A830DA">
      <w:pPr>
        <w:ind w:firstLine="400"/>
        <w:jc w:val="center"/>
        <w:rPr>
          <w:rFonts w:ascii="Arial" w:hAnsi="Arial" w:cs="Arial"/>
          <w:sz w:val="20"/>
        </w:rPr>
      </w:pPr>
      <w:r>
        <w:rPr>
          <w:rFonts w:ascii="Arial" w:hAnsi="Arial" w:cs="Arial" w:hint="eastAsia"/>
          <w:sz w:val="20"/>
        </w:rPr>
        <w:t>（</w:t>
      </w:r>
      <w:r>
        <w:rPr>
          <w:rFonts w:ascii="Arial" w:hAnsi="Arial" w:cs="Arial" w:hint="eastAsia"/>
          <w:sz w:val="20"/>
        </w:rPr>
        <w:t>B</w:t>
      </w:r>
      <w:r>
        <w:rPr>
          <w:rFonts w:ascii="Arial" w:hAnsi="Arial" w:cs="Arial" w:hint="eastAsia"/>
          <w:sz w:val="20"/>
        </w:rPr>
        <w:t>）</w:t>
      </w:r>
    </w:p>
    <w:p w14:paraId="0B93724C" w14:textId="77777777" w:rsidR="00A830DA" w:rsidRDefault="00A830DA" w:rsidP="00A830DA">
      <w:pPr>
        <w:ind w:firstLine="400"/>
        <w:jc w:val="center"/>
        <w:rPr>
          <w:rFonts w:ascii="Arial" w:hAnsi="Arial" w:cs="Arial"/>
          <w:sz w:val="20"/>
        </w:rPr>
      </w:pPr>
      <w:r>
        <w:rPr>
          <w:rFonts w:ascii="Arial" w:hAnsi="Arial" w:cs="Arial"/>
          <w:noProof/>
          <w:sz w:val="20"/>
        </w:rPr>
        <w:lastRenderedPageBreak/>
        <w:drawing>
          <wp:inline distT="0" distB="0" distL="0" distR="0" wp14:anchorId="36440D8C" wp14:editId="7C7192B5">
            <wp:extent cx="5274310" cy="937260"/>
            <wp:effectExtent l="19050" t="19050" r="21590" b="15240"/>
            <wp:docPr id="1758546597" name="图片 1758546597" descr="C:\Users\qwe\AppData\Local\Temp\15797697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qwe\AppData\Local\Temp\1579769779(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74310" cy="937566"/>
                    </a:xfrm>
                    <a:prstGeom prst="rect">
                      <a:avLst/>
                    </a:prstGeom>
                    <a:noFill/>
                    <a:ln>
                      <a:solidFill>
                        <a:schemeClr val="tx1"/>
                      </a:solidFill>
                    </a:ln>
                  </pic:spPr>
                </pic:pic>
              </a:graphicData>
            </a:graphic>
          </wp:inline>
        </w:drawing>
      </w:r>
    </w:p>
    <w:p w14:paraId="329481FC" w14:textId="77777777" w:rsidR="00A830DA" w:rsidRDefault="00A830DA" w:rsidP="00A830DA">
      <w:pPr>
        <w:ind w:firstLine="400"/>
        <w:jc w:val="center"/>
        <w:rPr>
          <w:rFonts w:ascii="Arial" w:hAnsi="Arial" w:cs="Arial"/>
          <w:sz w:val="20"/>
        </w:rPr>
      </w:pPr>
      <w:r>
        <w:rPr>
          <w:rFonts w:ascii="Arial" w:hAnsi="Arial" w:cs="Arial" w:hint="eastAsia"/>
          <w:sz w:val="20"/>
        </w:rPr>
        <w:t>（</w:t>
      </w:r>
      <w:r>
        <w:rPr>
          <w:rFonts w:ascii="Arial" w:hAnsi="Arial" w:cs="Arial" w:hint="eastAsia"/>
          <w:sz w:val="20"/>
        </w:rPr>
        <w:t>C</w:t>
      </w:r>
      <w:r>
        <w:rPr>
          <w:rFonts w:ascii="Arial" w:hAnsi="Arial" w:cs="Arial" w:hint="eastAsia"/>
          <w:sz w:val="20"/>
        </w:rPr>
        <w:t>）</w:t>
      </w:r>
    </w:p>
    <w:p w14:paraId="064B791E" w14:textId="77777777" w:rsidR="00A830DA" w:rsidRDefault="00A830DA" w:rsidP="00A830DA">
      <w:pPr>
        <w:ind w:firstLine="400"/>
        <w:jc w:val="center"/>
        <w:rPr>
          <w:rFonts w:ascii="Arial" w:hAnsi="Arial" w:cs="Arial"/>
          <w:sz w:val="20"/>
        </w:rPr>
      </w:pPr>
      <w:r>
        <w:rPr>
          <w:rFonts w:ascii="Arial" w:hAnsi="Arial" w:cs="Arial"/>
          <w:noProof/>
          <w:sz w:val="20"/>
        </w:rPr>
        <w:drawing>
          <wp:inline distT="0" distB="0" distL="0" distR="0" wp14:anchorId="04FCDFB7" wp14:editId="4ED27F7C">
            <wp:extent cx="5274310" cy="2291715"/>
            <wp:effectExtent l="19050" t="19050" r="21590" b="13335"/>
            <wp:docPr id="1339813361" name="图片 1339813361" descr="C:\Users\qwe\AppData\Local\Temp\15797698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qwe\AppData\Local\Temp\1579769859(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4310" cy="2291765"/>
                    </a:xfrm>
                    <a:prstGeom prst="rect">
                      <a:avLst/>
                    </a:prstGeom>
                    <a:noFill/>
                    <a:ln>
                      <a:solidFill>
                        <a:schemeClr val="tx1"/>
                      </a:solidFill>
                    </a:ln>
                  </pic:spPr>
                </pic:pic>
              </a:graphicData>
            </a:graphic>
          </wp:inline>
        </w:drawing>
      </w:r>
    </w:p>
    <w:p w14:paraId="18721BD7" w14:textId="3E2117B8" w:rsidR="00A830DA" w:rsidRDefault="00A830DA" w:rsidP="00A830DA">
      <w:pPr>
        <w:ind w:firstLine="400"/>
        <w:jc w:val="center"/>
        <w:rPr>
          <w:rFonts w:ascii="Arial" w:hAnsi="Arial" w:cs="Arial"/>
          <w:sz w:val="20"/>
          <w:lang w:eastAsia="zh-CN"/>
        </w:rPr>
      </w:pPr>
      <w:r>
        <w:rPr>
          <w:rFonts w:ascii="Arial" w:hAnsi="Arial" w:cs="Arial" w:hint="eastAsia"/>
          <w:sz w:val="20"/>
        </w:rPr>
        <w:t>（</w:t>
      </w:r>
      <w:r>
        <w:rPr>
          <w:rFonts w:ascii="Arial" w:hAnsi="Arial" w:cs="Arial" w:hint="eastAsia"/>
          <w:sz w:val="20"/>
        </w:rPr>
        <w:t>D</w:t>
      </w:r>
      <w:r w:rsidR="00D37310">
        <w:rPr>
          <w:rFonts w:ascii="Arial" w:hAnsi="Arial" w:cs="Arial" w:hint="eastAsia"/>
          <w:sz w:val="20"/>
          <w:lang w:eastAsia="zh-CN"/>
        </w:rPr>
        <w:t>）</w:t>
      </w:r>
    </w:p>
    <w:p w14:paraId="6CA2B376" w14:textId="77777777" w:rsidR="00A830DA" w:rsidRPr="0047412E" w:rsidRDefault="00A830DA" w:rsidP="0047412E">
      <w:pPr>
        <w:jc w:val="both"/>
        <w:rPr>
          <w:rFonts w:cs="Times New Roman"/>
          <w:szCs w:val="24"/>
        </w:rPr>
      </w:pPr>
      <w:r w:rsidRPr="0047412E">
        <w:rPr>
          <w:rFonts w:cs="Times New Roman"/>
          <w:szCs w:val="24"/>
        </w:rPr>
        <w:t xml:space="preserve">Fig. 5 CpG permutation patterns analysis. </w:t>
      </w:r>
      <w:r w:rsidRPr="0047412E">
        <w:rPr>
          <w:rFonts w:cs="Times New Roman" w:hint="eastAsia"/>
          <w:szCs w:val="24"/>
        </w:rPr>
        <w:t>(</w:t>
      </w:r>
      <w:r w:rsidRPr="0047412E">
        <w:rPr>
          <w:rFonts w:cs="Times New Roman"/>
          <w:szCs w:val="24"/>
        </w:rPr>
        <w:t>A) Introduction of C</w:t>
      </w:r>
      <w:r w:rsidRPr="0047412E">
        <w:rPr>
          <w:rFonts w:cs="Times New Roman" w:hint="eastAsia"/>
          <w:szCs w:val="24"/>
        </w:rPr>
        <w:t>p</w:t>
      </w:r>
      <w:r w:rsidRPr="0047412E">
        <w:rPr>
          <w:rFonts w:cs="Times New Roman"/>
          <w:szCs w:val="24"/>
        </w:rPr>
        <w:t xml:space="preserve">G-containing sequences permutation patterns analysis; (B) The selection interface for gene annotation category; (C) O/E Ratio for different CGI density groups. (C) </w:t>
      </w:r>
      <w:proofErr w:type="spellStart"/>
      <w:r w:rsidRPr="0047412E">
        <w:rPr>
          <w:rFonts w:cs="Times New Roman"/>
          <w:szCs w:val="24"/>
        </w:rPr>
        <w:t>OECopmare</w:t>
      </w:r>
      <w:proofErr w:type="spellEnd"/>
      <w:r w:rsidRPr="0047412E">
        <w:rPr>
          <w:rFonts w:cs="Times New Roman"/>
          <w:szCs w:val="24"/>
        </w:rPr>
        <w:t xml:space="preserve"> patterns for different CGI density groups.</w:t>
      </w:r>
    </w:p>
    <w:p w14:paraId="38CBA416" w14:textId="77777777" w:rsidR="00A830DA" w:rsidRPr="0047412E" w:rsidRDefault="00A830DA" w:rsidP="0047412E">
      <w:pPr>
        <w:jc w:val="both"/>
        <w:rPr>
          <w:rFonts w:cs="Times New Roman"/>
          <w:szCs w:val="24"/>
        </w:rPr>
      </w:pPr>
      <w:r w:rsidRPr="0047412E">
        <w:rPr>
          <w:rFonts w:cs="Times New Roman"/>
          <w:szCs w:val="24"/>
        </w:rPr>
        <w:t>The analysis results consist of several heat maps. If user select the radio button of “O/E Ratio”, it will show the O/E Ratio heatmap of all CGIs and HCGIs/ICGI</w:t>
      </w:r>
      <w:r w:rsidRPr="0047412E">
        <w:rPr>
          <w:rFonts w:cs="Times New Roman" w:hint="eastAsia"/>
          <w:szCs w:val="24"/>
        </w:rPr>
        <w:t>s</w:t>
      </w:r>
      <w:r w:rsidRPr="0047412E">
        <w:rPr>
          <w:rFonts w:cs="Times New Roman"/>
          <w:szCs w:val="24"/>
        </w:rPr>
        <w:t>/LCGIs (Fig</w:t>
      </w:r>
      <w:r w:rsidRPr="0047412E">
        <w:rPr>
          <w:rFonts w:cs="Times New Roman" w:hint="eastAsia"/>
          <w:szCs w:val="24"/>
        </w:rPr>
        <w:t>.</w:t>
      </w:r>
      <w:r w:rsidRPr="0047412E">
        <w:rPr>
          <w:rFonts w:cs="Times New Roman"/>
          <w:szCs w:val="24"/>
        </w:rPr>
        <w:t xml:space="preserve"> C). If user select O/E Compare, the results are O/E Compare heatmaps of HCGIs/ICGI</w:t>
      </w:r>
      <w:r w:rsidRPr="0047412E">
        <w:rPr>
          <w:rFonts w:cs="Times New Roman" w:hint="eastAsia"/>
          <w:szCs w:val="24"/>
        </w:rPr>
        <w:t>s</w:t>
      </w:r>
      <w:r w:rsidRPr="0047412E">
        <w:rPr>
          <w:rFonts w:cs="Times New Roman"/>
          <w:szCs w:val="24"/>
        </w:rPr>
        <w:t xml:space="preserve">/LCGIs (Fig. D). </w:t>
      </w:r>
    </w:p>
    <w:p w14:paraId="229F651F" w14:textId="5011A222" w:rsidR="00A830DA" w:rsidRPr="0047412E" w:rsidRDefault="00A830DA" w:rsidP="0047412E">
      <w:pPr>
        <w:jc w:val="both"/>
        <w:rPr>
          <w:rFonts w:cs="Times New Roman"/>
          <w:szCs w:val="24"/>
        </w:rPr>
      </w:pPr>
      <w:r w:rsidRPr="0047412E">
        <w:rPr>
          <w:rFonts w:cs="Times New Roman"/>
          <w:szCs w:val="24"/>
        </w:rPr>
        <w:t>For example, after selecting "</w:t>
      </w:r>
      <w:proofErr w:type="spellStart"/>
      <w:r w:rsidRPr="0047412E">
        <w:rPr>
          <w:rFonts w:cs="Times New Roman"/>
          <w:szCs w:val="24"/>
        </w:rPr>
        <w:t>Gencode</w:t>
      </w:r>
      <w:proofErr w:type="spellEnd"/>
      <w:r w:rsidRPr="0047412E">
        <w:rPr>
          <w:rFonts w:cs="Times New Roman"/>
          <w:szCs w:val="24"/>
        </w:rPr>
        <w:t xml:space="preserve"> v28", "HCGI, LCGI, ICGI" and "O/E Compare" </w:t>
      </w:r>
      <w:r w:rsidRPr="0047412E">
        <w:rPr>
          <w:rFonts w:cs="Times New Roman" w:hint="eastAsia"/>
          <w:szCs w:val="24"/>
        </w:rPr>
        <w:t>i</w:t>
      </w:r>
      <w:r w:rsidRPr="0047412E">
        <w:rPr>
          <w:rFonts w:cs="Times New Roman"/>
          <w:szCs w:val="24"/>
        </w:rPr>
        <w:t>n Fig</w:t>
      </w:r>
      <w:r w:rsidRPr="0047412E">
        <w:rPr>
          <w:rFonts w:cs="Times New Roman" w:hint="eastAsia"/>
          <w:szCs w:val="24"/>
        </w:rPr>
        <w:t>.</w:t>
      </w:r>
      <w:r w:rsidRPr="0047412E">
        <w:rPr>
          <w:rFonts w:cs="Times New Roman"/>
          <w:szCs w:val="24"/>
        </w:rPr>
        <w:t xml:space="preserve"> B</w:t>
      </w:r>
      <w:r w:rsidRPr="0047412E">
        <w:rPr>
          <w:rFonts w:cs="Times New Roman" w:hint="eastAsia"/>
          <w:szCs w:val="24"/>
        </w:rPr>
        <w:t>,</w:t>
      </w:r>
      <w:r w:rsidRPr="0047412E">
        <w:rPr>
          <w:rFonts w:cs="Times New Roman"/>
          <w:szCs w:val="24"/>
        </w:rPr>
        <w:t xml:space="preserve"> Fig</w:t>
      </w:r>
      <w:r w:rsidRPr="0047412E">
        <w:rPr>
          <w:rFonts w:cs="Times New Roman" w:hint="eastAsia"/>
          <w:szCs w:val="24"/>
        </w:rPr>
        <w:t>.</w:t>
      </w:r>
      <w:r w:rsidRPr="0047412E">
        <w:rPr>
          <w:rFonts w:cs="Times New Roman"/>
          <w:szCs w:val="24"/>
        </w:rPr>
        <w:t xml:space="preserve"> D shows that </w:t>
      </w:r>
      <w:proofErr w:type="spellStart"/>
      <w:r w:rsidRPr="0047412E">
        <w:rPr>
          <w:rFonts w:cs="Times New Roman"/>
          <w:szCs w:val="24"/>
        </w:rPr>
        <w:t>OECopmare</w:t>
      </w:r>
      <w:proofErr w:type="spellEnd"/>
      <w:r w:rsidRPr="0047412E">
        <w:rPr>
          <w:rFonts w:cs="Times New Roman"/>
          <w:szCs w:val="24"/>
        </w:rPr>
        <w:t>(</w:t>
      </w:r>
      <w:proofErr w:type="spellStart"/>
      <w:proofErr w:type="gramStart"/>
      <w:r w:rsidRPr="0047412E">
        <w:rPr>
          <w:rFonts w:cs="Times New Roman"/>
          <w:szCs w:val="24"/>
        </w:rPr>
        <w:t>k,n</w:t>
      </w:r>
      <w:proofErr w:type="spellEnd"/>
      <w:proofErr w:type="gramEnd"/>
      <w:r w:rsidRPr="0047412E">
        <w:rPr>
          <w:rFonts w:cs="Times New Roman"/>
          <w:szCs w:val="24"/>
        </w:rPr>
        <w:t xml:space="preserve">) value of HCGIs is close to 1, while </w:t>
      </w:r>
      <w:proofErr w:type="spellStart"/>
      <w:r w:rsidRPr="0047412E">
        <w:rPr>
          <w:rFonts w:cs="Times New Roman"/>
          <w:szCs w:val="24"/>
        </w:rPr>
        <w:t>OECopmare</w:t>
      </w:r>
      <w:proofErr w:type="spellEnd"/>
      <w:r w:rsidRPr="0047412E">
        <w:rPr>
          <w:rFonts w:cs="Times New Roman"/>
          <w:szCs w:val="24"/>
        </w:rPr>
        <w:t>(</w:t>
      </w:r>
      <w:proofErr w:type="spellStart"/>
      <w:r w:rsidRPr="0047412E">
        <w:rPr>
          <w:rFonts w:cs="Times New Roman"/>
          <w:szCs w:val="24"/>
        </w:rPr>
        <w:t>k,n</w:t>
      </w:r>
      <w:proofErr w:type="spellEnd"/>
      <w:r w:rsidRPr="0047412E">
        <w:rPr>
          <w:rFonts w:cs="Times New Roman"/>
          <w:szCs w:val="24"/>
        </w:rPr>
        <w:t xml:space="preserve">) value of ICGIs and LCGIs is positively correlated with n. This indicates that the </w:t>
      </w:r>
      <w:proofErr w:type="spellStart"/>
      <w:r w:rsidRPr="0047412E">
        <w:rPr>
          <w:rFonts w:cs="Times New Roman"/>
          <w:szCs w:val="24"/>
        </w:rPr>
        <w:t>OERatio</w:t>
      </w:r>
      <w:proofErr w:type="spellEnd"/>
      <w:r w:rsidRPr="0047412E">
        <w:rPr>
          <w:rFonts w:cs="Times New Roman"/>
          <w:szCs w:val="24"/>
        </w:rPr>
        <w:t xml:space="preserve"> mode of HCGIs is very similar to that of all CGIs while the </w:t>
      </w:r>
      <w:proofErr w:type="spellStart"/>
      <w:r w:rsidRPr="0047412E">
        <w:rPr>
          <w:rFonts w:cs="Times New Roman"/>
          <w:szCs w:val="24"/>
        </w:rPr>
        <w:t>OERatio</w:t>
      </w:r>
      <w:proofErr w:type="spellEnd"/>
      <w:r w:rsidRPr="0047412E">
        <w:rPr>
          <w:rFonts w:cs="Times New Roman"/>
          <w:szCs w:val="24"/>
        </w:rPr>
        <w:t xml:space="preserve"> mode of ICGIs and LCGIs is very different from all CGIs.</w:t>
      </w:r>
    </w:p>
    <w:p w14:paraId="57F71354" w14:textId="77777777" w:rsidR="00A830DA" w:rsidRPr="00AE5778" w:rsidRDefault="00A830DA" w:rsidP="0047412E">
      <w:pPr>
        <w:pStyle w:val="1"/>
        <w:numPr>
          <w:ilvl w:val="0"/>
          <w:numId w:val="20"/>
        </w:numPr>
        <w:tabs>
          <w:tab w:val="num" w:pos="567"/>
        </w:tabs>
        <w:ind w:left="567" w:hanging="567"/>
      </w:pPr>
      <w:r w:rsidRPr="00AE5778">
        <w:t>CGI methylation analysis</w:t>
      </w:r>
    </w:p>
    <w:p w14:paraId="6133AD46" w14:textId="4C20E832" w:rsidR="00A830DA" w:rsidRPr="0047412E" w:rsidRDefault="00A830DA" w:rsidP="0047412E">
      <w:pPr>
        <w:pStyle w:val="1"/>
        <w:tabs>
          <w:tab w:val="num" w:pos="567"/>
        </w:tabs>
        <w:ind w:left="567" w:hanging="567"/>
      </w:pPr>
      <w:r w:rsidRPr="0047412E">
        <w:rPr>
          <w:rFonts w:hint="eastAsia"/>
        </w:rPr>
        <w:t>3</w:t>
      </w:r>
      <w:r w:rsidRPr="0047412E">
        <w:t xml:space="preserve">.1 </w:t>
      </w:r>
      <w:r w:rsidR="00E16E86" w:rsidRPr="0047412E">
        <w:tab/>
      </w:r>
      <w:r w:rsidRPr="0047412E">
        <w:t>Position-defined CGI methylation analysis</w:t>
      </w:r>
    </w:p>
    <w:p w14:paraId="168B2E40" w14:textId="77777777" w:rsidR="00A830DA" w:rsidRPr="0047412E" w:rsidRDefault="00A830DA" w:rsidP="0047412E">
      <w:pPr>
        <w:jc w:val="both"/>
        <w:rPr>
          <w:rFonts w:cs="Times New Roman"/>
          <w:szCs w:val="24"/>
        </w:rPr>
      </w:pPr>
      <w:r w:rsidRPr="0047412E">
        <w:rPr>
          <w:rFonts w:cs="Times New Roman"/>
          <w:szCs w:val="24"/>
        </w:rPr>
        <w:t>After clicking "Methylation analysis of Human CGIs " link, user can use the selection interface (Fig. 6A) to select the genome annotation version, the maximum distance parameter</w:t>
      </w:r>
      <w:r w:rsidRPr="0047412E">
        <w:rPr>
          <w:rFonts w:cs="Times New Roman" w:hint="eastAsia"/>
          <w:szCs w:val="24"/>
        </w:rPr>
        <w:t>,</w:t>
      </w:r>
      <w:r w:rsidRPr="0047412E">
        <w:rPr>
          <w:rFonts w:cs="Times New Roman"/>
          <w:szCs w:val="24"/>
        </w:rPr>
        <w:t xml:space="preserve"> genetic regions intersecting with CGIs and the chromosome for CGI</w:t>
      </w:r>
      <w:r w:rsidRPr="0047412E">
        <w:rPr>
          <w:rFonts w:cs="Times New Roman" w:hint="eastAsia"/>
          <w:szCs w:val="24"/>
        </w:rPr>
        <w:t>s</w:t>
      </w:r>
      <w:r w:rsidRPr="0047412E">
        <w:rPr>
          <w:rFonts w:cs="Times New Roman"/>
          <w:szCs w:val="24"/>
        </w:rPr>
        <w:t xml:space="preserve"> methylation analysis</w:t>
      </w:r>
      <w:r w:rsidRPr="0047412E">
        <w:rPr>
          <w:rFonts w:cs="Times New Roman" w:hint="eastAsia"/>
          <w:szCs w:val="24"/>
        </w:rPr>
        <w:t>.</w:t>
      </w:r>
      <w:r w:rsidRPr="0047412E">
        <w:rPr>
          <w:rFonts w:cs="Times New Roman"/>
          <w:szCs w:val="24"/>
        </w:rPr>
        <w:t xml:space="preserve"> User can obtain the analytical results by clicking the “Submit” button (Fig. 6A).</w:t>
      </w:r>
    </w:p>
    <w:p w14:paraId="7479FC3A" w14:textId="77777777" w:rsidR="00A830DA" w:rsidRPr="0047412E" w:rsidRDefault="00A830DA" w:rsidP="0047412E">
      <w:pPr>
        <w:jc w:val="both"/>
        <w:rPr>
          <w:rFonts w:cs="Times New Roman"/>
          <w:szCs w:val="24"/>
        </w:rPr>
      </w:pPr>
      <w:r w:rsidRPr="0047412E">
        <w:rPr>
          <w:rFonts w:cs="Times New Roman"/>
          <w:szCs w:val="24"/>
        </w:rPr>
        <w:t xml:space="preserve">The analytical results consist of </w:t>
      </w:r>
      <w:r w:rsidRPr="0047412E">
        <w:rPr>
          <w:rFonts w:cs="Times New Roman" w:hint="eastAsia"/>
          <w:szCs w:val="24"/>
        </w:rPr>
        <w:t>three</w:t>
      </w:r>
      <w:r w:rsidRPr="0047412E">
        <w:rPr>
          <w:rFonts w:cs="Times New Roman"/>
          <w:szCs w:val="24"/>
        </w:rPr>
        <w:t xml:space="preserve"> charts. First, Fig. 6B shows </w:t>
      </w:r>
      <w:r w:rsidRPr="0047412E">
        <w:rPr>
          <w:rFonts w:cs="Times New Roman" w:hint="eastAsia"/>
          <w:szCs w:val="24"/>
        </w:rPr>
        <w:t>the</w:t>
      </w:r>
      <w:r w:rsidRPr="0047412E">
        <w:rPr>
          <w:rFonts w:cs="Times New Roman"/>
          <w:szCs w:val="24"/>
        </w:rPr>
        <w:t xml:space="preserve"> density of CGIs intersecting with different gene regions. Second, Fig. 6C describes</w:t>
      </w:r>
      <w:r w:rsidRPr="0047412E">
        <w:rPr>
          <w:rFonts w:cs="Times New Roman" w:hint="eastAsia"/>
          <w:szCs w:val="24"/>
        </w:rPr>
        <w:t xml:space="preserve"> the</w:t>
      </w:r>
      <w:r w:rsidRPr="0047412E">
        <w:rPr>
          <w:rFonts w:cs="Times New Roman"/>
          <w:szCs w:val="24"/>
        </w:rPr>
        <w:t xml:space="preserve"> </w:t>
      </w:r>
      <w:r w:rsidRPr="0047412E">
        <w:rPr>
          <w:rFonts w:cs="Times New Roman" w:hint="eastAsia"/>
          <w:szCs w:val="24"/>
        </w:rPr>
        <w:t>d</w:t>
      </w:r>
      <w:r w:rsidRPr="0047412E">
        <w:rPr>
          <w:rFonts w:cs="Times New Roman"/>
          <w:szCs w:val="24"/>
        </w:rPr>
        <w:t xml:space="preserve">istribution density of CGIs intersecting with </w:t>
      </w:r>
      <w:r w:rsidRPr="0047412E">
        <w:rPr>
          <w:rFonts w:cs="Times New Roman"/>
          <w:szCs w:val="24"/>
        </w:rPr>
        <w:lastRenderedPageBreak/>
        <w:t>gene body.</w:t>
      </w:r>
      <w:r w:rsidRPr="0047412E">
        <w:rPr>
          <w:rFonts w:cs="Times New Roman" w:hint="eastAsia"/>
          <w:szCs w:val="24"/>
        </w:rPr>
        <w:t xml:space="preserve"> </w:t>
      </w:r>
      <w:r w:rsidRPr="0047412E">
        <w:rPr>
          <w:rFonts w:cs="Times New Roman"/>
          <w:szCs w:val="24"/>
        </w:rPr>
        <w:t xml:space="preserve">The third one shows the mean methylation level of all CpG sites in CGIs (Fig. 6D). And user can download the </w:t>
      </w:r>
      <w:r w:rsidRPr="0047412E">
        <w:rPr>
          <w:rFonts w:cs="Times New Roman" w:hint="eastAsia"/>
          <w:szCs w:val="24"/>
        </w:rPr>
        <w:t>a</w:t>
      </w:r>
      <w:r w:rsidRPr="0047412E">
        <w:rPr>
          <w:rFonts w:cs="Times New Roman"/>
          <w:szCs w:val="24"/>
        </w:rPr>
        <w:t xml:space="preserve">verage methylation </w:t>
      </w:r>
      <w:r w:rsidRPr="0047412E">
        <w:rPr>
          <w:rFonts w:cs="Times New Roman" w:hint="eastAsia"/>
          <w:szCs w:val="24"/>
        </w:rPr>
        <w:t>level</w:t>
      </w:r>
      <w:r w:rsidRPr="0047412E">
        <w:rPr>
          <w:rFonts w:cs="Times New Roman"/>
          <w:szCs w:val="24"/>
        </w:rPr>
        <w:t xml:space="preserve"> data by click the links in Fig. 6E.</w:t>
      </w:r>
    </w:p>
    <w:p w14:paraId="789182CE" w14:textId="5B927E7D" w:rsidR="00A830DA" w:rsidRPr="0047412E" w:rsidRDefault="00A830DA" w:rsidP="0047412E">
      <w:pPr>
        <w:jc w:val="both"/>
        <w:rPr>
          <w:rFonts w:cs="Times New Roman"/>
          <w:szCs w:val="24"/>
        </w:rPr>
      </w:pPr>
      <w:r w:rsidRPr="0047412E">
        <w:rPr>
          <w:rFonts w:cs="Times New Roman"/>
          <w:szCs w:val="24"/>
        </w:rPr>
        <w:t>For example, after selecting "</w:t>
      </w:r>
      <w:proofErr w:type="spellStart"/>
      <w:r w:rsidRPr="0047412E">
        <w:rPr>
          <w:rFonts w:cs="Times New Roman"/>
          <w:szCs w:val="24"/>
        </w:rPr>
        <w:t>Gencode</w:t>
      </w:r>
      <w:proofErr w:type="spellEnd"/>
      <w:r w:rsidRPr="0047412E">
        <w:rPr>
          <w:rFonts w:cs="Times New Roman"/>
          <w:szCs w:val="24"/>
        </w:rPr>
        <w:t xml:space="preserve"> v28", "d=50, d=25, d=12", “Gene body, Intron, Exon, Core promoter” and "All Chromosomes" in Fig. A, Fig. B shows when d=25, the intersection of CGIs and core promoter is more prominent. Fig. C shows each body region has the highest distribution density of d=50, followed by d=25 and d=12. And Fig. D shows the average methylation level of CGIs predicted by </w:t>
      </w:r>
      <w:proofErr w:type="spellStart"/>
      <w:r w:rsidRPr="0047412E">
        <w:rPr>
          <w:rFonts w:cs="Times New Roman"/>
          <w:szCs w:val="24"/>
        </w:rPr>
        <w:t>CpGCluster</w:t>
      </w:r>
      <w:proofErr w:type="spellEnd"/>
      <w:r w:rsidRPr="0047412E">
        <w:rPr>
          <w:rFonts w:cs="Times New Roman"/>
          <w:szCs w:val="24"/>
        </w:rPr>
        <w:t xml:space="preserve"> is low when d is small.</w:t>
      </w:r>
    </w:p>
    <w:p w14:paraId="01541632" w14:textId="77777777" w:rsidR="00A830DA" w:rsidRDefault="00A830DA" w:rsidP="00A830DA">
      <w:pPr>
        <w:jc w:val="center"/>
      </w:pPr>
      <w:r>
        <w:rPr>
          <w:noProof/>
        </w:rPr>
        <w:drawing>
          <wp:inline distT="0" distB="0" distL="0" distR="0" wp14:anchorId="6AF152A3" wp14:editId="46FC2AD4">
            <wp:extent cx="4446270" cy="1877861"/>
            <wp:effectExtent l="19050" t="19050" r="11430" b="273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49533" cy="1879239"/>
                    </a:xfrm>
                    <a:prstGeom prst="rect">
                      <a:avLst/>
                    </a:prstGeom>
                    <a:noFill/>
                    <a:ln>
                      <a:solidFill>
                        <a:schemeClr val="tx1"/>
                      </a:solidFill>
                    </a:ln>
                  </pic:spPr>
                </pic:pic>
              </a:graphicData>
            </a:graphic>
          </wp:inline>
        </w:drawing>
      </w:r>
    </w:p>
    <w:p w14:paraId="11E42B4C" w14:textId="77777777" w:rsidR="00A830DA" w:rsidRDefault="00A830DA" w:rsidP="00A830DA">
      <w:pPr>
        <w:jc w:val="center"/>
      </w:pPr>
      <w:r>
        <w:rPr>
          <w:rFonts w:hint="eastAsia"/>
        </w:rPr>
        <w:t>(</w:t>
      </w:r>
      <w:r>
        <w:t>A)</w:t>
      </w:r>
    </w:p>
    <w:p w14:paraId="795DBFC0" w14:textId="77777777" w:rsidR="00A830DA" w:rsidRDefault="00A830DA" w:rsidP="00A830DA">
      <w:pPr>
        <w:jc w:val="center"/>
      </w:pPr>
      <w:r>
        <w:rPr>
          <w:noProof/>
        </w:rPr>
        <w:drawing>
          <wp:inline distT="0" distB="0" distL="0" distR="0" wp14:anchorId="5303EB58" wp14:editId="58687120">
            <wp:extent cx="4476750" cy="1775393"/>
            <wp:effectExtent l="19050" t="19050" r="19050" b="158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87783" cy="1779768"/>
                    </a:xfrm>
                    <a:prstGeom prst="rect">
                      <a:avLst/>
                    </a:prstGeom>
                    <a:noFill/>
                    <a:ln>
                      <a:solidFill>
                        <a:schemeClr val="tx1"/>
                      </a:solidFill>
                    </a:ln>
                  </pic:spPr>
                </pic:pic>
              </a:graphicData>
            </a:graphic>
          </wp:inline>
        </w:drawing>
      </w:r>
      <w:r>
        <w:rPr>
          <w:noProof/>
        </w:rPr>
        <w:t xml:space="preserve"> </w:t>
      </w:r>
    </w:p>
    <w:p w14:paraId="1C92167C" w14:textId="77777777" w:rsidR="00A830DA" w:rsidRDefault="00A830DA" w:rsidP="00A830DA">
      <w:pPr>
        <w:jc w:val="center"/>
      </w:pPr>
      <w:r>
        <w:rPr>
          <w:rFonts w:hint="eastAsia"/>
        </w:rPr>
        <w:t>(</w:t>
      </w:r>
      <w:r>
        <w:t>B)</w:t>
      </w:r>
    </w:p>
    <w:p w14:paraId="2B755A4E" w14:textId="77777777" w:rsidR="00A830DA" w:rsidRDefault="00A830DA" w:rsidP="00A830DA">
      <w:pPr>
        <w:jc w:val="center"/>
      </w:pPr>
      <w:r>
        <w:rPr>
          <w:noProof/>
        </w:rPr>
        <w:drawing>
          <wp:inline distT="0" distB="0" distL="0" distR="0" wp14:anchorId="39C8B084" wp14:editId="63289443">
            <wp:extent cx="4526280" cy="1761794"/>
            <wp:effectExtent l="19050" t="19050" r="26670" b="1016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43910" cy="1768656"/>
                    </a:xfrm>
                    <a:prstGeom prst="rect">
                      <a:avLst/>
                    </a:prstGeom>
                    <a:noFill/>
                    <a:ln>
                      <a:solidFill>
                        <a:schemeClr val="tx1"/>
                      </a:solidFill>
                    </a:ln>
                  </pic:spPr>
                </pic:pic>
              </a:graphicData>
            </a:graphic>
          </wp:inline>
        </w:drawing>
      </w:r>
    </w:p>
    <w:p w14:paraId="50163235" w14:textId="77777777" w:rsidR="00A830DA" w:rsidRDefault="00A830DA" w:rsidP="00A830DA">
      <w:pPr>
        <w:jc w:val="center"/>
      </w:pPr>
      <w:r>
        <w:rPr>
          <w:rFonts w:hint="eastAsia"/>
        </w:rPr>
        <w:t>(</w:t>
      </w:r>
      <w:r>
        <w:t>C)</w:t>
      </w:r>
    </w:p>
    <w:p w14:paraId="7E910D37" w14:textId="77777777" w:rsidR="00A830DA" w:rsidRDefault="00A830DA" w:rsidP="00A830DA">
      <w:pPr>
        <w:jc w:val="center"/>
      </w:pPr>
      <w:r>
        <w:rPr>
          <w:noProof/>
        </w:rPr>
        <w:lastRenderedPageBreak/>
        <w:drawing>
          <wp:inline distT="0" distB="0" distL="0" distR="0" wp14:anchorId="26CCC627" wp14:editId="18DA8AA8">
            <wp:extent cx="4320540" cy="1551305"/>
            <wp:effectExtent l="19050" t="19050" r="22860" b="1079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a:stretch>
                      <a:fillRect/>
                    </a:stretch>
                  </pic:blipFill>
                  <pic:spPr>
                    <a:xfrm>
                      <a:off x="0" y="0"/>
                      <a:ext cx="4327377" cy="1554126"/>
                    </a:xfrm>
                    <a:prstGeom prst="rect">
                      <a:avLst/>
                    </a:prstGeom>
                    <a:noFill/>
                    <a:ln>
                      <a:solidFill>
                        <a:schemeClr val="tx1"/>
                      </a:solidFill>
                    </a:ln>
                  </pic:spPr>
                </pic:pic>
              </a:graphicData>
            </a:graphic>
          </wp:inline>
        </w:drawing>
      </w:r>
    </w:p>
    <w:p w14:paraId="1DB501C0" w14:textId="77777777" w:rsidR="00A830DA" w:rsidRDefault="00A830DA" w:rsidP="00A830DA">
      <w:pPr>
        <w:jc w:val="center"/>
      </w:pPr>
      <w:r>
        <w:rPr>
          <w:rFonts w:hint="eastAsia"/>
        </w:rPr>
        <w:t>(</w:t>
      </w:r>
      <w:r>
        <w:t>D)</w:t>
      </w:r>
    </w:p>
    <w:p w14:paraId="0C97F41D" w14:textId="1E0B6272" w:rsidR="00A830DA" w:rsidRPr="0047412E" w:rsidRDefault="00A830DA" w:rsidP="0047412E">
      <w:pPr>
        <w:jc w:val="both"/>
        <w:rPr>
          <w:rFonts w:cs="Times New Roman"/>
          <w:szCs w:val="24"/>
        </w:rPr>
      </w:pPr>
      <w:r w:rsidRPr="0047412E">
        <w:rPr>
          <w:rFonts w:cs="Times New Roman"/>
          <w:b/>
          <w:bCs/>
          <w:szCs w:val="24"/>
        </w:rPr>
        <w:t>Fig. 6</w:t>
      </w:r>
      <w:r w:rsidRPr="0047412E">
        <w:rPr>
          <w:rFonts w:cs="Times New Roman"/>
          <w:szCs w:val="24"/>
        </w:rPr>
        <w:t xml:space="preserve"> CGI</w:t>
      </w:r>
      <w:r w:rsidRPr="0047412E">
        <w:rPr>
          <w:rFonts w:cs="Times New Roman" w:hint="eastAsia"/>
          <w:szCs w:val="24"/>
        </w:rPr>
        <w:t>s</w:t>
      </w:r>
      <w:r w:rsidRPr="0047412E">
        <w:rPr>
          <w:rFonts w:cs="Times New Roman"/>
          <w:szCs w:val="24"/>
        </w:rPr>
        <w:t xml:space="preserve"> methylation analysis results. </w:t>
      </w:r>
      <w:r w:rsidRPr="0047412E">
        <w:rPr>
          <w:rFonts w:cs="Times New Roman" w:hint="eastAsia"/>
          <w:szCs w:val="24"/>
        </w:rPr>
        <w:t>(</w:t>
      </w:r>
      <w:r w:rsidRPr="0047412E">
        <w:rPr>
          <w:rFonts w:cs="Times New Roman"/>
          <w:szCs w:val="24"/>
        </w:rPr>
        <w:t xml:space="preserve">A) The selection interface; </w:t>
      </w:r>
      <w:r w:rsidRPr="0047412E">
        <w:rPr>
          <w:rFonts w:cs="Times New Roman" w:hint="eastAsia"/>
          <w:szCs w:val="24"/>
        </w:rPr>
        <w:t>(</w:t>
      </w:r>
      <w:r w:rsidRPr="0047412E">
        <w:rPr>
          <w:rFonts w:cs="Times New Roman"/>
          <w:szCs w:val="24"/>
        </w:rPr>
        <w:t>B) Distribution density of CGIs intersecting with different gene regions</w:t>
      </w:r>
      <w:r w:rsidRPr="0047412E">
        <w:rPr>
          <w:rFonts w:cs="Times New Roman" w:hint="eastAsia"/>
          <w:szCs w:val="24"/>
        </w:rPr>
        <w:t>;</w:t>
      </w:r>
      <w:r w:rsidRPr="0047412E">
        <w:rPr>
          <w:rFonts w:cs="Times New Roman"/>
          <w:szCs w:val="24"/>
        </w:rPr>
        <w:t xml:space="preserve"> </w:t>
      </w:r>
      <w:r w:rsidRPr="0047412E">
        <w:rPr>
          <w:rFonts w:cs="Times New Roman" w:hint="eastAsia"/>
          <w:szCs w:val="24"/>
        </w:rPr>
        <w:t>(</w:t>
      </w:r>
      <w:r w:rsidRPr="0047412E">
        <w:rPr>
          <w:rFonts w:cs="Times New Roman"/>
          <w:szCs w:val="24"/>
        </w:rPr>
        <w:t>C) Distribution density of CGIs intersecting with gene body</w:t>
      </w:r>
      <w:r w:rsidRPr="0047412E">
        <w:rPr>
          <w:rFonts w:cs="Times New Roman" w:hint="eastAsia"/>
          <w:szCs w:val="24"/>
        </w:rPr>
        <w:t>; (</w:t>
      </w:r>
      <w:r w:rsidRPr="0047412E">
        <w:rPr>
          <w:rFonts w:cs="Times New Roman"/>
          <w:szCs w:val="24"/>
        </w:rPr>
        <w:t>D) Mean methylation level of all CpG sites in CGIs</w:t>
      </w:r>
      <w:r w:rsidRPr="0047412E">
        <w:rPr>
          <w:rFonts w:cs="Times New Roman" w:hint="eastAsia"/>
          <w:szCs w:val="24"/>
        </w:rPr>
        <w:t>.</w:t>
      </w:r>
    </w:p>
    <w:p w14:paraId="14B02954" w14:textId="35CC6B82" w:rsidR="00A830DA" w:rsidRPr="0047412E" w:rsidRDefault="00A830DA" w:rsidP="0047412E">
      <w:pPr>
        <w:pStyle w:val="1"/>
        <w:tabs>
          <w:tab w:val="num" w:pos="567"/>
        </w:tabs>
        <w:ind w:left="567" w:hanging="567"/>
      </w:pPr>
      <w:r w:rsidRPr="0047412E">
        <w:rPr>
          <w:rFonts w:hint="eastAsia"/>
        </w:rPr>
        <w:t>3</w:t>
      </w:r>
      <w:r w:rsidRPr="0047412E">
        <w:t xml:space="preserve">.2 </w:t>
      </w:r>
      <w:bookmarkStart w:id="0" w:name="_Hlk103162083"/>
      <w:r w:rsidRPr="0047412E">
        <w:t xml:space="preserve">GO enrichment </w:t>
      </w:r>
      <w:proofErr w:type="gramStart"/>
      <w:r w:rsidRPr="0047412E">
        <w:t>analysis</w:t>
      </w:r>
      <w:bookmarkEnd w:id="0"/>
      <w:proofErr w:type="gramEnd"/>
    </w:p>
    <w:p w14:paraId="452E319D" w14:textId="77777777" w:rsidR="00A830DA" w:rsidRPr="0047412E" w:rsidRDefault="00A830DA" w:rsidP="0047412E">
      <w:pPr>
        <w:jc w:val="both"/>
        <w:rPr>
          <w:rFonts w:cs="Times New Roman"/>
          <w:szCs w:val="24"/>
        </w:rPr>
      </w:pPr>
      <w:r w:rsidRPr="0047412E">
        <w:rPr>
          <w:rFonts w:cs="Times New Roman"/>
          <w:szCs w:val="24"/>
        </w:rPr>
        <w:t>After clicking the " GO enrichment analysis " link, users can use the selection interface (Fig. 7A) to choose the genome annotation version, maximum distance parameter, CGI density, and gene expression breadth classification. Users can obtain the GO enrichment analysis results by clicking the "Submit" button (Fig. 7A).</w:t>
      </w:r>
    </w:p>
    <w:p w14:paraId="58EB727A" w14:textId="7E4527A0" w:rsidR="00A830DA" w:rsidRPr="0047412E" w:rsidRDefault="00A830DA" w:rsidP="0047412E">
      <w:pPr>
        <w:jc w:val="both"/>
        <w:rPr>
          <w:rFonts w:cs="Times New Roman"/>
          <w:szCs w:val="24"/>
        </w:rPr>
      </w:pPr>
      <w:r w:rsidRPr="0047412E">
        <w:rPr>
          <w:rFonts w:cs="Times New Roman"/>
          <w:szCs w:val="24"/>
        </w:rPr>
        <w:t>Each GO enrichment result consists of three charts: molecular</w:t>
      </w:r>
      <w:r w:rsidRPr="0047412E">
        <w:rPr>
          <w:rFonts w:cs="Times New Roman" w:hint="eastAsia"/>
          <w:szCs w:val="24"/>
        </w:rPr>
        <w:t xml:space="preserve"> </w:t>
      </w:r>
      <w:r w:rsidRPr="0047412E">
        <w:rPr>
          <w:rFonts w:cs="Times New Roman"/>
          <w:szCs w:val="24"/>
        </w:rPr>
        <w:t>function, cellular component, and biological process, which are represented by blue, orange, and green, respectively (Fig. 7B). GO charts show the most enriched GO annotation terms in the selected gene set. User can also click “Download detailed GO enrichment analysis results” button to download the detailed GO enrichment analysis results file (Fig. 7B)</w:t>
      </w:r>
    </w:p>
    <w:p w14:paraId="5B938DA8" w14:textId="77777777" w:rsidR="00A830DA" w:rsidRDefault="00A830DA" w:rsidP="00C065AB">
      <w:pPr>
        <w:ind w:firstLineChars="300" w:firstLine="720"/>
      </w:pPr>
      <w:r>
        <w:rPr>
          <w:noProof/>
        </w:rPr>
        <w:drawing>
          <wp:inline distT="0" distB="0" distL="0" distR="0" wp14:anchorId="13060342" wp14:editId="68B7C59A">
            <wp:extent cx="5274310" cy="749935"/>
            <wp:effectExtent l="19050" t="19050" r="21590" b="1206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749935"/>
                    </a:xfrm>
                    <a:prstGeom prst="rect">
                      <a:avLst/>
                    </a:prstGeom>
                    <a:noFill/>
                    <a:ln>
                      <a:solidFill>
                        <a:schemeClr val="tx1"/>
                      </a:solidFill>
                    </a:ln>
                  </pic:spPr>
                </pic:pic>
              </a:graphicData>
            </a:graphic>
          </wp:inline>
        </w:drawing>
      </w:r>
    </w:p>
    <w:p w14:paraId="46AE4FFB" w14:textId="77777777" w:rsidR="00A830DA" w:rsidRDefault="00A830DA" w:rsidP="00A830DA">
      <w:pPr>
        <w:jc w:val="center"/>
      </w:pPr>
      <w:r>
        <w:rPr>
          <w:rFonts w:hint="eastAsia"/>
        </w:rPr>
        <w:t>(</w:t>
      </w:r>
      <w:r>
        <w:t>A)</w:t>
      </w:r>
    </w:p>
    <w:p w14:paraId="283F23E1" w14:textId="77777777" w:rsidR="00A830DA" w:rsidRDefault="00A830DA" w:rsidP="00A830DA">
      <w:pPr>
        <w:jc w:val="center"/>
      </w:pPr>
      <w:r>
        <w:rPr>
          <w:noProof/>
        </w:rPr>
        <w:drawing>
          <wp:inline distT="0" distB="0" distL="0" distR="0" wp14:anchorId="6D24A1D9" wp14:editId="3161FA2B">
            <wp:extent cx="5274310" cy="1742440"/>
            <wp:effectExtent l="19050" t="19050" r="21590" b="1016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1742440"/>
                    </a:xfrm>
                    <a:prstGeom prst="rect">
                      <a:avLst/>
                    </a:prstGeom>
                    <a:noFill/>
                    <a:ln>
                      <a:solidFill>
                        <a:schemeClr val="tx1"/>
                      </a:solidFill>
                    </a:ln>
                  </pic:spPr>
                </pic:pic>
              </a:graphicData>
            </a:graphic>
          </wp:inline>
        </w:drawing>
      </w:r>
    </w:p>
    <w:p w14:paraId="19504475" w14:textId="77777777" w:rsidR="00A830DA" w:rsidRDefault="00A830DA" w:rsidP="00A830DA">
      <w:pPr>
        <w:jc w:val="center"/>
      </w:pPr>
      <w:r>
        <w:rPr>
          <w:rFonts w:hint="eastAsia"/>
        </w:rPr>
        <w:t>(</w:t>
      </w:r>
      <w:r>
        <w:t>B)</w:t>
      </w:r>
    </w:p>
    <w:p w14:paraId="46E5FC55" w14:textId="03F251E0" w:rsidR="00BB1A3F" w:rsidRPr="0047412E" w:rsidRDefault="00A830DA" w:rsidP="0047412E">
      <w:pPr>
        <w:jc w:val="both"/>
        <w:rPr>
          <w:rFonts w:cs="Times New Roman"/>
          <w:szCs w:val="24"/>
        </w:rPr>
      </w:pPr>
      <w:r w:rsidRPr="0047412E">
        <w:rPr>
          <w:rFonts w:cs="Times New Roman"/>
          <w:b/>
          <w:bCs/>
          <w:szCs w:val="24"/>
        </w:rPr>
        <w:lastRenderedPageBreak/>
        <w:t>Fig. 7</w:t>
      </w:r>
      <w:r w:rsidRPr="0047412E">
        <w:rPr>
          <w:rFonts w:cs="Times New Roman"/>
          <w:szCs w:val="24"/>
        </w:rPr>
        <w:t xml:space="preserve"> GO enrichment analysis. (A) The selection interface for gene annotation category. (B) The GO enrichment results of d=50 CGIs.</w:t>
      </w:r>
    </w:p>
    <w:sectPr w:rsidR="00BB1A3F" w:rsidRPr="0047412E" w:rsidSect="0093429D">
      <w:headerReference w:type="even" r:id="rId38"/>
      <w:footerReference w:type="even" r:id="rId39"/>
      <w:footerReference w:type="default" r:id="rId40"/>
      <w:headerReference w:type="first" r:id="rId4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FDAFE" w14:textId="77777777" w:rsidR="00A73C61" w:rsidRDefault="00A73C61" w:rsidP="00117666">
      <w:pPr>
        <w:spacing w:after="0"/>
      </w:pPr>
      <w:r>
        <w:separator/>
      </w:r>
    </w:p>
  </w:endnote>
  <w:endnote w:type="continuationSeparator" w:id="0">
    <w:p w14:paraId="471C11C1" w14:textId="77777777" w:rsidR="00A73C61" w:rsidRDefault="00A73C6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C83FA5"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C83FA5"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C83FA5"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C83FA5"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C83FA5"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C83FA5"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C66EB" w14:textId="77777777" w:rsidR="00A73C61" w:rsidRDefault="00A73C61" w:rsidP="00117666">
      <w:pPr>
        <w:spacing w:after="0"/>
      </w:pPr>
      <w:r>
        <w:separator/>
      </w:r>
    </w:p>
  </w:footnote>
  <w:footnote w:type="continuationSeparator" w:id="0">
    <w:p w14:paraId="7B598763" w14:textId="77777777" w:rsidR="00A73C61" w:rsidRDefault="00A73C6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C83FA5"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C83FA5"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4678" w:firstLine="0"/>
      </w:pPr>
      <w:rPr>
        <w:rFonts w:hint="default"/>
        <w:b/>
        <w:lang w:val="en-GB"/>
      </w:rPr>
    </w:lvl>
    <w:lvl w:ilvl="1">
      <w:start w:val="1"/>
      <w:numFmt w:val="decimal"/>
      <w:lvlText w:val="%1.%2."/>
      <w:lvlJc w:val="left"/>
      <w:pPr>
        <w:ind w:left="4678" w:firstLine="0"/>
      </w:pPr>
      <w:rPr>
        <w:rFonts w:hint="default"/>
      </w:rPr>
    </w:lvl>
    <w:lvl w:ilvl="2">
      <w:start w:val="1"/>
      <w:numFmt w:val="decimal"/>
      <w:lvlText w:val="%1.%2.%3."/>
      <w:lvlJc w:val="left"/>
      <w:pPr>
        <w:ind w:left="4678" w:firstLine="0"/>
      </w:pPr>
      <w:rPr>
        <w:rFonts w:hint="default"/>
      </w:rPr>
    </w:lvl>
    <w:lvl w:ilvl="3">
      <w:start w:val="1"/>
      <w:numFmt w:val="decimal"/>
      <w:lvlText w:val="%1.%2.%3.%4."/>
      <w:lvlJc w:val="left"/>
      <w:pPr>
        <w:ind w:left="4678" w:firstLine="0"/>
      </w:pPr>
      <w:rPr>
        <w:rFonts w:ascii="Times New Roman" w:hAnsi="Times New Roman" w:hint="default"/>
        <w:b/>
        <w:i w:val="0"/>
        <w:sz w:val="24"/>
      </w:rPr>
    </w:lvl>
    <w:lvl w:ilvl="4">
      <w:start w:val="1"/>
      <w:numFmt w:val="decimal"/>
      <w:lvlText w:val="%1.%2.%3.%4.%5."/>
      <w:lvlJc w:val="left"/>
      <w:pPr>
        <w:ind w:left="6910" w:hanging="792"/>
      </w:pPr>
      <w:rPr>
        <w:rFonts w:hint="default"/>
      </w:rPr>
    </w:lvl>
    <w:lvl w:ilvl="5">
      <w:start w:val="1"/>
      <w:numFmt w:val="decimal"/>
      <w:lvlText w:val="%1.%2.%3.%4.%5.%6."/>
      <w:lvlJc w:val="left"/>
      <w:pPr>
        <w:ind w:left="7414" w:hanging="936"/>
      </w:pPr>
      <w:rPr>
        <w:rFonts w:hint="default"/>
      </w:rPr>
    </w:lvl>
    <w:lvl w:ilvl="6">
      <w:start w:val="1"/>
      <w:numFmt w:val="decimal"/>
      <w:lvlText w:val="%1.%2.%3.%4.%5.%6.%7."/>
      <w:lvlJc w:val="left"/>
      <w:pPr>
        <w:ind w:left="7918" w:hanging="1080"/>
      </w:pPr>
      <w:rPr>
        <w:rFonts w:hint="default"/>
      </w:rPr>
    </w:lvl>
    <w:lvl w:ilvl="7">
      <w:start w:val="1"/>
      <w:numFmt w:val="decimal"/>
      <w:lvlText w:val="%1.%2.%3.%4.%5.%6.%7.%8."/>
      <w:lvlJc w:val="left"/>
      <w:pPr>
        <w:ind w:left="8422" w:hanging="1224"/>
      </w:pPr>
      <w:rPr>
        <w:rFonts w:hint="default"/>
      </w:rPr>
    </w:lvl>
    <w:lvl w:ilvl="8">
      <w:start w:val="1"/>
      <w:numFmt w:val="decimal"/>
      <w:lvlText w:val="%1.%2.%3.%4.%5.%6.%7.%8.%9."/>
      <w:lvlJc w:val="left"/>
      <w:pPr>
        <w:ind w:left="8998"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FE400AB"/>
    <w:multiLevelType w:val="multilevel"/>
    <w:tmpl w:val="2FE400A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8F36FFB"/>
    <w:multiLevelType w:val="hybridMultilevel"/>
    <w:tmpl w:val="57666800"/>
    <w:lvl w:ilvl="0" w:tplc="11F8BF4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9" w15:restartNumberingAfterBreak="0">
    <w:nsid w:val="73CD4201"/>
    <w:multiLevelType w:val="multilevel"/>
    <w:tmpl w:val="243EACB4"/>
    <w:lvl w:ilvl="0">
      <w:start w:val="1"/>
      <w:numFmt w:val="decimal"/>
      <w:lvlText w:val="%1."/>
      <w:lvlJc w:val="left"/>
      <w:pPr>
        <w:ind w:left="4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60" w:hanging="1440"/>
      </w:pPr>
      <w:rPr>
        <w:rFonts w:hint="default"/>
      </w:rPr>
    </w:lvl>
    <w:lvl w:ilvl="7">
      <w:start w:val="1"/>
      <w:numFmt w:val="decimal"/>
      <w:isLgl/>
      <w:lvlText w:val="%1.%2.%3.%4.%5.%6.%7.%8"/>
      <w:lvlJc w:val="left"/>
      <w:pPr>
        <w:ind w:left="3660" w:hanging="1440"/>
      </w:pPr>
      <w:rPr>
        <w:rFonts w:hint="default"/>
      </w:rPr>
    </w:lvl>
    <w:lvl w:ilvl="8">
      <w:start w:val="1"/>
      <w:numFmt w:val="decimal"/>
      <w:isLgl/>
      <w:lvlText w:val="%1.%2.%3.%4.%5.%6.%7.%8.%9"/>
      <w:lvlJc w:val="left"/>
      <w:pPr>
        <w:ind w:left="3960" w:hanging="1440"/>
      </w:pPr>
      <w:rPr>
        <w:rFonts w:hint="default"/>
      </w:rPr>
    </w:lvl>
  </w:abstractNum>
  <w:num w:numId="1" w16cid:durableId="1821115517">
    <w:abstractNumId w:val="0"/>
  </w:num>
  <w:num w:numId="2" w16cid:durableId="1683165481">
    <w:abstractNumId w:val="6"/>
  </w:num>
  <w:num w:numId="3" w16cid:durableId="615480040">
    <w:abstractNumId w:val="1"/>
  </w:num>
  <w:num w:numId="4" w16cid:durableId="1566183234">
    <w:abstractNumId w:val="7"/>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8"/>
  </w:num>
  <w:num w:numId="8" w16cid:durableId="1559510671">
    <w:abstractNumId w:val="8"/>
  </w:num>
  <w:num w:numId="9" w16cid:durableId="1734543462">
    <w:abstractNumId w:val="8"/>
  </w:num>
  <w:num w:numId="10" w16cid:durableId="708839681">
    <w:abstractNumId w:val="8"/>
  </w:num>
  <w:num w:numId="11" w16cid:durableId="2046978920">
    <w:abstractNumId w:val="8"/>
  </w:num>
  <w:num w:numId="12" w16cid:durableId="2124614653">
    <w:abstractNumId w:val="8"/>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 w:numId="20" w16cid:durableId="891885966">
    <w:abstractNumId w:val="9"/>
  </w:num>
  <w:num w:numId="21" w16cid:durableId="893928236">
    <w:abstractNumId w:val="4"/>
  </w:num>
  <w:num w:numId="22" w16cid:durableId="6809393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0D98"/>
    <w:rsid w:val="00034304"/>
    <w:rsid w:val="00035434"/>
    <w:rsid w:val="00052A14"/>
    <w:rsid w:val="00077D53"/>
    <w:rsid w:val="00105FD9"/>
    <w:rsid w:val="00117666"/>
    <w:rsid w:val="0013630F"/>
    <w:rsid w:val="001549D3"/>
    <w:rsid w:val="00156A30"/>
    <w:rsid w:val="00160065"/>
    <w:rsid w:val="00177D84"/>
    <w:rsid w:val="00241304"/>
    <w:rsid w:val="00267D18"/>
    <w:rsid w:val="002868E2"/>
    <w:rsid w:val="002869C3"/>
    <w:rsid w:val="002936E4"/>
    <w:rsid w:val="002B4A57"/>
    <w:rsid w:val="002C18DA"/>
    <w:rsid w:val="002C74CA"/>
    <w:rsid w:val="00307A12"/>
    <w:rsid w:val="003544FB"/>
    <w:rsid w:val="0037211B"/>
    <w:rsid w:val="003775FF"/>
    <w:rsid w:val="003A5EF5"/>
    <w:rsid w:val="003D2D47"/>
    <w:rsid w:val="003D2F2D"/>
    <w:rsid w:val="00401590"/>
    <w:rsid w:val="00447801"/>
    <w:rsid w:val="00452E9C"/>
    <w:rsid w:val="004735C8"/>
    <w:rsid w:val="0047412E"/>
    <w:rsid w:val="004961FF"/>
    <w:rsid w:val="004C59D5"/>
    <w:rsid w:val="004D4246"/>
    <w:rsid w:val="0051470E"/>
    <w:rsid w:val="00517A89"/>
    <w:rsid w:val="005250F2"/>
    <w:rsid w:val="00593EEA"/>
    <w:rsid w:val="005A5EEE"/>
    <w:rsid w:val="005C341C"/>
    <w:rsid w:val="006375C7"/>
    <w:rsid w:val="00654E8F"/>
    <w:rsid w:val="00660D05"/>
    <w:rsid w:val="006820B1"/>
    <w:rsid w:val="006B7D14"/>
    <w:rsid w:val="00701727"/>
    <w:rsid w:val="0070566C"/>
    <w:rsid w:val="00714C50"/>
    <w:rsid w:val="00725A7D"/>
    <w:rsid w:val="007501BE"/>
    <w:rsid w:val="0077074C"/>
    <w:rsid w:val="00790BB3"/>
    <w:rsid w:val="00797BBF"/>
    <w:rsid w:val="007C206C"/>
    <w:rsid w:val="00803D24"/>
    <w:rsid w:val="00817DD6"/>
    <w:rsid w:val="00885156"/>
    <w:rsid w:val="008D0689"/>
    <w:rsid w:val="009151AA"/>
    <w:rsid w:val="0093429D"/>
    <w:rsid w:val="00943573"/>
    <w:rsid w:val="00970F7D"/>
    <w:rsid w:val="00985C93"/>
    <w:rsid w:val="00994A3D"/>
    <w:rsid w:val="009C2B12"/>
    <w:rsid w:val="009C70F3"/>
    <w:rsid w:val="00A174D9"/>
    <w:rsid w:val="00A569CD"/>
    <w:rsid w:val="00A73C61"/>
    <w:rsid w:val="00A830DA"/>
    <w:rsid w:val="00AB5EE2"/>
    <w:rsid w:val="00AB6715"/>
    <w:rsid w:val="00AE5778"/>
    <w:rsid w:val="00B1671E"/>
    <w:rsid w:val="00B25EB8"/>
    <w:rsid w:val="00B354E1"/>
    <w:rsid w:val="00B37F4D"/>
    <w:rsid w:val="00BB1A3F"/>
    <w:rsid w:val="00BD00E8"/>
    <w:rsid w:val="00C04352"/>
    <w:rsid w:val="00C065AB"/>
    <w:rsid w:val="00C371FC"/>
    <w:rsid w:val="00C52A7B"/>
    <w:rsid w:val="00C545B9"/>
    <w:rsid w:val="00C56BAF"/>
    <w:rsid w:val="00C679AA"/>
    <w:rsid w:val="00C75972"/>
    <w:rsid w:val="00C83FA5"/>
    <w:rsid w:val="00CC0A3A"/>
    <w:rsid w:val="00CD066B"/>
    <w:rsid w:val="00CD1CFE"/>
    <w:rsid w:val="00CE4FEE"/>
    <w:rsid w:val="00D37310"/>
    <w:rsid w:val="00DA6CB3"/>
    <w:rsid w:val="00DB59C3"/>
    <w:rsid w:val="00DC259A"/>
    <w:rsid w:val="00DE23E8"/>
    <w:rsid w:val="00E16E86"/>
    <w:rsid w:val="00E52377"/>
    <w:rsid w:val="00E64E17"/>
    <w:rsid w:val="00E866C9"/>
    <w:rsid w:val="00EA3D3C"/>
    <w:rsid w:val="00F46900"/>
    <w:rsid w:val="00F61D89"/>
    <w:rsid w:val="00FC259F"/>
    <w:rsid w:val="00FD38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0"/>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paragraph" w:styleId="aff8">
    <w:name w:val="Revision"/>
    <w:hidden/>
    <w:uiPriority w:val="99"/>
    <w:semiHidden/>
    <w:rsid w:val="00803D24"/>
    <w:pPr>
      <w:spacing w:after="0" w:line="240" w:lineRule="auto"/>
    </w:pPr>
    <w:rPr>
      <w:rFonts w:ascii="Times New Roman" w:hAnsi="Times New Roman"/>
      <w:sz w:val="24"/>
    </w:rPr>
  </w:style>
  <w:style w:type="paragraph" w:customStyle="1" w:styleId="AckText">
    <w:name w:val="Ack Text"/>
    <w:basedOn w:val="a0"/>
    <w:qFormat/>
    <w:rsid w:val="00BB1A3F"/>
    <w:pPr>
      <w:spacing w:before="0" w:after="0" w:line="220" w:lineRule="exact"/>
      <w:jc w:val="both"/>
    </w:pPr>
    <w:rPr>
      <w:rFonts w:cs="Times New Roman"/>
      <w:sz w:val="18"/>
      <w:szCs w:val="20"/>
    </w:rPr>
  </w:style>
  <w:style w:type="paragraph" w:customStyle="1" w:styleId="EndNoteBibliography">
    <w:name w:val="EndNote Bibliography"/>
    <w:basedOn w:val="a0"/>
    <w:link w:val="EndNoteBibliography0"/>
    <w:qFormat/>
    <w:rsid w:val="00BB1A3F"/>
    <w:pPr>
      <w:widowControl w:val="0"/>
      <w:spacing w:before="0" w:after="0"/>
      <w:jc w:val="both"/>
    </w:pPr>
    <w:rPr>
      <w:rFonts w:ascii="等线" w:eastAsia="等线" w:hAnsi="等线" w:cs="Calibri"/>
      <w:kern w:val="2"/>
      <w:sz w:val="20"/>
      <w:szCs w:val="24"/>
      <w:lang w:eastAsia="zh-CN"/>
    </w:rPr>
  </w:style>
  <w:style w:type="character" w:customStyle="1" w:styleId="EndNoteBibliography0">
    <w:name w:val="EndNote Bibliography 字符"/>
    <w:basedOn w:val="a1"/>
    <w:link w:val="EndNoteBibliography"/>
    <w:qFormat/>
    <w:rsid w:val="00BB1A3F"/>
    <w:rPr>
      <w:rFonts w:ascii="等线" w:eastAsia="等线" w:hAnsi="等线" w:cs="Calibri"/>
      <w:kern w:val="2"/>
      <w:sz w:val="20"/>
      <w:szCs w:val="24"/>
      <w:lang w:eastAsia="zh-CN"/>
    </w:rPr>
  </w:style>
  <w:style w:type="paragraph" w:customStyle="1" w:styleId="TABLECOLUMNHEADER">
    <w:name w:val="TABLE COLUMN HEADER"/>
    <w:basedOn w:val="a0"/>
    <w:next w:val="a0"/>
    <w:qFormat/>
    <w:rsid w:val="00BB1A3F"/>
    <w:pPr>
      <w:widowControl w:val="0"/>
      <w:spacing w:before="40" w:after="40" w:line="180" w:lineRule="exact"/>
      <w:jc w:val="center"/>
    </w:pPr>
    <w:rPr>
      <w:rFonts w:ascii="Helvetica" w:eastAsia="宋体" w:hAnsi="Helvetica" w:cs="Times New Roman"/>
      <w:kern w:val="16"/>
      <w:sz w:val="18"/>
      <w:szCs w:val="18"/>
      <w:lang w:eastAsia="zh-CN"/>
    </w:rPr>
  </w:style>
  <w:style w:type="paragraph" w:customStyle="1" w:styleId="TABLETITLE">
    <w:name w:val="TABLE TITLE"/>
    <w:basedOn w:val="a0"/>
    <w:next w:val="TABLECOLUMNHEADER"/>
    <w:qFormat/>
    <w:rsid w:val="00BB1A3F"/>
    <w:pPr>
      <w:keepNext/>
      <w:widowControl w:val="0"/>
      <w:spacing w:before="100" w:beforeAutospacing="1" w:after="80" w:line="200" w:lineRule="exact"/>
      <w:jc w:val="center"/>
    </w:pPr>
    <w:rPr>
      <w:rFonts w:ascii="Helvetica" w:eastAsia="宋体" w:hAnsi="Helvetica" w:cs="Times New Roman"/>
      <w:smallCaps/>
      <w:color w:val="000000"/>
      <w:kern w:val="16"/>
      <w:sz w:val="19"/>
      <w:szCs w:val="19"/>
      <w:lang w:eastAsia="zh-CN"/>
    </w:rPr>
  </w:style>
  <w:style w:type="table" w:customStyle="1" w:styleId="61">
    <w:name w:val="清单表 6 彩色1"/>
    <w:basedOn w:val="a2"/>
    <w:qFormat/>
    <w:rsid w:val="00BB1A3F"/>
    <w:pPr>
      <w:spacing w:after="0" w:line="240" w:lineRule="auto"/>
    </w:pPr>
    <w:rPr>
      <w:rFonts w:ascii="Times New Roman" w:eastAsia="Times New Roman" w:hAnsi="Times New Roman" w:cs="Times New Roman"/>
      <w:color w:val="000000"/>
      <w:sz w:val="20"/>
      <w:szCs w:val="20"/>
      <w:lang w:eastAsia="zh-CN"/>
    </w:rPr>
    <w:tblPr>
      <w:tblBorders>
        <w:top w:val="single" w:sz="4" w:space="0" w:color="000000"/>
        <w:bottom w:val="single" w:sz="4" w:space="0" w:color="000000"/>
      </w:tblBorders>
    </w:tblPr>
    <w:tblStylePr w:type="firstRow">
      <w:rPr>
        <w:rFonts w:ascii="Times New Roman" w:hAnsi="Times New Roman" w:cs="Times New Roman" w:hint="default"/>
        <w:b/>
        <w:bCs/>
      </w:rPr>
      <w:tblPr/>
      <w:tcPr>
        <w:tcBorders>
          <w:bottom w:val="single" w:sz="4" w:space="0" w:color="000000"/>
        </w:tcBorders>
      </w:tcPr>
    </w:tblStylePr>
    <w:tblStylePr w:type="lastRow">
      <w:rPr>
        <w:rFonts w:ascii="Times New Roman" w:hAnsi="Times New Roman" w:cs="Times New Roman" w:hint="default"/>
        <w:b/>
        <w:bCs/>
      </w:rPr>
      <w:tblPr/>
      <w:tcPr>
        <w:tcBorders>
          <w:top w:val="double" w:sz="2" w:space="0" w:color="000000"/>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CCCCCC"/>
      </w:tcPr>
    </w:tblStylePr>
    <w:tblStylePr w:type="band1Horz">
      <w:tblPr/>
      <w:tcPr>
        <w:shd w:val="clear" w:color="auto" w:fill="CCCCCC"/>
      </w:tcPr>
    </w:tblStylePr>
  </w:style>
  <w:style w:type="paragraph" w:customStyle="1" w:styleId="11">
    <w:name w:val="列表段落1"/>
    <w:basedOn w:val="a0"/>
    <w:qFormat/>
    <w:rsid w:val="00BB1A3F"/>
    <w:pPr>
      <w:widowControl w:val="0"/>
      <w:adjustRightInd w:val="0"/>
      <w:snapToGrid w:val="0"/>
      <w:spacing w:before="0" w:after="0" w:line="271" w:lineRule="auto"/>
      <w:ind w:firstLineChars="200" w:firstLine="420"/>
      <w:jc w:val="both"/>
    </w:pPr>
    <w:rPr>
      <w:rFonts w:ascii="Arial" w:eastAsia="宋体" w:hAnsi="Arial" w:cs="Times New Roman"/>
      <w:kern w:val="2"/>
      <w:sz w:val="20"/>
      <w:szCs w:val="20"/>
      <w:lang w:eastAsia="zh-CN"/>
    </w:rPr>
  </w:style>
  <w:style w:type="table" w:customStyle="1" w:styleId="21">
    <w:name w:val="清单表 21"/>
    <w:basedOn w:val="a2"/>
    <w:qFormat/>
    <w:rsid w:val="00BB1A3F"/>
    <w:pPr>
      <w:spacing w:after="0" w:line="240" w:lineRule="auto"/>
    </w:pPr>
    <w:rPr>
      <w:rFonts w:ascii="Times New Roman" w:eastAsia="Times New Roman" w:hAnsi="Times New Roman" w:cs="Times New Roman"/>
      <w:sz w:val="20"/>
      <w:szCs w:val="20"/>
      <w:lang w:eastAsia="zh-CN"/>
    </w:rPr>
    <w:tblPr>
      <w:tblBorders>
        <w:top w:val="single" w:sz="4" w:space="0" w:color="666666"/>
        <w:bottom w:val="single" w:sz="4" w:space="0" w:color="666666"/>
        <w:insideH w:val="single" w:sz="4" w:space="0" w:color="666666"/>
      </w:tblBorders>
    </w:tblPr>
    <w:tblStylePr w:type="firstRow">
      <w:rPr>
        <w:rFonts w:ascii="Times New Roman" w:hAnsi="Times New Roman" w:cs="Times New Roman" w:hint="default"/>
        <w:b/>
        <w:bCs/>
      </w:rPr>
    </w:tblStylePr>
    <w:tblStylePr w:type="lastRow">
      <w:rPr>
        <w:rFonts w:ascii="Times New Roman" w:hAnsi="Times New Roman" w:cs="Times New Roman" w:hint="default"/>
        <w:b/>
        <w:bCs/>
      </w:r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CCCCCC"/>
      </w:tcPr>
    </w:tblStylePr>
    <w:tblStylePr w:type="band1Horz">
      <w:tblPr/>
      <w:tcPr>
        <w:shd w:val="clear" w:color="auto" w:fill="CCCCCC"/>
      </w:tcPr>
    </w:tblStylePr>
  </w:style>
  <w:style w:type="paragraph" w:customStyle="1" w:styleId="RefHead">
    <w:name w:val="Ref Head"/>
    <w:basedOn w:val="a0"/>
    <w:qFormat/>
    <w:rsid w:val="00BB1A3F"/>
    <w:pPr>
      <w:spacing w:before="360" w:after="50" w:line="240" w:lineRule="exact"/>
      <w:outlineLvl w:val="0"/>
    </w:pPr>
    <w:rPr>
      <w:rFonts w:ascii="Helvetica" w:hAnsi="Helvetica" w:cs="Times New Roman"/>
      <w:b/>
      <w:sz w:val="20"/>
      <w:szCs w:val="20"/>
    </w:rPr>
  </w:style>
  <w:style w:type="table" w:styleId="22">
    <w:name w:val="List Table 2"/>
    <w:basedOn w:val="a2"/>
    <w:uiPriority w:val="47"/>
    <w:rsid w:val="00BB1A3F"/>
    <w:pPr>
      <w:spacing w:after="0" w:line="240" w:lineRule="auto"/>
    </w:pPr>
    <w:rPr>
      <w:rFonts w:ascii="等线" w:eastAsia="等线" w:hAnsi="等线" w:cs="等线"/>
      <w:sz w:val="20"/>
      <w:szCs w:val="20"/>
      <w:lang w:eastAsia="zh-C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6</TotalTime>
  <Pages>11</Pages>
  <Words>1450</Words>
  <Characters>8266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yi xiao</cp:lastModifiedBy>
  <cp:revision>3</cp:revision>
  <cp:lastPrinted>2013-10-03T12:51:00Z</cp:lastPrinted>
  <dcterms:created xsi:type="dcterms:W3CDTF">2024-01-02T04:07:00Z</dcterms:created>
  <dcterms:modified xsi:type="dcterms:W3CDTF">2024-01-02T05:58:00Z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