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32AA9">
      <w:pPr>
        <w:rPr>
          <w:rFonts w:eastAsia="Times New Roman"/>
          <w:b/>
          <w:sz w:val="20"/>
          <w:szCs w:val="20"/>
          <w:lang w:eastAsia="en-GB"/>
        </w:rPr>
      </w:pPr>
      <w:r>
        <w:rPr>
          <w:rFonts w:eastAsia="Times New Roman"/>
          <w:b/>
          <w:sz w:val="20"/>
          <w:szCs w:val="20"/>
          <w:lang w:eastAsia="en-GB"/>
        </w:rPr>
        <w:t>STROBE-MR checklist of recommended items to address in reports of Mendelian randomization studies</w:t>
      </w:r>
      <w:r>
        <w:rPr>
          <w:rFonts w:eastAsia="Times New Roman"/>
          <w:b/>
          <w:sz w:val="20"/>
          <w:szCs w:val="20"/>
          <w:lang w:eastAsia="en-GB"/>
        </w:rPr>
        <w:fldChar w:fldCharType="begin" w:fldLock="1"/>
      </w:r>
      <w:r>
        <w:rPr>
          <w:rFonts w:eastAsia="Times New Roman"/>
          <w:b/>
          <w:sz w:val="20"/>
          <w:szCs w:val="20"/>
          <w:lang w:eastAsia="en-GB"/>
        </w:rPr>
        <w:instrText xml:space="preserve">ADDIN CSL_CITATION {"citationItems":[{"id":"ITEM-1","itemData":{"author":[{"dropping-particle":"","family":"Skrivankova","given":"V W","non-dropping-particle":"","parse-names":false,"suffix":""},{"dropping-particle":"","family":"Richmond","given":"R C","non-dropping-particle":"","parse-names":false,"suffix":""},{"dropping-particle":"","family":"Woolf","given":"B A R","non-dropping-particle":"","parse-names":false,"suffix":""},{"dropping-particle":"","family":"Yarmolinsky","given":"J","non-dropping-particle":"","parse-names":false,"suffix":""},{"dropping-particle":"","family":"Davies","given":"N M","non-dropping-particle":"","parse-names":false,"suffix":""},{"dropping-particle":"","family":"Swanson","given":"S A","non-dropping-particle":"","parse-names":false,"suffix":""},{"dropping-particle":"","family":"VanderWeele","given":"T J","non-dropping-particle":"","parse-names":false,"suffix":""},{"dropping-particle":"","family":"Higgins","given":"J P H","non-dropping-particle":"","parse-names":false,"suffix":""},{"dropping-particle":"","family":"Timpson","given":"N J","non-dropping-particle":"","parse-names":false,"suffix":""},{"dropping-particle":"","family":"Dimou","given":"N","non-dropping-particle":"","parse-names":false,"suffix":""},{"dropping-particle":"","family":"Langenberg","given":"C","non-dropping-particle":"","parse-names":false,"suffix":""},{"dropping-particle":"","family":"Loder","given":"E W","non-dropping-particle":"","parse-names":false,"suffix":""},{"dropping-particle":"","family":"Golub","given":"R","non-dropping-particle":"","parse-names":false,"suffix":""},{"dropping-particle":"","family":"Gallo","given":"V","non-dropping-particle":"","parse-names":false,"suffix":""},{"dropping-particle":"","family":"Tybjaerg-Hansen","given":"A","non-dropping-particle":"","parse-names":false,"suffix":""},{"dropping-particle":"","family":"Davey Smith","given":"G","non-dropping-particle":"","parse-names":false,"suffix":""},{"dropping-particle":"","family":"Egger","given":"M","non-dropping-particle":"","parse-names":false,"suffix":""},{"dropping-particle":"","family":"Richards","given":"J B","non-dropping-particle":"","parse-names":false,"suffix":""}],"container-title":"JAMA","id":"ITEM-1","issued":{"date-parts":[["2021"]]},"page":"under review","title":"Strengthening the Reporting of Observational Studies in Epidemiology using Mendelian Randomization (STROBE-MR) Statement","type":"article-journal"},"uris":["http://www.mendeley.com/documents/?uuid=29dd9aa2-14fd-450b-83fb-4c6b74b75061"]}],"mendeley":{"formattedCitation":"&lt;sup&gt;1&lt;/sup&gt;","plainTextFormattedCitation":"1"},"properties":{"noteIndex":0},"schema":"https://github.com/citation-style-language/schema/raw/master/csl-citation.json"}</w:instrText>
      </w:r>
      <w:r>
        <w:rPr>
          <w:rFonts w:eastAsia="Times New Roman"/>
          <w:b/>
          <w:sz w:val="20"/>
          <w:szCs w:val="20"/>
          <w:lang w:eastAsia="en-GB"/>
        </w:rPr>
        <w:fldChar w:fldCharType="separate"/>
      </w:r>
      <w:r>
        <w:rPr>
          <w:rFonts w:eastAsia="Times New Roman"/>
          <w:sz w:val="20"/>
          <w:szCs w:val="20"/>
          <w:vertAlign w:val="superscript"/>
          <w:lang w:eastAsia="en-GB"/>
        </w:rPr>
        <w:t>1</w:t>
      </w:r>
      <w:r>
        <w:rPr>
          <w:rFonts w:eastAsia="Times New Roman"/>
          <w:b/>
          <w:sz w:val="20"/>
          <w:szCs w:val="20"/>
          <w:lang w:eastAsia="en-GB"/>
        </w:rPr>
        <w:fldChar w:fldCharType="end"/>
      </w:r>
      <w:r>
        <w:rPr>
          <w:rFonts w:eastAsia="Times New Roman"/>
          <w:b/>
          <w:sz w:val="20"/>
          <w:szCs w:val="20"/>
          <w:lang w:eastAsia="en-GB"/>
        </w:rPr>
        <w:t xml:space="preserve"> </w:t>
      </w:r>
      <w:r>
        <w:rPr>
          <w:rFonts w:eastAsia="Times New Roman"/>
          <w:b/>
          <w:sz w:val="20"/>
          <w:szCs w:val="20"/>
          <w:lang w:eastAsia="en-GB"/>
        </w:rPr>
        <w:fldChar w:fldCharType="begin" w:fldLock="1"/>
      </w:r>
      <w:r>
        <w:rPr>
          <w:rFonts w:eastAsia="Times New Roman"/>
          <w:b/>
          <w:sz w:val="20"/>
          <w:szCs w:val="20"/>
          <w:lang w:eastAsia="en-GB"/>
        </w:rPr>
        <w:instrText xml:space="preserve">ADDIN CSL_CITATION {"citationItems":[{"id":"ITEM-1","itemData":{"author":[{"dropping-particle":"","family":"Skrivankova","given":"Veronika W","non-dropping-particle":"","parse-names":false,"suffix":""},{"dropping-particle":"","family":"Richmond","given":"Rebecca C","non-dropping-particle":"","parse-names":false,"suffix":""},{"dropping-particle":"","family":"Woolf","given":"Benjamin A R","non-dropping-particle":"","parse-names":false,"suffix":""},{"dropping-particle":"","family":"Davies","given":"Neil M","non-dropping-particle":"","parse-names":false,"suffix":""},{"dropping-particle":"","family":"Swanson","given":"Sonja A","non-dropping-particle":"","parse-names":false,"suffix":""},{"dropping-particle":"","family":"VanderWeele","given":"Tyler J","non-dropping-particle":"","parse-names":false,"suffix":""},{"dropping-particle":"","family":"Timpson","given":"Nicholas J","non-dropping-particle":"","parse-names":false,"suffix":""},{"dropping-particle":"","family":"Higgins","given":"Julian P T","non-dropping-particle":"","parse-names":false,"suffix":""},{"dropping-particle":"","family":"Dimou","given":"Niki","non-dropping-particle":"","parse-names":false,"suffix":""},{"dropping-particle":"","family":"Langenberg","given":"Claudia","non-dropping-particle":"","parse-names":false,"suffix":""},{"dropping-particle":"","family":"Loder","given":"Elizabeth W","non-dropping-particle":"","parse-names":false,"suffix":""},{"dropping-particle":"","family":"Golub","given":"Robert M","non-dropping-particle":"","parse-names":false,"suffix":""},{"dropping-particle":"","family":"Egger","given":"Mathias","non-dropping-particle":"","parse-names":false,"suffix":""},{"dropping-particle":"","family":"Davey Smith","given":"George","non-dropping-particle":"","parse-names":false,"suffix":""},{"dropping-particle":"","family":"Richards","given":"J Brent","non-dropping-particle":"","parse-names":false,"suffix":""}],"container-title":"BMJ","id":"ITEM-1","issued":{"date-parts":[["2021"]]},"title":"Strengthening the Reporting of Observational Studies in Epidemiology using Mendelian Randomisation (STROBE-MR): Explanation and Elaboration","type":"article-journal","volume":"375:n2233"},"uris":["http://www.mendeley.com/documents/?uuid=af64eb33-5308-4d72-bd7e-6fe0d8fe3570"]}],"mendeley":{"formattedCitation":"&lt;sup&gt;2&lt;/sup&gt;","plainTextFormattedCitation":"2","previouslyFormattedCitation":"&lt;sup&gt;1&lt;/sup&gt;"},"properties":{"noteIndex":0},"schema":"https://github.com/citation-style-language/schema/raw/master/csl-citation.json"}</w:instrText>
      </w:r>
      <w:r>
        <w:rPr>
          <w:rFonts w:eastAsia="Times New Roman"/>
          <w:b/>
          <w:sz w:val="20"/>
          <w:szCs w:val="20"/>
          <w:lang w:eastAsia="en-GB"/>
        </w:rPr>
        <w:fldChar w:fldCharType="separate"/>
      </w:r>
      <w:r>
        <w:rPr>
          <w:rFonts w:eastAsia="Times New Roman"/>
          <w:sz w:val="20"/>
          <w:szCs w:val="20"/>
          <w:vertAlign w:val="superscript"/>
          <w:lang w:eastAsia="en-GB"/>
        </w:rPr>
        <w:t>2</w:t>
      </w:r>
      <w:r>
        <w:rPr>
          <w:rFonts w:eastAsia="Times New Roman"/>
          <w:b/>
          <w:sz w:val="20"/>
          <w:szCs w:val="20"/>
          <w:lang w:eastAsia="en-GB"/>
        </w:rPr>
        <w:fldChar w:fldCharType="end"/>
      </w:r>
      <w:r>
        <w:rPr>
          <w:rFonts w:eastAsia="Times New Roman"/>
          <w:b/>
          <w:sz w:val="20"/>
          <w:szCs w:val="20"/>
          <w:lang w:eastAsia="en-GB"/>
        </w:rPr>
        <w:t> </w:t>
      </w:r>
    </w:p>
    <w:p w14:paraId="3EE539AD">
      <w:pPr>
        <w:rPr>
          <w:rFonts w:eastAsia="Times New Roman"/>
          <w:b/>
          <w:sz w:val="20"/>
          <w:szCs w:val="20"/>
          <w:lang w:eastAsia="en-GB"/>
        </w:rPr>
      </w:pPr>
    </w:p>
    <w:tbl>
      <w:tblPr>
        <w:tblStyle w:val="4"/>
        <w:tblW w:w="14490" w:type="dxa"/>
        <w:tblInd w:w="0" w:type="dxa"/>
        <w:tblLayout w:type="autofit"/>
        <w:tblCellMar>
          <w:top w:w="0" w:type="dxa"/>
          <w:left w:w="108" w:type="dxa"/>
          <w:bottom w:w="0" w:type="dxa"/>
          <w:right w:w="108" w:type="dxa"/>
        </w:tblCellMar>
      </w:tblPr>
      <w:tblGrid>
        <w:gridCol w:w="587"/>
        <w:gridCol w:w="1822"/>
        <w:gridCol w:w="7041"/>
        <w:gridCol w:w="720"/>
        <w:gridCol w:w="4320"/>
      </w:tblGrid>
      <w:tr w14:paraId="68BC94E2">
        <w:tblPrEx>
          <w:tblCellMar>
            <w:top w:w="0" w:type="dxa"/>
            <w:left w:w="108" w:type="dxa"/>
            <w:bottom w:w="0" w:type="dxa"/>
            <w:right w:w="108" w:type="dxa"/>
          </w:tblCellMar>
        </w:tblPrEx>
        <w:tc>
          <w:tcPr>
            <w:tcW w:w="587" w:type="dxa"/>
            <w:tcBorders>
              <w:top w:val="single" w:color="auto" w:sz="4" w:space="0"/>
              <w:bottom w:val="single" w:color="7F7F7F" w:sz="6" w:space="0"/>
            </w:tcBorders>
            <w:shd w:val="clear" w:color="auto" w:fill="auto"/>
          </w:tcPr>
          <w:p w14:paraId="00DEF8A5">
            <w:pPr>
              <w:spacing w:before="96" w:beforeLines="40" w:after="96" w:afterLines="40" w:line="24" w:lineRule="atLeast"/>
              <w:rPr>
                <w:rFonts w:eastAsia="Cambria"/>
                <w:b/>
                <w:bCs/>
                <w:sz w:val="18"/>
                <w:szCs w:val="18"/>
                <w:lang w:val="en-GB" w:eastAsia="en-US"/>
              </w:rPr>
            </w:pPr>
            <w:r>
              <w:rPr>
                <w:rFonts w:eastAsia="Cambria"/>
                <w:b/>
                <w:bCs/>
                <w:sz w:val="18"/>
                <w:szCs w:val="18"/>
                <w:lang w:val="en-GB" w:eastAsia="en-US"/>
              </w:rPr>
              <w:t>Item No.</w:t>
            </w:r>
          </w:p>
        </w:tc>
        <w:tc>
          <w:tcPr>
            <w:tcW w:w="1822" w:type="dxa"/>
            <w:tcBorders>
              <w:top w:val="single" w:color="auto" w:sz="4" w:space="0"/>
              <w:bottom w:val="single" w:color="7F7F7F" w:sz="6" w:space="0"/>
            </w:tcBorders>
            <w:shd w:val="clear" w:color="auto" w:fill="auto"/>
          </w:tcPr>
          <w:p w14:paraId="04F587D2">
            <w:pPr>
              <w:spacing w:before="96" w:beforeLines="40" w:after="96" w:afterLines="40" w:line="24" w:lineRule="atLeast"/>
              <w:rPr>
                <w:rFonts w:eastAsia="Cambria"/>
                <w:b/>
                <w:bCs/>
                <w:sz w:val="18"/>
                <w:szCs w:val="18"/>
                <w:lang w:val="en-GB" w:eastAsia="en-US"/>
              </w:rPr>
            </w:pPr>
            <w:r>
              <w:rPr>
                <w:rFonts w:eastAsia="Cambria"/>
                <w:b/>
                <w:bCs/>
                <w:sz w:val="18"/>
                <w:szCs w:val="18"/>
                <w:lang w:val="en-GB" w:eastAsia="en-US"/>
              </w:rPr>
              <w:t>Section</w:t>
            </w:r>
          </w:p>
        </w:tc>
        <w:tc>
          <w:tcPr>
            <w:tcW w:w="7041" w:type="dxa"/>
            <w:tcBorders>
              <w:top w:val="single" w:color="auto" w:sz="4" w:space="0"/>
              <w:bottom w:val="single" w:color="7F7F7F" w:sz="6" w:space="0"/>
            </w:tcBorders>
            <w:shd w:val="clear" w:color="auto" w:fill="auto"/>
          </w:tcPr>
          <w:p w14:paraId="5A682768">
            <w:pPr>
              <w:spacing w:before="96" w:beforeLines="40" w:after="96" w:afterLines="40" w:line="24" w:lineRule="atLeast"/>
              <w:rPr>
                <w:rFonts w:eastAsia="Cambria"/>
                <w:b/>
                <w:bCs/>
                <w:sz w:val="18"/>
                <w:szCs w:val="18"/>
                <w:lang w:val="en-GB" w:eastAsia="en-US"/>
              </w:rPr>
            </w:pPr>
            <w:r>
              <w:rPr>
                <w:rFonts w:eastAsia="Cambria"/>
                <w:b/>
                <w:bCs/>
                <w:sz w:val="18"/>
                <w:szCs w:val="18"/>
                <w:lang w:val="en-GB" w:eastAsia="en-US"/>
              </w:rPr>
              <w:t xml:space="preserve">Checklist item </w:t>
            </w:r>
          </w:p>
        </w:tc>
        <w:tc>
          <w:tcPr>
            <w:tcW w:w="720" w:type="dxa"/>
            <w:tcBorders>
              <w:top w:val="single" w:color="auto" w:sz="4" w:space="0"/>
              <w:bottom w:val="single" w:color="7F7F7F" w:sz="6" w:space="0"/>
            </w:tcBorders>
          </w:tcPr>
          <w:p w14:paraId="26D050FB">
            <w:pPr>
              <w:spacing w:before="96" w:beforeLines="40" w:after="96" w:afterLines="40" w:line="24" w:lineRule="atLeast"/>
              <w:rPr>
                <w:rFonts w:eastAsia="Cambria"/>
                <w:b/>
                <w:bCs/>
                <w:sz w:val="18"/>
                <w:szCs w:val="18"/>
                <w:lang w:val="en-GB" w:eastAsia="en-US"/>
              </w:rPr>
            </w:pPr>
            <w:r>
              <w:rPr>
                <w:rFonts w:eastAsia="Cambria"/>
                <w:b/>
                <w:bCs/>
                <w:sz w:val="18"/>
                <w:szCs w:val="18"/>
                <w:lang w:val="en-GB" w:eastAsia="en-US"/>
              </w:rPr>
              <w:t>Page No.</w:t>
            </w:r>
          </w:p>
        </w:tc>
        <w:tc>
          <w:tcPr>
            <w:tcW w:w="4320" w:type="dxa"/>
            <w:tcBorders>
              <w:top w:val="single" w:color="auto" w:sz="4" w:space="0"/>
              <w:bottom w:val="single" w:color="7F7F7F" w:sz="6" w:space="0"/>
            </w:tcBorders>
          </w:tcPr>
          <w:p w14:paraId="3B169EDD">
            <w:pPr>
              <w:spacing w:before="96" w:beforeLines="40" w:after="96" w:afterLines="40" w:line="24" w:lineRule="atLeast"/>
              <w:rPr>
                <w:rFonts w:eastAsia="Cambria"/>
                <w:b/>
                <w:bCs/>
                <w:sz w:val="18"/>
                <w:szCs w:val="18"/>
                <w:lang w:val="en-GB" w:eastAsia="en-US"/>
              </w:rPr>
            </w:pPr>
            <w:r>
              <w:rPr>
                <w:rFonts w:eastAsia="Cambria"/>
                <w:b/>
                <w:bCs/>
                <w:sz w:val="18"/>
                <w:szCs w:val="18"/>
                <w:lang w:val="en-GB" w:eastAsia="en-US"/>
              </w:rPr>
              <w:t>Relevant text from manuscript</w:t>
            </w:r>
          </w:p>
        </w:tc>
      </w:tr>
      <w:tr w14:paraId="6D71F361">
        <w:tblPrEx>
          <w:tblCellMar>
            <w:top w:w="0" w:type="dxa"/>
            <w:left w:w="108" w:type="dxa"/>
            <w:bottom w:w="0" w:type="dxa"/>
            <w:right w:w="108" w:type="dxa"/>
          </w:tblCellMar>
        </w:tblPrEx>
        <w:tc>
          <w:tcPr>
            <w:tcW w:w="587" w:type="dxa"/>
            <w:tcBorders>
              <w:top w:val="single" w:color="7F7F7F" w:sz="6" w:space="0"/>
              <w:bottom w:val="single" w:color="7F7F7F" w:sz="6" w:space="0"/>
            </w:tcBorders>
            <w:shd w:val="clear" w:color="auto" w:fill="EEEEEE"/>
          </w:tcPr>
          <w:p w14:paraId="25A8835C">
            <w:pPr>
              <w:spacing w:before="96" w:beforeLines="40" w:after="96" w:afterLines="40" w:line="24" w:lineRule="atLeast"/>
              <w:rPr>
                <w:rFonts w:eastAsia="Times New Roman"/>
                <w:b/>
                <w:bCs/>
                <w:sz w:val="18"/>
                <w:szCs w:val="18"/>
                <w:lang w:val="en-GB" w:eastAsia="en-GB"/>
              </w:rPr>
            </w:pPr>
            <w:r>
              <w:rPr>
                <w:rFonts w:eastAsia="Times New Roman"/>
                <w:sz w:val="18"/>
                <w:szCs w:val="18"/>
                <w:lang w:val="en-GB" w:eastAsia="en-GB"/>
              </w:rPr>
              <w:t>1</w:t>
            </w:r>
          </w:p>
        </w:tc>
        <w:tc>
          <w:tcPr>
            <w:tcW w:w="1822" w:type="dxa"/>
            <w:tcBorders>
              <w:top w:val="single" w:color="7F7F7F" w:sz="6" w:space="0"/>
              <w:bottom w:val="single" w:color="7F7F7F" w:sz="6" w:space="0"/>
            </w:tcBorders>
            <w:shd w:val="clear" w:color="auto" w:fill="EEEEEE"/>
          </w:tcPr>
          <w:p w14:paraId="4CC4316B">
            <w:pPr>
              <w:spacing w:before="96" w:beforeLines="40" w:after="96" w:afterLines="40" w:line="24" w:lineRule="atLeast"/>
              <w:rPr>
                <w:rFonts w:eastAsia="Times New Roman"/>
                <w:sz w:val="18"/>
                <w:szCs w:val="18"/>
                <w:lang w:val="en-GB" w:eastAsia="en-GB"/>
              </w:rPr>
            </w:pPr>
            <w:r>
              <w:rPr>
                <w:rFonts w:eastAsia="Times New Roman"/>
                <w:b/>
                <w:bCs/>
                <w:sz w:val="18"/>
                <w:szCs w:val="18"/>
                <w:lang w:val="en-GB" w:eastAsia="en-GB"/>
              </w:rPr>
              <w:t>TITLE and ABSTRACT</w:t>
            </w:r>
          </w:p>
        </w:tc>
        <w:tc>
          <w:tcPr>
            <w:tcW w:w="7041" w:type="dxa"/>
            <w:tcBorders>
              <w:top w:val="single" w:color="7F7F7F" w:sz="6" w:space="0"/>
              <w:bottom w:val="single" w:color="7F7F7F" w:sz="6" w:space="0"/>
            </w:tcBorders>
            <w:shd w:val="clear" w:color="auto" w:fill="EEEEEE"/>
          </w:tcPr>
          <w:p w14:paraId="1DA8BD46">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Indicate Mendelian randomization (MR) as the study’s design in the title and/or the abstract if that is a main purpose of the study</w:t>
            </w:r>
          </w:p>
        </w:tc>
        <w:tc>
          <w:tcPr>
            <w:tcW w:w="720" w:type="dxa"/>
            <w:tcBorders>
              <w:top w:val="single" w:color="7F7F7F" w:sz="6" w:space="0"/>
              <w:bottom w:val="single" w:color="7F7F7F" w:sz="6" w:space="0"/>
            </w:tcBorders>
            <w:shd w:val="clear" w:color="auto" w:fill="EEEEEE"/>
          </w:tcPr>
          <w:p w14:paraId="428F187D">
            <w:pPr>
              <w:spacing w:before="96" w:beforeLines="40" w:after="96" w:afterLines="40" w:line="24" w:lineRule="atLeast"/>
              <w:rPr>
                <w:rFonts w:eastAsiaTheme="minorEastAsia"/>
                <w:sz w:val="18"/>
                <w:szCs w:val="18"/>
                <w:lang w:val="en-GB" w:eastAsia="zh-CN"/>
              </w:rPr>
            </w:pPr>
            <w:bookmarkStart w:id="0" w:name="_GoBack"/>
            <w:bookmarkEnd w:id="0"/>
          </w:p>
        </w:tc>
        <w:tc>
          <w:tcPr>
            <w:tcW w:w="4320" w:type="dxa"/>
            <w:tcBorders>
              <w:top w:val="single" w:color="7F7F7F" w:sz="6" w:space="0"/>
              <w:bottom w:val="single" w:color="7F7F7F" w:sz="6" w:space="0"/>
            </w:tcBorders>
            <w:shd w:val="clear" w:color="auto" w:fill="EEEEEE"/>
          </w:tcPr>
          <w:p w14:paraId="0C37D564">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Dissecting the Causal Relationship Between Moderate to Vigorous Physical Activity Levels and Cognitive Performance: A Bidirectional Two-Sample Mendelian Randomization Study</w:t>
            </w:r>
          </w:p>
          <w:p w14:paraId="2F6D1FAF">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To address this, we employed a Mendelian randomization (MR) approach, analyzing two distinct samples.</w:t>
            </w:r>
          </w:p>
        </w:tc>
      </w:tr>
      <w:tr w14:paraId="641E6A58">
        <w:tblPrEx>
          <w:tblCellMar>
            <w:top w:w="0" w:type="dxa"/>
            <w:left w:w="108" w:type="dxa"/>
            <w:bottom w:w="0" w:type="dxa"/>
            <w:right w:w="108" w:type="dxa"/>
          </w:tblCellMar>
        </w:tblPrEx>
        <w:tc>
          <w:tcPr>
            <w:tcW w:w="587" w:type="dxa"/>
            <w:tcBorders>
              <w:top w:val="single" w:color="7F7F7F" w:sz="6" w:space="0"/>
            </w:tcBorders>
            <w:shd w:val="clear" w:color="auto" w:fill="auto"/>
          </w:tcPr>
          <w:p w14:paraId="4792BEFB">
            <w:pPr>
              <w:spacing w:before="96" w:beforeLines="40" w:after="96" w:afterLines="40" w:line="24" w:lineRule="atLeast"/>
              <w:rPr>
                <w:rFonts w:eastAsia="Times New Roman"/>
                <w:b/>
                <w:bCs/>
                <w:sz w:val="18"/>
                <w:szCs w:val="18"/>
                <w:lang w:val="en-GB" w:eastAsia="en-GB"/>
              </w:rPr>
            </w:pPr>
          </w:p>
        </w:tc>
        <w:tc>
          <w:tcPr>
            <w:tcW w:w="1822" w:type="dxa"/>
            <w:tcBorders>
              <w:top w:val="single" w:color="7F7F7F" w:sz="6" w:space="0"/>
            </w:tcBorders>
            <w:shd w:val="clear" w:color="auto" w:fill="auto"/>
          </w:tcPr>
          <w:p w14:paraId="63B58F01">
            <w:pPr>
              <w:spacing w:before="96" w:beforeLines="40" w:after="96" w:afterLines="40" w:line="24" w:lineRule="atLeast"/>
              <w:rPr>
                <w:rFonts w:eastAsia="Times New Roman"/>
                <w:sz w:val="18"/>
                <w:szCs w:val="18"/>
                <w:lang w:val="en-GB" w:eastAsia="en-GB"/>
              </w:rPr>
            </w:pPr>
            <w:r>
              <w:rPr>
                <w:rFonts w:eastAsia="Times New Roman"/>
                <w:b/>
                <w:bCs/>
                <w:sz w:val="18"/>
                <w:szCs w:val="18"/>
                <w:lang w:val="en-GB" w:eastAsia="en-GB"/>
              </w:rPr>
              <w:t>INTRODUCTION</w:t>
            </w:r>
          </w:p>
        </w:tc>
        <w:tc>
          <w:tcPr>
            <w:tcW w:w="7041" w:type="dxa"/>
            <w:tcBorders>
              <w:top w:val="single" w:color="7F7F7F" w:sz="6" w:space="0"/>
            </w:tcBorders>
            <w:shd w:val="clear" w:color="auto" w:fill="auto"/>
          </w:tcPr>
          <w:p w14:paraId="473C01D0">
            <w:pPr>
              <w:spacing w:before="96" w:beforeLines="40" w:after="96" w:afterLines="40" w:line="24" w:lineRule="atLeast"/>
              <w:rPr>
                <w:rFonts w:eastAsia="Cambria"/>
                <w:sz w:val="18"/>
                <w:szCs w:val="18"/>
                <w:lang w:val="en-GB" w:eastAsia="en-US"/>
              </w:rPr>
            </w:pPr>
          </w:p>
        </w:tc>
        <w:tc>
          <w:tcPr>
            <w:tcW w:w="720" w:type="dxa"/>
            <w:tcBorders>
              <w:top w:val="single" w:color="7F7F7F" w:sz="6" w:space="0"/>
            </w:tcBorders>
          </w:tcPr>
          <w:p w14:paraId="6681F500">
            <w:pPr>
              <w:spacing w:before="96" w:beforeLines="40" w:after="96" w:afterLines="40" w:line="24" w:lineRule="atLeast"/>
              <w:rPr>
                <w:rFonts w:eastAsia="Cambria"/>
                <w:sz w:val="18"/>
                <w:szCs w:val="18"/>
                <w:lang w:val="en-GB" w:eastAsia="en-US"/>
              </w:rPr>
            </w:pPr>
          </w:p>
        </w:tc>
        <w:tc>
          <w:tcPr>
            <w:tcW w:w="4320" w:type="dxa"/>
            <w:tcBorders>
              <w:top w:val="single" w:color="7F7F7F" w:sz="6" w:space="0"/>
            </w:tcBorders>
          </w:tcPr>
          <w:p w14:paraId="7A6DC6E9">
            <w:pPr>
              <w:spacing w:before="96" w:beforeLines="40" w:after="96" w:afterLines="40" w:line="24" w:lineRule="atLeast"/>
              <w:rPr>
                <w:rFonts w:eastAsia="Cambria"/>
                <w:sz w:val="18"/>
                <w:szCs w:val="18"/>
                <w:lang w:val="en-GB" w:eastAsia="en-US"/>
              </w:rPr>
            </w:pPr>
          </w:p>
        </w:tc>
      </w:tr>
      <w:tr w14:paraId="7DB622D8">
        <w:tblPrEx>
          <w:tblCellMar>
            <w:top w:w="0" w:type="dxa"/>
            <w:left w:w="108" w:type="dxa"/>
            <w:bottom w:w="0" w:type="dxa"/>
            <w:right w:w="108" w:type="dxa"/>
          </w:tblCellMar>
        </w:tblPrEx>
        <w:tc>
          <w:tcPr>
            <w:tcW w:w="587" w:type="dxa"/>
            <w:shd w:val="clear" w:color="auto" w:fill="EEEEEE"/>
          </w:tcPr>
          <w:p w14:paraId="7DE28D61">
            <w:pPr>
              <w:spacing w:before="96" w:beforeLines="40" w:after="96" w:afterLines="40" w:line="24" w:lineRule="atLeast"/>
              <w:rPr>
                <w:rFonts w:eastAsia="Times New Roman"/>
                <w:b/>
                <w:bCs/>
                <w:sz w:val="18"/>
                <w:szCs w:val="18"/>
                <w:lang w:val="en-GB" w:eastAsia="en-GB"/>
              </w:rPr>
            </w:pPr>
            <w:r>
              <w:rPr>
                <w:rFonts w:eastAsia="Times New Roman"/>
                <w:sz w:val="18"/>
                <w:szCs w:val="18"/>
                <w:lang w:val="en-GB" w:eastAsia="en-GB"/>
              </w:rPr>
              <w:t>2</w:t>
            </w:r>
          </w:p>
        </w:tc>
        <w:tc>
          <w:tcPr>
            <w:tcW w:w="1822" w:type="dxa"/>
            <w:shd w:val="clear" w:color="auto" w:fill="EEEEEE"/>
          </w:tcPr>
          <w:p w14:paraId="7756B327">
            <w:pPr>
              <w:spacing w:before="96" w:beforeLines="40" w:after="96" w:afterLines="40" w:line="24" w:lineRule="atLeast"/>
              <w:rPr>
                <w:rFonts w:eastAsia="Cambria"/>
                <w:sz w:val="18"/>
                <w:szCs w:val="18"/>
                <w:lang w:val="en-GB" w:eastAsia="en-US"/>
              </w:rPr>
            </w:pPr>
            <w:r>
              <w:rPr>
                <w:rFonts w:eastAsia="Times New Roman"/>
                <w:b/>
                <w:bCs/>
                <w:sz w:val="18"/>
                <w:szCs w:val="18"/>
                <w:lang w:val="en-GB" w:eastAsia="en-GB"/>
              </w:rPr>
              <w:t>Background</w:t>
            </w:r>
          </w:p>
        </w:tc>
        <w:tc>
          <w:tcPr>
            <w:tcW w:w="7041" w:type="dxa"/>
            <w:shd w:val="clear" w:color="auto" w:fill="EEEEEE"/>
          </w:tcPr>
          <w:p w14:paraId="5423D52E">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Explain the scientific background and rationale for the reported study. What is the exposure? Is a potential causal relationship between exposure and outcome plausible? Justify why MR is a helpful method to address the study question</w:t>
            </w:r>
          </w:p>
        </w:tc>
        <w:tc>
          <w:tcPr>
            <w:tcW w:w="720" w:type="dxa"/>
            <w:shd w:val="clear" w:color="auto" w:fill="EEEEEE"/>
          </w:tcPr>
          <w:p w14:paraId="460FB29C">
            <w:pPr>
              <w:spacing w:before="96" w:beforeLines="40" w:after="96" w:afterLines="40" w:line="24" w:lineRule="atLeast"/>
              <w:rPr>
                <w:rFonts w:eastAsiaTheme="minorEastAsia"/>
                <w:sz w:val="18"/>
                <w:szCs w:val="18"/>
                <w:lang w:val="en-GB" w:eastAsia="zh-CN"/>
              </w:rPr>
            </w:pPr>
          </w:p>
        </w:tc>
        <w:tc>
          <w:tcPr>
            <w:tcW w:w="4320" w:type="dxa"/>
            <w:shd w:val="clear" w:color="auto" w:fill="EEEEEE"/>
          </w:tcPr>
          <w:p w14:paraId="5D990A22">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MR is an epidemiological technique that employs single nucleotide polymorphisms (SNPs) associated with an exposure (e.g., MVPA) as instrumental variables (IVs) to deduce potential causal relationships between the exposure and outcomes (Davey Smith &amp; Hemani, 2014).</w:t>
            </w:r>
          </w:p>
        </w:tc>
      </w:tr>
      <w:tr w14:paraId="7907A3D3">
        <w:tblPrEx>
          <w:tblCellMar>
            <w:top w:w="0" w:type="dxa"/>
            <w:left w:w="108" w:type="dxa"/>
            <w:bottom w:w="0" w:type="dxa"/>
            <w:right w:w="108" w:type="dxa"/>
          </w:tblCellMar>
        </w:tblPrEx>
        <w:tc>
          <w:tcPr>
            <w:tcW w:w="587" w:type="dxa"/>
            <w:tcBorders>
              <w:bottom w:val="single" w:color="7F7F7F" w:sz="6" w:space="0"/>
            </w:tcBorders>
            <w:shd w:val="clear" w:color="auto" w:fill="auto"/>
          </w:tcPr>
          <w:p w14:paraId="4F63B034">
            <w:pPr>
              <w:spacing w:before="96" w:beforeLines="40" w:after="96" w:afterLines="40" w:line="24" w:lineRule="atLeast"/>
              <w:rPr>
                <w:rFonts w:eastAsia="Times New Roman"/>
                <w:b/>
                <w:bCs/>
                <w:sz w:val="18"/>
                <w:szCs w:val="18"/>
                <w:lang w:val="en-GB" w:eastAsia="en-GB"/>
              </w:rPr>
            </w:pPr>
            <w:r>
              <w:rPr>
                <w:rFonts w:eastAsia="Times New Roman"/>
                <w:sz w:val="18"/>
                <w:szCs w:val="18"/>
                <w:lang w:val="en-GB" w:eastAsia="en-GB"/>
              </w:rPr>
              <w:t>3</w:t>
            </w:r>
          </w:p>
        </w:tc>
        <w:tc>
          <w:tcPr>
            <w:tcW w:w="1822" w:type="dxa"/>
            <w:tcBorders>
              <w:bottom w:val="single" w:color="7F7F7F" w:sz="6" w:space="0"/>
            </w:tcBorders>
            <w:shd w:val="clear" w:color="auto" w:fill="auto"/>
          </w:tcPr>
          <w:p w14:paraId="3E6B9EEC">
            <w:pPr>
              <w:spacing w:before="96" w:beforeLines="40" w:after="96" w:afterLines="40" w:line="24" w:lineRule="atLeast"/>
              <w:rPr>
                <w:rFonts w:eastAsia="Cambria"/>
                <w:sz w:val="18"/>
                <w:szCs w:val="18"/>
                <w:lang w:val="en-GB" w:eastAsia="en-US"/>
              </w:rPr>
            </w:pPr>
            <w:r>
              <w:rPr>
                <w:rFonts w:eastAsia="Times New Roman"/>
                <w:b/>
                <w:bCs/>
                <w:sz w:val="18"/>
                <w:szCs w:val="18"/>
                <w:lang w:val="en-GB" w:eastAsia="en-GB"/>
              </w:rPr>
              <w:t>Objectives</w:t>
            </w:r>
          </w:p>
        </w:tc>
        <w:tc>
          <w:tcPr>
            <w:tcW w:w="7041" w:type="dxa"/>
            <w:tcBorders>
              <w:bottom w:val="single" w:color="7F7F7F" w:sz="6" w:space="0"/>
            </w:tcBorders>
            <w:shd w:val="clear" w:color="auto" w:fill="auto"/>
          </w:tcPr>
          <w:p w14:paraId="41BC8A04">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State specific objectives clearly, including pre-specified causal hypotheses (if any). State that MR is a method that, under specific assumptions, intends to estimate causal effects</w:t>
            </w:r>
          </w:p>
        </w:tc>
        <w:tc>
          <w:tcPr>
            <w:tcW w:w="720" w:type="dxa"/>
            <w:tcBorders>
              <w:bottom w:val="single" w:color="7F7F7F" w:sz="6" w:space="0"/>
            </w:tcBorders>
          </w:tcPr>
          <w:p w14:paraId="2294F6C5">
            <w:pPr>
              <w:spacing w:before="96" w:beforeLines="40" w:after="96" w:afterLines="40" w:line="24" w:lineRule="atLeast"/>
              <w:rPr>
                <w:rFonts w:eastAsiaTheme="minorEastAsia"/>
                <w:sz w:val="18"/>
                <w:szCs w:val="18"/>
                <w:lang w:val="en-GB" w:eastAsia="zh-CN"/>
              </w:rPr>
            </w:pPr>
          </w:p>
        </w:tc>
        <w:tc>
          <w:tcPr>
            <w:tcW w:w="4320" w:type="dxa"/>
            <w:tcBorders>
              <w:bottom w:val="single" w:color="7F7F7F" w:sz="6" w:space="0"/>
            </w:tcBorders>
          </w:tcPr>
          <w:p w14:paraId="11250836">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This study aims to explore the bidirectional causal effects between MVPA and cognitive performance.</w:t>
            </w:r>
          </w:p>
        </w:tc>
      </w:tr>
      <w:tr w14:paraId="59599383">
        <w:tblPrEx>
          <w:tblCellMar>
            <w:top w:w="0" w:type="dxa"/>
            <w:left w:w="108" w:type="dxa"/>
            <w:bottom w:w="0" w:type="dxa"/>
            <w:right w:w="108" w:type="dxa"/>
          </w:tblCellMar>
        </w:tblPrEx>
        <w:tc>
          <w:tcPr>
            <w:tcW w:w="587" w:type="dxa"/>
            <w:tcBorders>
              <w:top w:val="single" w:color="7F7F7F" w:sz="6" w:space="0"/>
            </w:tcBorders>
            <w:shd w:val="clear" w:color="auto" w:fill="EEEEEE"/>
          </w:tcPr>
          <w:p w14:paraId="3524D6D4">
            <w:pPr>
              <w:spacing w:before="96" w:beforeLines="40" w:after="96" w:afterLines="40" w:line="24" w:lineRule="atLeast"/>
              <w:rPr>
                <w:rFonts w:eastAsia="Times New Roman"/>
                <w:b/>
                <w:bCs/>
                <w:sz w:val="18"/>
                <w:szCs w:val="18"/>
                <w:lang w:val="en-GB" w:eastAsia="en-GB"/>
              </w:rPr>
            </w:pPr>
          </w:p>
        </w:tc>
        <w:tc>
          <w:tcPr>
            <w:tcW w:w="1822" w:type="dxa"/>
            <w:tcBorders>
              <w:top w:val="single" w:color="7F7F7F" w:sz="6" w:space="0"/>
            </w:tcBorders>
            <w:shd w:val="clear" w:color="auto" w:fill="EEEEEE"/>
          </w:tcPr>
          <w:p w14:paraId="6152628C">
            <w:pPr>
              <w:spacing w:before="96" w:beforeLines="40" w:after="96" w:afterLines="40" w:line="24" w:lineRule="atLeast"/>
              <w:rPr>
                <w:rFonts w:eastAsia="Cambria"/>
                <w:sz w:val="18"/>
                <w:szCs w:val="18"/>
                <w:lang w:val="en-GB" w:eastAsia="en-US"/>
              </w:rPr>
            </w:pPr>
            <w:r>
              <w:rPr>
                <w:rFonts w:eastAsia="Times New Roman"/>
                <w:b/>
                <w:bCs/>
                <w:sz w:val="18"/>
                <w:szCs w:val="18"/>
                <w:lang w:val="en-GB" w:eastAsia="en-GB"/>
              </w:rPr>
              <w:t>METHODS</w:t>
            </w:r>
          </w:p>
        </w:tc>
        <w:tc>
          <w:tcPr>
            <w:tcW w:w="7041" w:type="dxa"/>
            <w:tcBorders>
              <w:top w:val="single" w:color="7F7F7F" w:sz="6" w:space="0"/>
            </w:tcBorders>
            <w:shd w:val="clear" w:color="auto" w:fill="EEEEEE"/>
          </w:tcPr>
          <w:p w14:paraId="309B8567">
            <w:pPr>
              <w:spacing w:before="96" w:beforeLines="40" w:after="96" w:afterLines="40" w:line="24" w:lineRule="atLeast"/>
              <w:rPr>
                <w:rFonts w:eastAsia="Cambria"/>
                <w:sz w:val="18"/>
                <w:szCs w:val="18"/>
                <w:lang w:val="en-GB" w:eastAsia="en-US"/>
              </w:rPr>
            </w:pPr>
          </w:p>
        </w:tc>
        <w:tc>
          <w:tcPr>
            <w:tcW w:w="720" w:type="dxa"/>
            <w:tcBorders>
              <w:top w:val="single" w:color="7F7F7F" w:sz="6" w:space="0"/>
            </w:tcBorders>
            <w:shd w:val="clear" w:color="auto" w:fill="EEEEEE"/>
          </w:tcPr>
          <w:p w14:paraId="2FFEF450">
            <w:pPr>
              <w:spacing w:before="96" w:beforeLines="40" w:after="96" w:afterLines="40" w:line="24" w:lineRule="atLeast"/>
              <w:rPr>
                <w:rFonts w:eastAsia="Cambria"/>
                <w:sz w:val="18"/>
                <w:szCs w:val="18"/>
                <w:lang w:val="en-GB" w:eastAsia="en-US"/>
              </w:rPr>
            </w:pPr>
          </w:p>
        </w:tc>
        <w:tc>
          <w:tcPr>
            <w:tcW w:w="4320" w:type="dxa"/>
            <w:tcBorders>
              <w:top w:val="single" w:color="7F7F7F" w:sz="6" w:space="0"/>
            </w:tcBorders>
            <w:shd w:val="clear" w:color="auto" w:fill="EEEEEE"/>
          </w:tcPr>
          <w:p w14:paraId="6CB9315A">
            <w:pPr>
              <w:spacing w:before="96" w:beforeLines="40" w:after="96" w:afterLines="40" w:line="24" w:lineRule="atLeast"/>
              <w:rPr>
                <w:rFonts w:eastAsia="Cambria"/>
                <w:sz w:val="18"/>
                <w:szCs w:val="18"/>
                <w:lang w:val="en-GB" w:eastAsia="en-US"/>
              </w:rPr>
            </w:pPr>
          </w:p>
        </w:tc>
      </w:tr>
      <w:tr w14:paraId="6440155E">
        <w:tblPrEx>
          <w:tblCellMar>
            <w:top w:w="0" w:type="dxa"/>
            <w:left w:w="108" w:type="dxa"/>
            <w:bottom w:w="0" w:type="dxa"/>
            <w:right w:w="108" w:type="dxa"/>
          </w:tblCellMar>
        </w:tblPrEx>
        <w:tc>
          <w:tcPr>
            <w:tcW w:w="587" w:type="dxa"/>
            <w:shd w:val="clear" w:color="auto" w:fill="auto"/>
          </w:tcPr>
          <w:p w14:paraId="5C7CF349">
            <w:pPr>
              <w:spacing w:before="96" w:beforeLines="40" w:after="96" w:afterLines="40" w:line="24" w:lineRule="atLeast"/>
              <w:rPr>
                <w:rFonts w:eastAsia="Times New Roman"/>
                <w:b/>
                <w:bCs/>
                <w:sz w:val="18"/>
                <w:szCs w:val="18"/>
                <w:lang w:val="en-GB" w:eastAsia="en-GB"/>
              </w:rPr>
            </w:pPr>
            <w:r>
              <w:rPr>
                <w:rFonts w:eastAsia="Times New Roman"/>
                <w:sz w:val="18"/>
                <w:szCs w:val="18"/>
                <w:lang w:val="en-GB" w:eastAsia="en-GB"/>
              </w:rPr>
              <w:t>4</w:t>
            </w:r>
          </w:p>
        </w:tc>
        <w:tc>
          <w:tcPr>
            <w:tcW w:w="1822" w:type="dxa"/>
            <w:shd w:val="clear" w:color="auto" w:fill="auto"/>
          </w:tcPr>
          <w:p w14:paraId="408E2A89">
            <w:pPr>
              <w:spacing w:before="96" w:beforeLines="40" w:after="96" w:afterLines="40" w:line="24" w:lineRule="atLeast"/>
              <w:rPr>
                <w:rFonts w:eastAsia="Times New Roman"/>
                <w:sz w:val="18"/>
                <w:szCs w:val="18"/>
                <w:lang w:val="en-GB" w:eastAsia="en-GB"/>
              </w:rPr>
            </w:pPr>
            <w:r>
              <w:rPr>
                <w:rFonts w:eastAsia="Times New Roman"/>
                <w:b/>
                <w:bCs/>
                <w:sz w:val="18"/>
                <w:szCs w:val="18"/>
                <w:lang w:val="en-GB" w:eastAsia="en-GB"/>
              </w:rPr>
              <w:t>Study design and data sources</w:t>
            </w:r>
          </w:p>
        </w:tc>
        <w:tc>
          <w:tcPr>
            <w:tcW w:w="7041" w:type="dxa"/>
            <w:shd w:val="clear" w:color="auto" w:fill="auto"/>
          </w:tcPr>
          <w:p w14:paraId="29029CA4">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Present key elements of the study design early in the article. Consider including a table listing sources of data for all phases of the study. For each data source contributing to the analysis, describe the following: </w:t>
            </w:r>
          </w:p>
        </w:tc>
        <w:tc>
          <w:tcPr>
            <w:tcW w:w="720" w:type="dxa"/>
          </w:tcPr>
          <w:p w14:paraId="0E181C75">
            <w:pPr>
              <w:spacing w:before="96" w:beforeLines="40" w:after="96" w:afterLines="40" w:line="24" w:lineRule="atLeast"/>
              <w:rPr>
                <w:rFonts w:eastAsiaTheme="minorEastAsia"/>
                <w:sz w:val="18"/>
                <w:szCs w:val="18"/>
                <w:lang w:val="en-GB" w:eastAsia="zh-CN"/>
              </w:rPr>
            </w:pPr>
          </w:p>
        </w:tc>
        <w:tc>
          <w:tcPr>
            <w:tcW w:w="4320" w:type="dxa"/>
          </w:tcPr>
          <w:p w14:paraId="23CE0AC6">
            <w:pPr>
              <w:spacing w:before="96" w:beforeLines="40" w:after="96" w:afterLines="40" w:line="24" w:lineRule="atLeast"/>
              <w:rPr>
                <w:rFonts w:eastAsia="Times New Roman"/>
                <w:sz w:val="18"/>
                <w:szCs w:val="18"/>
                <w:lang w:val="en-GB" w:eastAsia="en-GB"/>
              </w:rPr>
            </w:pPr>
          </w:p>
        </w:tc>
      </w:tr>
      <w:tr w14:paraId="47D5AE21">
        <w:tblPrEx>
          <w:tblCellMar>
            <w:top w:w="0" w:type="dxa"/>
            <w:left w:w="108" w:type="dxa"/>
            <w:bottom w:w="0" w:type="dxa"/>
            <w:right w:w="108" w:type="dxa"/>
          </w:tblCellMar>
        </w:tblPrEx>
        <w:tc>
          <w:tcPr>
            <w:tcW w:w="587" w:type="dxa"/>
            <w:shd w:val="clear" w:color="auto" w:fill="EEEEEE"/>
          </w:tcPr>
          <w:p w14:paraId="0980B688">
            <w:pPr>
              <w:spacing w:before="96" w:beforeLines="40" w:after="96" w:afterLines="40" w:line="24" w:lineRule="atLeast"/>
              <w:jc w:val="right"/>
              <w:rPr>
                <w:rFonts w:eastAsia="Cambria"/>
                <w:b/>
                <w:bCs/>
                <w:sz w:val="18"/>
                <w:szCs w:val="18"/>
                <w:lang w:val="en-GB" w:eastAsia="en-US"/>
              </w:rPr>
            </w:pPr>
          </w:p>
        </w:tc>
        <w:tc>
          <w:tcPr>
            <w:tcW w:w="1822" w:type="dxa"/>
            <w:shd w:val="clear" w:color="auto" w:fill="EEEEEE"/>
          </w:tcPr>
          <w:p w14:paraId="29E72ACB">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a)</w:t>
            </w:r>
          </w:p>
        </w:tc>
        <w:tc>
          <w:tcPr>
            <w:tcW w:w="7041" w:type="dxa"/>
            <w:shd w:val="clear" w:color="auto" w:fill="EEEEEE"/>
          </w:tcPr>
          <w:p w14:paraId="246167BE">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Setting: Describe the study design and the underlying population, if possible. Describe the setting, locations, and relevant dates, including periods of recruitment, exposure, follow-up, and data collection, when available.</w:t>
            </w:r>
          </w:p>
        </w:tc>
        <w:tc>
          <w:tcPr>
            <w:tcW w:w="720" w:type="dxa"/>
            <w:shd w:val="clear" w:color="auto" w:fill="EEEEEE"/>
          </w:tcPr>
          <w:p w14:paraId="048ED5CF">
            <w:pPr>
              <w:spacing w:before="96" w:beforeLines="40" w:after="96" w:afterLines="40" w:line="24" w:lineRule="atLeast"/>
              <w:rPr>
                <w:rFonts w:eastAsiaTheme="minorEastAsia"/>
                <w:sz w:val="18"/>
                <w:szCs w:val="18"/>
                <w:shd w:val="clear" w:color="auto" w:fill="FFFFFF"/>
                <w:lang w:val="en-GB" w:eastAsia="zh-CN"/>
              </w:rPr>
            </w:pPr>
          </w:p>
        </w:tc>
        <w:tc>
          <w:tcPr>
            <w:tcW w:w="4320" w:type="dxa"/>
            <w:shd w:val="clear" w:color="auto" w:fill="EEEEEE"/>
          </w:tcPr>
          <w:p w14:paraId="33F4171D">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We selected major SNPs associated with Moderate To Vigorous Physical Activity (MVPA) and cognitive performance as genetic instrumental variables (IVs) to conduct bidirectional two-sample MR.</w:t>
            </w:r>
          </w:p>
        </w:tc>
      </w:tr>
      <w:tr w14:paraId="376A6F82">
        <w:tblPrEx>
          <w:tblCellMar>
            <w:top w:w="0" w:type="dxa"/>
            <w:left w:w="108" w:type="dxa"/>
            <w:bottom w:w="0" w:type="dxa"/>
            <w:right w:w="108" w:type="dxa"/>
          </w:tblCellMar>
        </w:tblPrEx>
        <w:tc>
          <w:tcPr>
            <w:tcW w:w="587" w:type="dxa"/>
            <w:shd w:val="clear" w:color="auto" w:fill="auto"/>
          </w:tcPr>
          <w:p w14:paraId="6B85F41D">
            <w:pPr>
              <w:spacing w:before="96" w:beforeLines="40" w:after="96" w:afterLines="40" w:line="24" w:lineRule="atLeast"/>
              <w:jc w:val="right"/>
              <w:rPr>
                <w:rFonts w:eastAsia="Cambria"/>
                <w:b/>
                <w:bCs/>
                <w:sz w:val="18"/>
                <w:szCs w:val="18"/>
                <w:lang w:val="en-GB" w:eastAsia="en-US"/>
              </w:rPr>
            </w:pPr>
          </w:p>
        </w:tc>
        <w:tc>
          <w:tcPr>
            <w:tcW w:w="1822" w:type="dxa"/>
            <w:shd w:val="clear" w:color="auto" w:fill="auto"/>
          </w:tcPr>
          <w:p w14:paraId="0CF2EB5C">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b)</w:t>
            </w:r>
          </w:p>
        </w:tc>
        <w:tc>
          <w:tcPr>
            <w:tcW w:w="7041" w:type="dxa"/>
            <w:shd w:val="clear" w:color="auto" w:fill="auto"/>
          </w:tcPr>
          <w:p w14:paraId="5E3BCE69">
            <w:pPr>
              <w:spacing w:before="96" w:beforeLines="40" w:after="96" w:afterLines="40" w:line="24" w:lineRule="atLeast"/>
              <w:textAlignment w:val="baseline"/>
              <w:rPr>
                <w:rFonts w:eastAsia="Cambria"/>
                <w:sz w:val="18"/>
                <w:szCs w:val="18"/>
                <w:lang w:val="en-GB" w:eastAsia="en-US"/>
              </w:rPr>
            </w:pPr>
            <w:r>
              <w:rPr>
                <w:rFonts w:eastAsia="Times New Roman"/>
                <w:sz w:val="18"/>
                <w:szCs w:val="18"/>
                <w:shd w:val="clear" w:color="auto" w:fill="FFFFFF"/>
                <w:lang w:val="en-GB" w:eastAsia="en-GB"/>
              </w:rPr>
              <w:t xml:space="preserve">Participants: Give the eligibility criteria, and the sources and methods of selection of participants. </w:t>
            </w:r>
            <w:r>
              <w:rPr>
                <w:rFonts w:eastAsia="Times New Roman"/>
                <w:color w:val="000000"/>
                <w:sz w:val="18"/>
                <w:szCs w:val="18"/>
              </w:rPr>
              <w:t>Report the sample size, and whether any power or sample size calculations were carried out prior to the main analysis</w:t>
            </w:r>
            <w:r>
              <w:rPr>
                <w:rFonts w:eastAsia="Times New Roman"/>
                <w:sz w:val="18"/>
                <w:szCs w:val="18"/>
                <w:lang w:val="en-GB" w:eastAsia="en-GB"/>
              </w:rPr>
              <w:t> </w:t>
            </w:r>
          </w:p>
        </w:tc>
        <w:tc>
          <w:tcPr>
            <w:tcW w:w="720" w:type="dxa"/>
          </w:tcPr>
          <w:p w14:paraId="29ACC32C">
            <w:pPr>
              <w:spacing w:before="96" w:beforeLines="40" w:after="96" w:afterLines="40" w:line="24" w:lineRule="atLeast"/>
              <w:textAlignment w:val="baseline"/>
              <w:rPr>
                <w:rFonts w:eastAsiaTheme="minorEastAsia"/>
                <w:sz w:val="18"/>
                <w:szCs w:val="18"/>
                <w:shd w:val="clear" w:color="auto" w:fill="FFFFFF"/>
                <w:lang w:val="en-GB" w:eastAsia="zh-CN"/>
              </w:rPr>
            </w:pPr>
          </w:p>
        </w:tc>
        <w:tc>
          <w:tcPr>
            <w:tcW w:w="4320" w:type="dxa"/>
          </w:tcPr>
          <w:p w14:paraId="42F12DA2">
            <w:pPr>
              <w:spacing w:before="96" w:beforeLines="40" w:after="96" w:afterLines="40" w:line="24" w:lineRule="atLeast"/>
              <w:textAlignment w:val="baseline"/>
              <w:rPr>
                <w:rFonts w:eastAsia="Times New Roman"/>
                <w:sz w:val="18"/>
                <w:szCs w:val="18"/>
                <w:shd w:val="clear" w:color="auto" w:fill="FFFFFF"/>
                <w:lang w:val="en-GB" w:eastAsia="en-GB"/>
              </w:rPr>
            </w:pPr>
            <w:r>
              <w:rPr>
                <w:rFonts w:eastAsia="Times New Roman"/>
                <w:sz w:val="18"/>
                <w:szCs w:val="18"/>
                <w:shd w:val="clear" w:color="auto" w:fill="FFFFFF"/>
                <w:lang w:val="en-GB" w:eastAsia="en-GB"/>
              </w:rPr>
              <w:t>For MVPA, we used publicly available GWAS data (Guthold et al., 2018) from a cohort of 377,234 participants.</w:t>
            </w:r>
          </w:p>
          <w:p w14:paraId="37C3B4C3">
            <w:pPr>
              <w:spacing w:before="96" w:beforeLines="40" w:after="96" w:afterLines="40" w:line="24" w:lineRule="atLeast"/>
              <w:textAlignment w:val="baseline"/>
              <w:rPr>
                <w:rFonts w:eastAsia="Times New Roman"/>
                <w:sz w:val="18"/>
                <w:szCs w:val="18"/>
                <w:shd w:val="clear" w:color="auto" w:fill="FFFFFF"/>
                <w:lang w:val="en-GB" w:eastAsia="en-GB"/>
              </w:rPr>
            </w:pPr>
            <w:r>
              <w:rPr>
                <w:rFonts w:eastAsia="Times New Roman"/>
                <w:sz w:val="18"/>
                <w:szCs w:val="18"/>
                <w:shd w:val="clear" w:color="auto" w:fill="FFFFFF"/>
                <w:lang w:val="en-GB" w:eastAsia="en-GB"/>
              </w:rPr>
              <w:t>The cognitive performance data was sourced from a GWAS (Lee et al., 2018) involving 257,841 participants.</w:t>
            </w:r>
          </w:p>
        </w:tc>
      </w:tr>
      <w:tr w14:paraId="04B065C7">
        <w:tblPrEx>
          <w:tblCellMar>
            <w:top w:w="0" w:type="dxa"/>
            <w:left w:w="108" w:type="dxa"/>
            <w:bottom w:w="0" w:type="dxa"/>
            <w:right w:w="108" w:type="dxa"/>
          </w:tblCellMar>
        </w:tblPrEx>
        <w:tc>
          <w:tcPr>
            <w:tcW w:w="587" w:type="dxa"/>
            <w:shd w:val="clear" w:color="auto" w:fill="EEEEEE"/>
          </w:tcPr>
          <w:p w14:paraId="09448E25">
            <w:pPr>
              <w:spacing w:before="96" w:beforeLines="40" w:after="96" w:afterLines="40" w:line="24" w:lineRule="atLeast"/>
              <w:jc w:val="right"/>
              <w:rPr>
                <w:rFonts w:eastAsia="Cambria"/>
                <w:b/>
                <w:bCs/>
                <w:sz w:val="18"/>
                <w:szCs w:val="18"/>
                <w:lang w:val="en-GB" w:eastAsia="en-US"/>
              </w:rPr>
            </w:pPr>
          </w:p>
        </w:tc>
        <w:tc>
          <w:tcPr>
            <w:tcW w:w="1822" w:type="dxa"/>
            <w:shd w:val="clear" w:color="auto" w:fill="EEEEEE"/>
          </w:tcPr>
          <w:p w14:paraId="260DD299">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c)</w:t>
            </w:r>
          </w:p>
        </w:tc>
        <w:tc>
          <w:tcPr>
            <w:tcW w:w="7041" w:type="dxa"/>
            <w:shd w:val="clear" w:color="auto" w:fill="EEEEEE"/>
          </w:tcPr>
          <w:p w14:paraId="7B54F10C">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Describe measurement, quality control and selection of genetic variants</w:t>
            </w:r>
          </w:p>
        </w:tc>
        <w:tc>
          <w:tcPr>
            <w:tcW w:w="720" w:type="dxa"/>
            <w:shd w:val="clear" w:color="auto" w:fill="EEEEEE"/>
          </w:tcPr>
          <w:p w14:paraId="2CDB28F5">
            <w:pPr>
              <w:spacing w:before="96" w:beforeLines="40" w:after="96" w:afterLines="40" w:line="24" w:lineRule="atLeast"/>
              <w:rPr>
                <w:rFonts w:eastAsiaTheme="minorEastAsia"/>
                <w:sz w:val="18"/>
                <w:szCs w:val="18"/>
                <w:lang w:val="en-GB" w:eastAsia="zh-CN"/>
              </w:rPr>
            </w:pPr>
          </w:p>
        </w:tc>
        <w:tc>
          <w:tcPr>
            <w:tcW w:w="4320" w:type="dxa"/>
            <w:shd w:val="clear" w:color="auto" w:fill="EEEEEE"/>
          </w:tcPr>
          <w:p w14:paraId="26B556E6">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Our selection of qualified genetic instruments involved a thorough quality control process.</w:t>
            </w:r>
          </w:p>
        </w:tc>
      </w:tr>
      <w:tr w14:paraId="215DDE8E">
        <w:tblPrEx>
          <w:tblCellMar>
            <w:top w:w="0" w:type="dxa"/>
            <w:left w:w="108" w:type="dxa"/>
            <w:bottom w:w="0" w:type="dxa"/>
            <w:right w:w="108" w:type="dxa"/>
          </w:tblCellMar>
        </w:tblPrEx>
        <w:tc>
          <w:tcPr>
            <w:tcW w:w="587" w:type="dxa"/>
            <w:shd w:val="clear" w:color="auto" w:fill="auto"/>
          </w:tcPr>
          <w:p w14:paraId="7E3D460D">
            <w:pPr>
              <w:spacing w:before="96" w:beforeLines="40" w:after="96" w:afterLines="40" w:line="24" w:lineRule="atLeast"/>
              <w:jc w:val="right"/>
              <w:rPr>
                <w:rFonts w:eastAsia="Cambria"/>
                <w:b/>
                <w:bCs/>
                <w:sz w:val="18"/>
                <w:szCs w:val="18"/>
                <w:lang w:val="en-GB" w:eastAsia="en-US"/>
              </w:rPr>
            </w:pPr>
          </w:p>
        </w:tc>
        <w:tc>
          <w:tcPr>
            <w:tcW w:w="1822" w:type="dxa"/>
            <w:shd w:val="clear" w:color="auto" w:fill="auto"/>
          </w:tcPr>
          <w:p w14:paraId="0FB55ADC">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d)</w:t>
            </w:r>
          </w:p>
        </w:tc>
        <w:tc>
          <w:tcPr>
            <w:tcW w:w="7041" w:type="dxa"/>
            <w:shd w:val="clear" w:color="auto" w:fill="auto"/>
          </w:tcPr>
          <w:p w14:paraId="3B6B6065">
            <w:pPr>
              <w:spacing w:before="96" w:beforeLines="40" w:after="96" w:afterLines="40" w:line="24" w:lineRule="atLeast"/>
              <w:textAlignment w:val="baseline"/>
              <w:rPr>
                <w:rFonts w:eastAsia="Cambria"/>
                <w:sz w:val="18"/>
                <w:szCs w:val="18"/>
                <w:lang w:val="en-GB" w:eastAsia="en-US"/>
              </w:rPr>
            </w:pPr>
            <w:r>
              <w:rPr>
                <w:rFonts w:eastAsia="Times New Roman"/>
                <w:sz w:val="18"/>
                <w:szCs w:val="18"/>
                <w:shd w:val="clear" w:color="auto" w:fill="FFFFFF"/>
                <w:lang w:val="en-GB" w:eastAsia="en-GB"/>
              </w:rPr>
              <w:t>For each exposure, outcome, and other relevant variables, describe methods of assessment and diagnostic criteria for diseases</w:t>
            </w:r>
          </w:p>
        </w:tc>
        <w:tc>
          <w:tcPr>
            <w:tcW w:w="720" w:type="dxa"/>
          </w:tcPr>
          <w:p w14:paraId="37FB656C">
            <w:pPr>
              <w:spacing w:before="96" w:beforeLines="40" w:after="96" w:afterLines="40" w:line="24" w:lineRule="atLeast"/>
              <w:textAlignment w:val="baseline"/>
              <w:rPr>
                <w:rFonts w:eastAsiaTheme="minorEastAsia"/>
                <w:sz w:val="18"/>
                <w:szCs w:val="18"/>
                <w:shd w:val="clear" w:color="auto" w:fill="FFFFFF"/>
                <w:lang w:val="en-GB" w:eastAsia="zh-CN"/>
              </w:rPr>
            </w:pPr>
          </w:p>
        </w:tc>
        <w:tc>
          <w:tcPr>
            <w:tcW w:w="4320" w:type="dxa"/>
          </w:tcPr>
          <w:p w14:paraId="74B24739">
            <w:pPr>
              <w:spacing w:before="96" w:beforeLines="40" w:after="96" w:afterLines="40" w:line="24" w:lineRule="atLeast"/>
              <w:textAlignment w:val="baseline"/>
              <w:rPr>
                <w:rFonts w:eastAsia="Times New Roman"/>
                <w:sz w:val="18"/>
                <w:szCs w:val="18"/>
                <w:shd w:val="clear" w:color="auto" w:fill="FFFFFF"/>
                <w:lang w:val="en-GB" w:eastAsia="en-GB"/>
              </w:rPr>
            </w:pPr>
            <w:r>
              <w:rPr>
                <w:rFonts w:eastAsia="Times New Roman"/>
                <w:sz w:val="18"/>
                <w:szCs w:val="18"/>
                <w:shd w:val="clear" w:color="auto" w:fill="FFFFFF"/>
                <w:lang w:val="en-GB" w:eastAsia="en-GB"/>
              </w:rPr>
              <w:t>Cognitive decline can impair work capacity, social interactions, and daily living activities (Green, 1996). This is particularly concerning when cognitive deficits progress to clinically diagnosed dementia, such as Alzheimer's disease or vascular dementia.</w:t>
            </w:r>
          </w:p>
          <w:p w14:paraId="18BB4B57">
            <w:pPr>
              <w:spacing w:before="96" w:beforeLines="40" w:after="96" w:afterLines="40" w:line="24" w:lineRule="atLeast"/>
              <w:textAlignment w:val="baseline"/>
              <w:rPr>
                <w:rFonts w:eastAsia="Times New Roman"/>
                <w:sz w:val="18"/>
                <w:szCs w:val="18"/>
                <w:shd w:val="clear" w:color="auto" w:fill="FFFFFF"/>
                <w:lang w:val="en-GB" w:eastAsia="en-GB"/>
              </w:rPr>
            </w:pPr>
            <w:r>
              <w:rPr>
                <w:rFonts w:eastAsia="Times New Roman"/>
                <w:sz w:val="18"/>
                <w:szCs w:val="18"/>
                <w:shd w:val="clear" w:color="auto" w:fill="FFFFFF"/>
                <w:lang w:val="en-GB" w:eastAsia="en-GB"/>
              </w:rPr>
              <w:t>Conversely, insufficient physical activity, as defined by the World Health Organization's guidelines, is a risk factor for non-communicable diseases, including cognitive impairments. These guidelines recommend at least 150 minutes of moderate-intensity or 75 minutes of vigorous-intensity physical activity per week, or a comparable combination of both.</w:t>
            </w:r>
          </w:p>
        </w:tc>
      </w:tr>
      <w:tr w14:paraId="69A6C8B1">
        <w:tblPrEx>
          <w:tblCellMar>
            <w:top w:w="0" w:type="dxa"/>
            <w:left w:w="108" w:type="dxa"/>
            <w:bottom w:w="0" w:type="dxa"/>
            <w:right w:w="108" w:type="dxa"/>
          </w:tblCellMar>
        </w:tblPrEx>
        <w:tc>
          <w:tcPr>
            <w:tcW w:w="587" w:type="dxa"/>
            <w:shd w:val="clear" w:color="auto" w:fill="EEEEEE"/>
          </w:tcPr>
          <w:p w14:paraId="292FBB97">
            <w:pPr>
              <w:spacing w:before="96" w:beforeLines="40" w:after="96" w:afterLines="40" w:line="24" w:lineRule="atLeast"/>
              <w:jc w:val="right"/>
              <w:rPr>
                <w:rFonts w:eastAsia="Cambria"/>
                <w:b/>
                <w:bCs/>
                <w:sz w:val="18"/>
                <w:szCs w:val="18"/>
                <w:lang w:val="en-GB" w:eastAsia="en-US"/>
              </w:rPr>
            </w:pPr>
          </w:p>
        </w:tc>
        <w:tc>
          <w:tcPr>
            <w:tcW w:w="1822" w:type="dxa"/>
            <w:shd w:val="clear" w:color="auto" w:fill="EEEEEE"/>
          </w:tcPr>
          <w:p w14:paraId="273C46B4">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e)</w:t>
            </w:r>
          </w:p>
        </w:tc>
        <w:tc>
          <w:tcPr>
            <w:tcW w:w="7041" w:type="dxa"/>
            <w:shd w:val="clear" w:color="auto" w:fill="EEEEEE"/>
          </w:tcPr>
          <w:p w14:paraId="4E713FBB">
            <w:pPr>
              <w:spacing w:before="96" w:beforeLines="40" w:after="96" w:afterLines="40" w:line="24" w:lineRule="atLeast"/>
              <w:textAlignment w:val="baseline"/>
              <w:rPr>
                <w:rFonts w:eastAsia="Cambria"/>
                <w:sz w:val="18"/>
                <w:szCs w:val="18"/>
                <w:lang w:val="en-GB" w:eastAsia="en-US"/>
              </w:rPr>
            </w:pPr>
            <w:r>
              <w:rPr>
                <w:rFonts w:eastAsia="Times New Roman"/>
                <w:sz w:val="18"/>
                <w:szCs w:val="18"/>
                <w:lang w:val="en-GB" w:eastAsia="en-GB"/>
              </w:rPr>
              <w:t>Provide details of ethics committee approval and participant informed consent, if relevant</w:t>
            </w:r>
          </w:p>
        </w:tc>
        <w:tc>
          <w:tcPr>
            <w:tcW w:w="720" w:type="dxa"/>
            <w:shd w:val="clear" w:color="auto" w:fill="EEEEEE"/>
          </w:tcPr>
          <w:p w14:paraId="2754FA07">
            <w:pPr>
              <w:spacing w:before="96" w:beforeLines="40" w:after="96" w:afterLines="40" w:line="24" w:lineRule="atLeast"/>
              <w:textAlignment w:val="baseline"/>
              <w:rPr>
                <w:rFonts w:eastAsiaTheme="minorEastAsia"/>
                <w:sz w:val="18"/>
                <w:szCs w:val="18"/>
                <w:shd w:val="clear" w:color="auto" w:fill="FFFFFF"/>
                <w:lang w:val="en-GB" w:eastAsia="zh-CN"/>
              </w:rPr>
            </w:pPr>
          </w:p>
        </w:tc>
        <w:tc>
          <w:tcPr>
            <w:tcW w:w="4320" w:type="dxa"/>
            <w:shd w:val="clear" w:color="auto" w:fill="EEEEEE"/>
          </w:tcPr>
          <w:p w14:paraId="6067A95B">
            <w:pPr>
              <w:spacing w:before="96" w:beforeLines="40" w:after="96" w:afterLines="40" w:line="24" w:lineRule="atLeast"/>
              <w:textAlignment w:val="baseline"/>
              <w:rPr>
                <w:rFonts w:eastAsia="Times New Roman"/>
                <w:sz w:val="18"/>
                <w:szCs w:val="18"/>
                <w:shd w:val="clear" w:color="auto" w:fill="FFFFFF"/>
                <w:lang w:eastAsia="en-GB"/>
              </w:rPr>
            </w:pPr>
            <w:r>
              <w:rPr>
                <w:rFonts w:eastAsia="Times New Roman"/>
                <w:sz w:val="18"/>
                <w:szCs w:val="18"/>
                <w:lang w:val="en-GB" w:eastAsia="en-GB"/>
              </w:rPr>
              <w:t>Our MR analysis of the two samples utilized published Genome-Wide Association Study (GWAS) summary statistics and received ethical approval from the original study.</w:t>
            </w:r>
          </w:p>
        </w:tc>
      </w:tr>
      <w:tr w14:paraId="23EA53EC">
        <w:tblPrEx>
          <w:tblCellMar>
            <w:top w:w="0" w:type="dxa"/>
            <w:left w:w="108" w:type="dxa"/>
            <w:bottom w:w="0" w:type="dxa"/>
            <w:right w:w="108" w:type="dxa"/>
          </w:tblCellMar>
        </w:tblPrEx>
        <w:tc>
          <w:tcPr>
            <w:tcW w:w="587" w:type="dxa"/>
            <w:shd w:val="clear" w:color="auto" w:fill="auto"/>
          </w:tcPr>
          <w:p w14:paraId="3E6E0D63">
            <w:pPr>
              <w:spacing w:before="96" w:beforeLines="40" w:after="96" w:afterLines="40" w:line="24" w:lineRule="atLeast"/>
              <w:rPr>
                <w:rFonts w:eastAsia="Times New Roman"/>
                <w:b/>
                <w:bCs/>
                <w:sz w:val="18"/>
                <w:szCs w:val="18"/>
                <w:lang w:val="en-GB" w:eastAsia="en-GB"/>
              </w:rPr>
            </w:pPr>
            <w:r>
              <w:rPr>
                <w:rFonts w:eastAsia="Times New Roman"/>
                <w:sz w:val="18"/>
                <w:szCs w:val="18"/>
                <w:lang w:val="en-GB" w:eastAsia="en-GB"/>
              </w:rPr>
              <w:t>5</w:t>
            </w:r>
          </w:p>
        </w:tc>
        <w:tc>
          <w:tcPr>
            <w:tcW w:w="1822" w:type="dxa"/>
            <w:shd w:val="clear" w:color="auto" w:fill="auto"/>
          </w:tcPr>
          <w:p w14:paraId="1F0455B3">
            <w:pPr>
              <w:spacing w:before="96" w:beforeLines="40" w:after="96" w:afterLines="40" w:line="24" w:lineRule="atLeast"/>
              <w:rPr>
                <w:rFonts w:eastAsia="Times New Roman"/>
                <w:sz w:val="18"/>
                <w:szCs w:val="18"/>
                <w:lang w:val="en-GB" w:eastAsia="en-GB"/>
              </w:rPr>
            </w:pPr>
            <w:r>
              <w:rPr>
                <w:rFonts w:eastAsia="Times New Roman"/>
                <w:b/>
                <w:bCs/>
                <w:sz w:val="18"/>
                <w:szCs w:val="18"/>
                <w:lang w:val="en-GB" w:eastAsia="en-GB"/>
              </w:rPr>
              <w:t>Assumptions</w:t>
            </w:r>
          </w:p>
          <w:p w14:paraId="0458797D">
            <w:pPr>
              <w:spacing w:before="96" w:beforeLines="40" w:after="96" w:afterLines="40" w:line="24" w:lineRule="atLeast"/>
              <w:jc w:val="center"/>
              <w:rPr>
                <w:rFonts w:eastAsia="Cambria"/>
                <w:sz w:val="18"/>
                <w:szCs w:val="18"/>
                <w:lang w:val="en-GB" w:eastAsia="en-US"/>
              </w:rPr>
            </w:pPr>
          </w:p>
        </w:tc>
        <w:tc>
          <w:tcPr>
            <w:tcW w:w="7041" w:type="dxa"/>
            <w:shd w:val="clear" w:color="auto" w:fill="auto"/>
          </w:tcPr>
          <w:p w14:paraId="5139727F">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Explicitly state the three core IV assumptions for the main analysis (relevance, independence and exclusion restriction) as well assumptions for any additional or sensitivity analysis</w:t>
            </w:r>
          </w:p>
        </w:tc>
        <w:tc>
          <w:tcPr>
            <w:tcW w:w="720" w:type="dxa"/>
          </w:tcPr>
          <w:p w14:paraId="6A2AE76D">
            <w:pPr>
              <w:spacing w:before="96" w:beforeLines="40" w:after="96" w:afterLines="40" w:line="24" w:lineRule="atLeast"/>
              <w:rPr>
                <w:rFonts w:eastAsiaTheme="minorEastAsia"/>
                <w:sz w:val="18"/>
                <w:szCs w:val="18"/>
                <w:lang w:val="en-GB" w:eastAsia="zh-CN"/>
              </w:rPr>
            </w:pPr>
          </w:p>
        </w:tc>
        <w:tc>
          <w:tcPr>
            <w:tcW w:w="4320" w:type="dxa"/>
          </w:tcPr>
          <w:p w14:paraId="7A54DE1B">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Therefore, our research design is outlined as follows: (1) Identification of exposure-related SNPs under a genome-wide significance threshold; (2) Independence of the SNP from potential confounding factors; (3) Influence of the SNP on the outcome exclusively through exposure.</w:t>
            </w:r>
          </w:p>
        </w:tc>
      </w:tr>
      <w:tr w14:paraId="6209F8C8">
        <w:tblPrEx>
          <w:tblCellMar>
            <w:top w:w="0" w:type="dxa"/>
            <w:left w:w="108" w:type="dxa"/>
            <w:bottom w:w="0" w:type="dxa"/>
            <w:right w:w="108" w:type="dxa"/>
          </w:tblCellMar>
        </w:tblPrEx>
        <w:tc>
          <w:tcPr>
            <w:tcW w:w="587" w:type="dxa"/>
            <w:shd w:val="clear" w:color="auto" w:fill="EEEEEE"/>
          </w:tcPr>
          <w:p w14:paraId="6FA239C8">
            <w:pPr>
              <w:spacing w:before="96" w:beforeLines="40" w:after="96" w:afterLines="40" w:line="24" w:lineRule="atLeast"/>
              <w:rPr>
                <w:rFonts w:eastAsia="Times New Roman"/>
                <w:b/>
                <w:bCs/>
                <w:sz w:val="18"/>
                <w:szCs w:val="18"/>
                <w:lang w:val="en-GB" w:eastAsia="en-GB"/>
              </w:rPr>
            </w:pPr>
            <w:r>
              <w:rPr>
                <w:rFonts w:eastAsia="Times New Roman"/>
                <w:sz w:val="18"/>
                <w:szCs w:val="18"/>
                <w:lang w:val="en-GB" w:eastAsia="en-GB"/>
              </w:rPr>
              <w:t>6</w:t>
            </w:r>
          </w:p>
        </w:tc>
        <w:tc>
          <w:tcPr>
            <w:tcW w:w="1822" w:type="dxa"/>
            <w:shd w:val="clear" w:color="auto" w:fill="EEEEEE"/>
          </w:tcPr>
          <w:p w14:paraId="3D8F9E93">
            <w:pPr>
              <w:spacing w:before="96" w:beforeLines="40" w:after="96" w:afterLines="40" w:line="24" w:lineRule="atLeast"/>
              <w:rPr>
                <w:rFonts w:eastAsia="Cambria"/>
                <w:sz w:val="18"/>
                <w:szCs w:val="18"/>
                <w:lang w:val="en-GB" w:eastAsia="en-US"/>
              </w:rPr>
            </w:pPr>
            <w:r>
              <w:rPr>
                <w:rFonts w:eastAsia="Times New Roman"/>
                <w:b/>
                <w:bCs/>
                <w:sz w:val="18"/>
                <w:szCs w:val="18"/>
                <w:lang w:val="en-GB" w:eastAsia="en-GB"/>
              </w:rPr>
              <w:t>Statistical methods: main analysis</w:t>
            </w:r>
          </w:p>
        </w:tc>
        <w:tc>
          <w:tcPr>
            <w:tcW w:w="7041" w:type="dxa"/>
            <w:shd w:val="clear" w:color="auto" w:fill="EEEEEE"/>
          </w:tcPr>
          <w:p w14:paraId="49C33D0D">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Describe statistical methods and statistics used</w:t>
            </w:r>
          </w:p>
        </w:tc>
        <w:tc>
          <w:tcPr>
            <w:tcW w:w="720" w:type="dxa"/>
            <w:shd w:val="clear" w:color="auto" w:fill="EEEEEE"/>
          </w:tcPr>
          <w:p w14:paraId="0D1191BA">
            <w:pPr>
              <w:spacing w:before="96" w:beforeLines="40" w:after="96" w:afterLines="40" w:line="24" w:lineRule="atLeast"/>
              <w:rPr>
                <w:rFonts w:eastAsia="Times New Roman"/>
                <w:sz w:val="18"/>
                <w:szCs w:val="18"/>
                <w:lang w:val="en-GB" w:eastAsia="en-GB"/>
              </w:rPr>
            </w:pPr>
          </w:p>
        </w:tc>
        <w:tc>
          <w:tcPr>
            <w:tcW w:w="4320" w:type="dxa"/>
            <w:shd w:val="clear" w:color="auto" w:fill="EEEEEE"/>
          </w:tcPr>
          <w:p w14:paraId="75DF0C4B">
            <w:pPr>
              <w:spacing w:before="96" w:beforeLines="40" w:after="96" w:afterLines="40" w:line="24" w:lineRule="atLeast"/>
              <w:rPr>
                <w:rFonts w:eastAsia="Times New Roman"/>
                <w:sz w:val="18"/>
                <w:szCs w:val="18"/>
                <w:lang w:val="en-GB" w:eastAsia="en-GB"/>
              </w:rPr>
            </w:pPr>
          </w:p>
        </w:tc>
      </w:tr>
      <w:tr w14:paraId="4346E621">
        <w:tblPrEx>
          <w:tblCellMar>
            <w:top w:w="0" w:type="dxa"/>
            <w:left w:w="108" w:type="dxa"/>
            <w:bottom w:w="0" w:type="dxa"/>
            <w:right w:w="108" w:type="dxa"/>
          </w:tblCellMar>
        </w:tblPrEx>
        <w:tc>
          <w:tcPr>
            <w:tcW w:w="587" w:type="dxa"/>
            <w:shd w:val="clear" w:color="auto" w:fill="auto"/>
          </w:tcPr>
          <w:p w14:paraId="339A016D">
            <w:pPr>
              <w:spacing w:before="96" w:beforeLines="40" w:after="96" w:afterLines="40" w:line="24" w:lineRule="atLeast"/>
              <w:jc w:val="right"/>
              <w:rPr>
                <w:rFonts w:eastAsia="Cambria"/>
                <w:b/>
                <w:bCs/>
                <w:sz w:val="18"/>
                <w:szCs w:val="18"/>
                <w:lang w:val="en-GB" w:eastAsia="en-US"/>
              </w:rPr>
            </w:pPr>
          </w:p>
        </w:tc>
        <w:tc>
          <w:tcPr>
            <w:tcW w:w="1822" w:type="dxa"/>
            <w:shd w:val="clear" w:color="auto" w:fill="auto"/>
          </w:tcPr>
          <w:p w14:paraId="3635743C">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a)</w:t>
            </w:r>
          </w:p>
        </w:tc>
        <w:tc>
          <w:tcPr>
            <w:tcW w:w="7041" w:type="dxa"/>
            <w:shd w:val="clear" w:color="auto" w:fill="auto"/>
          </w:tcPr>
          <w:p w14:paraId="3BB90022">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Describe how quantitative variables were handled in the analyses (i.e., scale, units, model)</w:t>
            </w:r>
          </w:p>
        </w:tc>
        <w:tc>
          <w:tcPr>
            <w:tcW w:w="720" w:type="dxa"/>
          </w:tcPr>
          <w:p w14:paraId="22720A53">
            <w:pPr>
              <w:spacing w:before="96" w:beforeLines="40" w:after="96" w:afterLines="40" w:line="24" w:lineRule="atLeast"/>
              <w:rPr>
                <w:rFonts w:eastAsiaTheme="minorEastAsia"/>
                <w:sz w:val="18"/>
                <w:szCs w:val="18"/>
                <w:lang w:val="en-GB" w:eastAsia="zh-CN"/>
              </w:rPr>
            </w:pPr>
          </w:p>
        </w:tc>
        <w:tc>
          <w:tcPr>
            <w:tcW w:w="4320" w:type="dxa"/>
          </w:tcPr>
          <w:p w14:paraId="76159846">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Initially, we included SNPs closely related to exposure factors at a significance threshold of 10-8. We then employed an R2&lt;0.001 and a window size of 10,000 kb for clustering.</w:t>
            </w:r>
          </w:p>
        </w:tc>
      </w:tr>
      <w:tr w14:paraId="642A4D4B">
        <w:tblPrEx>
          <w:tblCellMar>
            <w:top w:w="0" w:type="dxa"/>
            <w:left w:w="108" w:type="dxa"/>
            <w:bottom w:w="0" w:type="dxa"/>
            <w:right w:w="108" w:type="dxa"/>
          </w:tblCellMar>
        </w:tblPrEx>
        <w:tc>
          <w:tcPr>
            <w:tcW w:w="587" w:type="dxa"/>
            <w:shd w:val="clear" w:color="auto" w:fill="EEEEEE"/>
          </w:tcPr>
          <w:p w14:paraId="11F7484C">
            <w:pPr>
              <w:spacing w:before="96" w:beforeLines="40" w:after="96" w:afterLines="40" w:line="24" w:lineRule="atLeast"/>
              <w:jc w:val="right"/>
              <w:rPr>
                <w:rFonts w:eastAsia="Cambria"/>
                <w:b/>
                <w:bCs/>
                <w:sz w:val="18"/>
                <w:szCs w:val="18"/>
                <w:lang w:val="en-GB" w:eastAsia="en-US"/>
              </w:rPr>
            </w:pPr>
          </w:p>
        </w:tc>
        <w:tc>
          <w:tcPr>
            <w:tcW w:w="1822" w:type="dxa"/>
            <w:shd w:val="clear" w:color="auto" w:fill="EEEEEE"/>
          </w:tcPr>
          <w:p w14:paraId="569D49F3">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b)</w:t>
            </w:r>
          </w:p>
        </w:tc>
        <w:tc>
          <w:tcPr>
            <w:tcW w:w="7041" w:type="dxa"/>
            <w:shd w:val="clear" w:color="auto" w:fill="EEEEEE"/>
          </w:tcPr>
          <w:p w14:paraId="6B2ACDE9">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Describe how genetic variants were handled in the analyses and, if applicable, how their weights were selected</w:t>
            </w:r>
          </w:p>
        </w:tc>
        <w:tc>
          <w:tcPr>
            <w:tcW w:w="720" w:type="dxa"/>
            <w:shd w:val="clear" w:color="auto" w:fill="EEEEEE"/>
          </w:tcPr>
          <w:p w14:paraId="0DAE64B0">
            <w:pPr>
              <w:spacing w:before="96" w:beforeLines="40" w:after="96" w:afterLines="40" w:line="24" w:lineRule="atLeast"/>
              <w:rPr>
                <w:rFonts w:eastAsiaTheme="minorEastAsia"/>
                <w:sz w:val="18"/>
                <w:szCs w:val="18"/>
                <w:lang w:val="en-GB" w:eastAsia="zh-CN"/>
              </w:rPr>
            </w:pPr>
          </w:p>
        </w:tc>
        <w:tc>
          <w:tcPr>
            <w:tcW w:w="4320" w:type="dxa"/>
            <w:shd w:val="clear" w:color="auto" w:fill="EEEEEE"/>
          </w:tcPr>
          <w:p w14:paraId="1612F89F">
            <w:pPr>
              <w:spacing w:before="96" w:beforeLines="40" w:after="96" w:afterLines="40" w:line="24" w:lineRule="atLeast"/>
              <w:rPr>
                <w:rFonts w:eastAsia="Times New Roman"/>
                <w:sz w:val="18"/>
                <w:szCs w:val="18"/>
                <w:lang w:val="en-GB" w:eastAsia="en-GB"/>
              </w:rPr>
            </w:pPr>
          </w:p>
        </w:tc>
      </w:tr>
      <w:tr w14:paraId="70378831">
        <w:tblPrEx>
          <w:tblCellMar>
            <w:top w:w="0" w:type="dxa"/>
            <w:left w:w="108" w:type="dxa"/>
            <w:bottom w:w="0" w:type="dxa"/>
            <w:right w:w="108" w:type="dxa"/>
          </w:tblCellMar>
        </w:tblPrEx>
        <w:tc>
          <w:tcPr>
            <w:tcW w:w="587" w:type="dxa"/>
            <w:shd w:val="clear" w:color="auto" w:fill="auto"/>
          </w:tcPr>
          <w:p w14:paraId="45E41495">
            <w:pPr>
              <w:spacing w:before="96" w:beforeLines="40" w:after="96" w:afterLines="40" w:line="24" w:lineRule="atLeast"/>
              <w:jc w:val="right"/>
              <w:rPr>
                <w:rFonts w:eastAsia="Cambria"/>
                <w:b/>
                <w:bCs/>
                <w:sz w:val="18"/>
                <w:szCs w:val="18"/>
                <w:lang w:val="en-GB" w:eastAsia="en-US"/>
              </w:rPr>
            </w:pPr>
          </w:p>
        </w:tc>
        <w:tc>
          <w:tcPr>
            <w:tcW w:w="1822" w:type="dxa"/>
            <w:shd w:val="clear" w:color="auto" w:fill="auto"/>
          </w:tcPr>
          <w:p w14:paraId="59F665E7">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c)</w:t>
            </w:r>
          </w:p>
        </w:tc>
        <w:tc>
          <w:tcPr>
            <w:tcW w:w="7041" w:type="dxa"/>
            <w:shd w:val="clear" w:color="auto" w:fill="auto"/>
          </w:tcPr>
          <w:p w14:paraId="5CB03D96">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Describe the MR estimator (e.g. two-stage least squares, Wald ratio) and related statistics. Detail the included covariates and, in case of two-sample MR, whether the same covariate set was used for adjustment in the two samples</w:t>
            </w:r>
          </w:p>
        </w:tc>
        <w:tc>
          <w:tcPr>
            <w:tcW w:w="720" w:type="dxa"/>
          </w:tcPr>
          <w:p w14:paraId="7B7E7C35">
            <w:pPr>
              <w:spacing w:before="96" w:beforeLines="40" w:after="96" w:afterLines="40" w:line="24" w:lineRule="atLeast"/>
              <w:rPr>
                <w:rFonts w:eastAsiaTheme="minorEastAsia"/>
                <w:sz w:val="18"/>
                <w:szCs w:val="18"/>
                <w:lang w:val="en-GB" w:eastAsia="zh-CN"/>
              </w:rPr>
            </w:pPr>
          </w:p>
        </w:tc>
        <w:tc>
          <w:tcPr>
            <w:tcW w:w="4320" w:type="dxa"/>
          </w:tcPr>
          <w:p w14:paraId="334D44EB">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Finally, we aligned exposure and outcome data to exclude palindromic SNPs and ensure that the effective allele was consistent across both datasets (Hartwig et al., 2016).</w:t>
            </w:r>
          </w:p>
        </w:tc>
      </w:tr>
      <w:tr w14:paraId="0D8F3A7E">
        <w:tblPrEx>
          <w:tblCellMar>
            <w:top w:w="0" w:type="dxa"/>
            <w:left w:w="108" w:type="dxa"/>
            <w:bottom w:w="0" w:type="dxa"/>
            <w:right w:w="108" w:type="dxa"/>
          </w:tblCellMar>
        </w:tblPrEx>
        <w:tc>
          <w:tcPr>
            <w:tcW w:w="587" w:type="dxa"/>
            <w:shd w:val="clear" w:color="auto" w:fill="EEEEEE"/>
          </w:tcPr>
          <w:p w14:paraId="1D70C4CD">
            <w:pPr>
              <w:spacing w:before="96" w:beforeLines="40" w:after="96" w:afterLines="40" w:line="24" w:lineRule="atLeast"/>
              <w:jc w:val="right"/>
              <w:rPr>
                <w:rFonts w:eastAsia="Cambria"/>
                <w:b/>
                <w:bCs/>
                <w:sz w:val="18"/>
                <w:szCs w:val="18"/>
                <w:lang w:val="en-GB" w:eastAsia="en-US"/>
              </w:rPr>
            </w:pPr>
          </w:p>
        </w:tc>
        <w:tc>
          <w:tcPr>
            <w:tcW w:w="1822" w:type="dxa"/>
            <w:shd w:val="clear" w:color="auto" w:fill="EEEEEE"/>
          </w:tcPr>
          <w:p w14:paraId="0A3AAFD6">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d)</w:t>
            </w:r>
          </w:p>
        </w:tc>
        <w:tc>
          <w:tcPr>
            <w:tcW w:w="7041" w:type="dxa"/>
            <w:shd w:val="clear" w:color="auto" w:fill="EEEEEE"/>
          </w:tcPr>
          <w:p w14:paraId="08786389">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Explain how missing data were addressed</w:t>
            </w:r>
          </w:p>
        </w:tc>
        <w:tc>
          <w:tcPr>
            <w:tcW w:w="720" w:type="dxa"/>
            <w:shd w:val="clear" w:color="auto" w:fill="EEEEEE"/>
          </w:tcPr>
          <w:p w14:paraId="297C3632">
            <w:pPr>
              <w:spacing w:before="96" w:beforeLines="40" w:after="96" w:afterLines="40" w:line="24" w:lineRule="atLeast"/>
              <w:rPr>
                <w:rFonts w:eastAsiaTheme="minorEastAsia"/>
                <w:sz w:val="18"/>
                <w:szCs w:val="18"/>
                <w:lang w:val="en-GB" w:eastAsia="zh-CN"/>
              </w:rPr>
            </w:pPr>
          </w:p>
        </w:tc>
        <w:tc>
          <w:tcPr>
            <w:tcW w:w="4320" w:type="dxa"/>
            <w:shd w:val="clear" w:color="auto" w:fill="EEEEEE"/>
          </w:tcPr>
          <w:p w14:paraId="16808665">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In cases where the target SNP was unavailable in the result dataset, a proxy SNP with an R2&gt;0.8 was used as a substitute.</w:t>
            </w:r>
          </w:p>
        </w:tc>
      </w:tr>
      <w:tr w14:paraId="77F037B8">
        <w:tblPrEx>
          <w:tblCellMar>
            <w:top w:w="0" w:type="dxa"/>
            <w:left w:w="108" w:type="dxa"/>
            <w:bottom w:w="0" w:type="dxa"/>
            <w:right w:w="108" w:type="dxa"/>
          </w:tblCellMar>
        </w:tblPrEx>
        <w:tc>
          <w:tcPr>
            <w:tcW w:w="587" w:type="dxa"/>
            <w:shd w:val="clear" w:color="auto" w:fill="auto"/>
          </w:tcPr>
          <w:p w14:paraId="4AC39E55">
            <w:pPr>
              <w:spacing w:before="96" w:beforeLines="40" w:after="96" w:afterLines="40" w:line="24" w:lineRule="atLeast"/>
              <w:jc w:val="right"/>
              <w:rPr>
                <w:rFonts w:eastAsia="Cambria"/>
                <w:b/>
                <w:bCs/>
                <w:sz w:val="18"/>
                <w:szCs w:val="18"/>
                <w:lang w:val="en-GB" w:eastAsia="en-US"/>
              </w:rPr>
            </w:pPr>
          </w:p>
        </w:tc>
        <w:tc>
          <w:tcPr>
            <w:tcW w:w="1822" w:type="dxa"/>
            <w:shd w:val="clear" w:color="auto" w:fill="auto"/>
          </w:tcPr>
          <w:p w14:paraId="4D9E0350">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e)</w:t>
            </w:r>
          </w:p>
        </w:tc>
        <w:tc>
          <w:tcPr>
            <w:tcW w:w="7041" w:type="dxa"/>
            <w:shd w:val="clear" w:color="auto" w:fill="auto"/>
          </w:tcPr>
          <w:p w14:paraId="41F1E523">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If applicable, indicate how multiple testing was addressed</w:t>
            </w:r>
          </w:p>
        </w:tc>
        <w:tc>
          <w:tcPr>
            <w:tcW w:w="720" w:type="dxa"/>
          </w:tcPr>
          <w:p w14:paraId="6B5C4982">
            <w:pPr>
              <w:spacing w:before="96" w:beforeLines="40" w:after="96" w:afterLines="40" w:line="24" w:lineRule="atLeast"/>
              <w:rPr>
                <w:rFonts w:eastAsiaTheme="minorEastAsia"/>
                <w:sz w:val="18"/>
                <w:szCs w:val="18"/>
                <w:lang w:val="en-GB" w:eastAsia="zh-CN"/>
              </w:rPr>
            </w:pPr>
          </w:p>
        </w:tc>
        <w:tc>
          <w:tcPr>
            <w:tcW w:w="4320" w:type="dxa"/>
          </w:tcPr>
          <w:p w14:paraId="490E44D4">
            <w:pPr>
              <w:spacing w:before="96" w:beforeLines="40" w:after="96" w:afterLines="40" w:line="24" w:lineRule="atLeast"/>
              <w:rPr>
                <w:rFonts w:eastAsia="Times New Roman"/>
                <w:sz w:val="18"/>
                <w:szCs w:val="18"/>
                <w:lang w:val="en-GB" w:eastAsia="en-GB"/>
              </w:rPr>
            </w:pPr>
          </w:p>
        </w:tc>
      </w:tr>
      <w:tr w14:paraId="585043CE">
        <w:tblPrEx>
          <w:tblCellMar>
            <w:top w:w="0" w:type="dxa"/>
            <w:left w:w="108" w:type="dxa"/>
            <w:bottom w:w="0" w:type="dxa"/>
            <w:right w:w="108" w:type="dxa"/>
          </w:tblCellMar>
        </w:tblPrEx>
        <w:tc>
          <w:tcPr>
            <w:tcW w:w="587" w:type="dxa"/>
            <w:shd w:val="clear" w:color="auto" w:fill="EEEEEE"/>
          </w:tcPr>
          <w:p w14:paraId="55967D09">
            <w:pPr>
              <w:spacing w:before="96" w:beforeLines="40" w:after="96" w:afterLines="40" w:line="24" w:lineRule="atLeast"/>
              <w:rPr>
                <w:rFonts w:eastAsia="Times New Roman"/>
                <w:b/>
                <w:bCs/>
                <w:sz w:val="18"/>
                <w:szCs w:val="18"/>
                <w:lang w:val="en-GB" w:eastAsia="en-GB"/>
              </w:rPr>
            </w:pPr>
            <w:r>
              <w:rPr>
                <w:rFonts w:eastAsia="Times New Roman"/>
                <w:sz w:val="18"/>
                <w:szCs w:val="18"/>
                <w:lang w:val="en-GB" w:eastAsia="en-GB"/>
              </w:rPr>
              <w:t>7</w:t>
            </w:r>
          </w:p>
        </w:tc>
        <w:tc>
          <w:tcPr>
            <w:tcW w:w="1822" w:type="dxa"/>
            <w:shd w:val="clear" w:color="auto" w:fill="EEEEEE"/>
          </w:tcPr>
          <w:p w14:paraId="0947B164">
            <w:pPr>
              <w:spacing w:before="96" w:beforeLines="40" w:after="96" w:afterLines="40" w:line="24" w:lineRule="atLeast"/>
              <w:rPr>
                <w:rFonts w:eastAsia="Cambria"/>
                <w:sz w:val="18"/>
                <w:szCs w:val="18"/>
                <w:lang w:val="en-GB" w:eastAsia="en-US"/>
              </w:rPr>
            </w:pPr>
            <w:r>
              <w:rPr>
                <w:rFonts w:eastAsia="Times New Roman"/>
                <w:b/>
                <w:bCs/>
                <w:sz w:val="18"/>
                <w:szCs w:val="18"/>
                <w:lang w:val="en-GB" w:eastAsia="en-GB"/>
              </w:rPr>
              <w:t>Assessment of assumptions</w:t>
            </w:r>
          </w:p>
        </w:tc>
        <w:tc>
          <w:tcPr>
            <w:tcW w:w="7041" w:type="dxa"/>
            <w:shd w:val="clear" w:color="auto" w:fill="EEEEEE"/>
          </w:tcPr>
          <w:p w14:paraId="1E6D0B1E">
            <w:pPr>
              <w:tabs>
                <w:tab w:val="left" w:pos="1620"/>
              </w:tabs>
              <w:spacing w:before="96" w:beforeLines="40" w:after="96" w:afterLines="40" w:line="24" w:lineRule="atLeast"/>
              <w:rPr>
                <w:rFonts w:eastAsia="Cambria"/>
                <w:sz w:val="18"/>
                <w:szCs w:val="18"/>
                <w:lang w:val="en-GB" w:eastAsia="en-US"/>
              </w:rPr>
            </w:pPr>
            <w:r>
              <w:rPr>
                <w:rFonts w:eastAsia="Times New Roman"/>
                <w:sz w:val="18"/>
                <w:szCs w:val="18"/>
                <w:lang w:val="en-GB" w:eastAsia="en-GB"/>
              </w:rPr>
              <w:t>Describe any methods or prior knowledge used to assess the assumptions or justify their validity</w:t>
            </w:r>
            <w:r>
              <w:rPr>
                <w:rFonts w:eastAsia="Cambria"/>
                <w:sz w:val="18"/>
                <w:szCs w:val="18"/>
                <w:lang w:val="en-GB" w:eastAsia="en-US"/>
              </w:rPr>
              <w:tab/>
            </w:r>
          </w:p>
        </w:tc>
        <w:tc>
          <w:tcPr>
            <w:tcW w:w="720" w:type="dxa"/>
            <w:shd w:val="clear" w:color="auto" w:fill="EEEEEE"/>
          </w:tcPr>
          <w:p w14:paraId="61C50F74">
            <w:pPr>
              <w:tabs>
                <w:tab w:val="left" w:pos="1620"/>
              </w:tabs>
              <w:spacing w:before="96" w:beforeLines="40" w:after="96" w:afterLines="40" w:line="24" w:lineRule="atLeast"/>
              <w:rPr>
                <w:rFonts w:eastAsiaTheme="minorEastAsia"/>
                <w:sz w:val="18"/>
                <w:szCs w:val="18"/>
                <w:lang w:val="en-GB" w:eastAsia="zh-CN"/>
              </w:rPr>
            </w:pPr>
          </w:p>
        </w:tc>
        <w:tc>
          <w:tcPr>
            <w:tcW w:w="4320" w:type="dxa"/>
            <w:shd w:val="clear" w:color="auto" w:fill="EEEEEE"/>
          </w:tcPr>
          <w:p w14:paraId="1C3A0117">
            <w:pPr>
              <w:tabs>
                <w:tab w:val="left" w:pos="1620"/>
              </w:tabs>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Our primary method for MR was the IVW regression.</w:t>
            </w:r>
          </w:p>
          <w:p w14:paraId="5D46DB2B">
            <w:pPr>
              <w:tabs>
                <w:tab w:val="left" w:pos="1620"/>
              </w:tabs>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Additionally, we employed complementary methods, including MR Egger regression, the weighted median, the simple model, and the weighted model, to assess the causal impact of exposure on outcomes.</w:t>
            </w:r>
          </w:p>
        </w:tc>
      </w:tr>
      <w:tr w14:paraId="383932D9">
        <w:tblPrEx>
          <w:tblCellMar>
            <w:top w:w="0" w:type="dxa"/>
            <w:left w:w="108" w:type="dxa"/>
            <w:bottom w:w="0" w:type="dxa"/>
            <w:right w:w="108" w:type="dxa"/>
          </w:tblCellMar>
        </w:tblPrEx>
        <w:tc>
          <w:tcPr>
            <w:tcW w:w="587" w:type="dxa"/>
            <w:shd w:val="clear" w:color="auto" w:fill="auto"/>
          </w:tcPr>
          <w:p w14:paraId="1A4621BC">
            <w:pPr>
              <w:spacing w:before="96" w:beforeLines="40" w:after="96" w:afterLines="40" w:line="24" w:lineRule="atLeast"/>
              <w:rPr>
                <w:rFonts w:eastAsia="Times New Roman"/>
                <w:b/>
                <w:bCs/>
                <w:sz w:val="18"/>
                <w:szCs w:val="18"/>
                <w:lang w:val="en-GB" w:eastAsia="en-GB"/>
              </w:rPr>
            </w:pPr>
            <w:r>
              <w:rPr>
                <w:rFonts w:eastAsia="Times New Roman"/>
                <w:sz w:val="18"/>
                <w:szCs w:val="18"/>
                <w:lang w:val="en-GB" w:eastAsia="en-GB"/>
              </w:rPr>
              <w:t>8</w:t>
            </w:r>
          </w:p>
        </w:tc>
        <w:tc>
          <w:tcPr>
            <w:tcW w:w="1822" w:type="dxa"/>
            <w:shd w:val="clear" w:color="auto" w:fill="auto"/>
          </w:tcPr>
          <w:p w14:paraId="0F88F25B">
            <w:pPr>
              <w:spacing w:before="96" w:beforeLines="40" w:after="96" w:afterLines="40" w:line="24" w:lineRule="atLeast"/>
              <w:rPr>
                <w:rFonts w:eastAsia="Cambria"/>
                <w:sz w:val="18"/>
                <w:szCs w:val="18"/>
                <w:lang w:val="en-GB" w:eastAsia="en-US"/>
              </w:rPr>
            </w:pPr>
            <w:r>
              <w:rPr>
                <w:rFonts w:eastAsia="Times New Roman"/>
                <w:b/>
                <w:bCs/>
                <w:sz w:val="18"/>
                <w:szCs w:val="18"/>
                <w:lang w:val="en-GB" w:eastAsia="en-GB"/>
              </w:rPr>
              <w:t>Sensitivity analyses and additional analyses</w:t>
            </w:r>
          </w:p>
        </w:tc>
        <w:tc>
          <w:tcPr>
            <w:tcW w:w="7041" w:type="dxa"/>
            <w:shd w:val="clear" w:color="auto" w:fill="auto"/>
          </w:tcPr>
          <w:p w14:paraId="13C6445C">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Describe any sensitivity analyses or additional analyses performed (e.g. comparison of effect estimates from different approaches, independent replication, bias analytic techniques, validation of instruments, simulations)</w:t>
            </w:r>
          </w:p>
        </w:tc>
        <w:tc>
          <w:tcPr>
            <w:tcW w:w="720" w:type="dxa"/>
          </w:tcPr>
          <w:p w14:paraId="4B9B6FF5">
            <w:pPr>
              <w:spacing w:before="96" w:beforeLines="40" w:after="96" w:afterLines="40" w:line="24" w:lineRule="atLeast"/>
              <w:rPr>
                <w:rFonts w:eastAsiaTheme="minorEastAsia"/>
                <w:sz w:val="18"/>
                <w:szCs w:val="18"/>
                <w:lang w:val="en-GB" w:eastAsia="zh-CN"/>
              </w:rPr>
            </w:pPr>
          </w:p>
        </w:tc>
        <w:tc>
          <w:tcPr>
            <w:tcW w:w="4320" w:type="dxa"/>
          </w:tcPr>
          <w:p w14:paraId="229BFDFD">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We performed a series of sensitivity analyses to evaluate the robustness and validity of our causal estimates.</w:t>
            </w:r>
          </w:p>
        </w:tc>
      </w:tr>
      <w:tr w14:paraId="55C7A410">
        <w:tblPrEx>
          <w:tblCellMar>
            <w:top w:w="0" w:type="dxa"/>
            <w:left w:w="108" w:type="dxa"/>
            <w:bottom w:w="0" w:type="dxa"/>
            <w:right w:w="108" w:type="dxa"/>
          </w:tblCellMar>
        </w:tblPrEx>
        <w:tc>
          <w:tcPr>
            <w:tcW w:w="587" w:type="dxa"/>
            <w:shd w:val="clear" w:color="auto" w:fill="EEEEEE"/>
          </w:tcPr>
          <w:p w14:paraId="056075DE">
            <w:pPr>
              <w:spacing w:before="96" w:beforeLines="40" w:after="96" w:afterLines="40" w:line="24" w:lineRule="atLeast"/>
              <w:rPr>
                <w:rFonts w:eastAsia="Times New Roman"/>
                <w:b/>
                <w:bCs/>
                <w:sz w:val="18"/>
                <w:szCs w:val="18"/>
                <w:lang w:val="en-GB" w:eastAsia="en-GB"/>
              </w:rPr>
            </w:pPr>
            <w:r>
              <w:rPr>
                <w:rFonts w:eastAsia="Times New Roman"/>
                <w:sz w:val="18"/>
                <w:szCs w:val="18"/>
                <w:lang w:val="en-GB" w:eastAsia="en-GB"/>
              </w:rPr>
              <w:t>9</w:t>
            </w:r>
          </w:p>
        </w:tc>
        <w:tc>
          <w:tcPr>
            <w:tcW w:w="1822" w:type="dxa"/>
            <w:shd w:val="clear" w:color="auto" w:fill="EEEEEE"/>
          </w:tcPr>
          <w:p w14:paraId="6096809E">
            <w:pPr>
              <w:spacing w:before="96" w:beforeLines="40" w:after="96" w:afterLines="40" w:line="24" w:lineRule="atLeast"/>
              <w:rPr>
                <w:rFonts w:eastAsia="Cambria"/>
                <w:sz w:val="18"/>
                <w:szCs w:val="18"/>
                <w:lang w:val="en-GB" w:eastAsia="en-US"/>
              </w:rPr>
            </w:pPr>
            <w:r>
              <w:rPr>
                <w:rFonts w:eastAsia="Times New Roman"/>
                <w:b/>
                <w:bCs/>
                <w:sz w:val="18"/>
                <w:szCs w:val="18"/>
                <w:lang w:val="en-GB" w:eastAsia="en-GB"/>
              </w:rPr>
              <w:t>Software and pre-registration</w:t>
            </w:r>
          </w:p>
        </w:tc>
        <w:tc>
          <w:tcPr>
            <w:tcW w:w="7041" w:type="dxa"/>
            <w:shd w:val="clear" w:color="auto" w:fill="EEEEEE"/>
          </w:tcPr>
          <w:p w14:paraId="08D1055E">
            <w:pPr>
              <w:spacing w:before="96" w:beforeLines="40" w:after="96" w:afterLines="40" w:line="24" w:lineRule="atLeast"/>
              <w:rPr>
                <w:rFonts w:eastAsia="Cambria"/>
                <w:sz w:val="18"/>
                <w:szCs w:val="18"/>
                <w:lang w:val="en-GB" w:eastAsia="en-US"/>
              </w:rPr>
            </w:pPr>
          </w:p>
        </w:tc>
        <w:tc>
          <w:tcPr>
            <w:tcW w:w="720" w:type="dxa"/>
            <w:shd w:val="clear" w:color="auto" w:fill="EEEEEE"/>
          </w:tcPr>
          <w:p w14:paraId="721E714E">
            <w:pPr>
              <w:spacing w:before="96" w:beforeLines="40" w:after="96" w:afterLines="40" w:line="24" w:lineRule="atLeast"/>
              <w:rPr>
                <w:rFonts w:eastAsiaTheme="minorEastAsia"/>
                <w:sz w:val="18"/>
                <w:szCs w:val="18"/>
                <w:lang w:val="en-GB" w:eastAsia="zh-CN"/>
              </w:rPr>
            </w:pPr>
          </w:p>
        </w:tc>
        <w:tc>
          <w:tcPr>
            <w:tcW w:w="4320" w:type="dxa"/>
            <w:shd w:val="clear" w:color="auto" w:fill="EEEEEE"/>
          </w:tcPr>
          <w:p w14:paraId="495710C0">
            <w:pPr>
              <w:spacing w:before="96" w:beforeLines="40" w:after="96" w:afterLines="40" w:line="24" w:lineRule="atLeast"/>
              <w:rPr>
                <w:rFonts w:eastAsia="Cambria"/>
                <w:sz w:val="18"/>
                <w:szCs w:val="18"/>
                <w:lang w:val="en-GB" w:eastAsia="en-US"/>
              </w:rPr>
            </w:pPr>
          </w:p>
        </w:tc>
      </w:tr>
      <w:tr w14:paraId="5EA9EBD1">
        <w:tblPrEx>
          <w:tblCellMar>
            <w:top w:w="0" w:type="dxa"/>
            <w:left w:w="108" w:type="dxa"/>
            <w:bottom w:w="0" w:type="dxa"/>
            <w:right w:w="108" w:type="dxa"/>
          </w:tblCellMar>
        </w:tblPrEx>
        <w:tc>
          <w:tcPr>
            <w:tcW w:w="587" w:type="dxa"/>
            <w:shd w:val="clear" w:color="auto" w:fill="auto"/>
          </w:tcPr>
          <w:p w14:paraId="66EDED80">
            <w:pPr>
              <w:spacing w:before="96" w:beforeLines="40" w:after="96" w:afterLines="40" w:line="24" w:lineRule="atLeast"/>
              <w:jc w:val="right"/>
              <w:rPr>
                <w:rFonts w:eastAsia="Cambria"/>
                <w:b/>
                <w:bCs/>
                <w:sz w:val="18"/>
                <w:szCs w:val="18"/>
                <w:lang w:val="en-GB" w:eastAsia="en-US"/>
              </w:rPr>
            </w:pPr>
          </w:p>
        </w:tc>
        <w:tc>
          <w:tcPr>
            <w:tcW w:w="1822" w:type="dxa"/>
            <w:shd w:val="clear" w:color="auto" w:fill="auto"/>
          </w:tcPr>
          <w:p w14:paraId="50BD32B9">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a)</w:t>
            </w:r>
          </w:p>
        </w:tc>
        <w:tc>
          <w:tcPr>
            <w:tcW w:w="7041" w:type="dxa"/>
            <w:shd w:val="clear" w:color="auto" w:fill="auto"/>
          </w:tcPr>
          <w:p w14:paraId="054FBA47">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Name statistical software and package(s), including version and settings used </w:t>
            </w:r>
          </w:p>
        </w:tc>
        <w:tc>
          <w:tcPr>
            <w:tcW w:w="720" w:type="dxa"/>
          </w:tcPr>
          <w:p w14:paraId="305BB821">
            <w:pPr>
              <w:spacing w:before="96" w:beforeLines="40" w:after="96" w:afterLines="40" w:line="24" w:lineRule="atLeast"/>
              <w:rPr>
                <w:rFonts w:eastAsiaTheme="minorEastAsia"/>
                <w:sz w:val="18"/>
                <w:szCs w:val="18"/>
                <w:lang w:val="en-GB" w:eastAsia="zh-CN"/>
              </w:rPr>
            </w:pPr>
          </w:p>
        </w:tc>
        <w:tc>
          <w:tcPr>
            <w:tcW w:w="4320" w:type="dxa"/>
          </w:tcPr>
          <w:p w14:paraId="79626260">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In this study, all analyses were conducted using the TwoSampleMR package (version 0.5.8) and MR-PRESSO (version 1.0) in R software (version 4.3.2).</w:t>
            </w:r>
          </w:p>
        </w:tc>
      </w:tr>
      <w:tr w14:paraId="6A631D93">
        <w:tblPrEx>
          <w:tblCellMar>
            <w:top w:w="0" w:type="dxa"/>
            <w:left w:w="108" w:type="dxa"/>
            <w:bottom w:w="0" w:type="dxa"/>
            <w:right w:w="108" w:type="dxa"/>
          </w:tblCellMar>
        </w:tblPrEx>
        <w:tc>
          <w:tcPr>
            <w:tcW w:w="587" w:type="dxa"/>
            <w:tcBorders>
              <w:bottom w:val="single" w:color="7F7F7F" w:sz="6" w:space="0"/>
            </w:tcBorders>
            <w:shd w:val="clear" w:color="auto" w:fill="EEEEEE"/>
          </w:tcPr>
          <w:p w14:paraId="37C88958">
            <w:pPr>
              <w:spacing w:before="96" w:beforeLines="40" w:after="96" w:afterLines="40" w:line="24" w:lineRule="atLeast"/>
              <w:jc w:val="right"/>
              <w:rPr>
                <w:rFonts w:eastAsia="Cambria"/>
                <w:b/>
                <w:bCs/>
                <w:sz w:val="18"/>
                <w:szCs w:val="18"/>
                <w:lang w:val="en-GB" w:eastAsia="en-US"/>
              </w:rPr>
            </w:pPr>
          </w:p>
        </w:tc>
        <w:tc>
          <w:tcPr>
            <w:tcW w:w="1822" w:type="dxa"/>
            <w:tcBorders>
              <w:bottom w:val="single" w:color="7F7F7F" w:sz="6" w:space="0"/>
            </w:tcBorders>
            <w:shd w:val="clear" w:color="auto" w:fill="EEEEEE"/>
          </w:tcPr>
          <w:p w14:paraId="2349B556">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b)</w:t>
            </w:r>
          </w:p>
        </w:tc>
        <w:tc>
          <w:tcPr>
            <w:tcW w:w="7041" w:type="dxa"/>
            <w:tcBorders>
              <w:bottom w:val="single" w:color="7F7F7F" w:sz="6" w:space="0"/>
            </w:tcBorders>
            <w:shd w:val="clear" w:color="auto" w:fill="EEEEEE"/>
          </w:tcPr>
          <w:p w14:paraId="5DBE58D7">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State whether the study protocol and details were pre-registered (as well as when and where)</w:t>
            </w:r>
          </w:p>
        </w:tc>
        <w:tc>
          <w:tcPr>
            <w:tcW w:w="720" w:type="dxa"/>
            <w:tcBorders>
              <w:bottom w:val="single" w:color="7F7F7F" w:sz="6" w:space="0"/>
            </w:tcBorders>
            <w:shd w:val="clear" w:color="auto" w:fill="EEEEEE"/>
          </w:tcPr>
          <w:p w14:paraId="2325504F">
            <w:pPr>
              <w:spacing w:before="96" w:beforeLines="40" w:after="96" w:afterLines="40" w:line="24" w:lineRule="atLeast"/>
              <w:rPr>
                <w:rFonts w:eastAsiaTheme="minorEastAsia"/>
                <w:sz w:val="18"/>
                <w:szCs w:val="18"/>
                <w:lang w:val="en-GB" w:eastAsia="zh-CN"/>
              </w:rPr>
            </w:pPr>
          </w:p>
        </w:tc>
        <w:tc>
          <w:tcPr>
            <w:tcW w:w="4320" w:type="dxa"/>
            <w:tcBorders>
              <w:bottom w:val="single" w:color="7F7F7F" w:sz="6" w:space="0"/>
            </w:tcBorders>
            <w:shd w:val="clear" w:color="auto" w:fill="EEEEEE"/>
          </w:tcPr>
          <w:p w14:paraId="3EFCD231">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The data sources for this study are detailed in Supplementary Table S1.</w:t>
            </w:r>
          </w:p>
        </w:tc>
      </w:tr>
      <w:tr w14:paraId="040F15E5">
        <w:tblPrEx>
          <w:tblCellMar>
            <w:top w:w="0" w:type="dxa"/>
            <w:left w:w="108" w:type="dxa"/>
            <w:bottom w:w="0" w:type="dxa"/>
            <w:right w:w="108" w:type="dxa"/>
          </w:tblCellMar>
        </w:tblPrEx>
        <w:tc>
          <w:tcPr>
            <w:tcW w:w="587" w:type="dxa"/>
            <w:tcBorders>
              <w:top w:val="single" w:color="7F7F7F" w:sz="6" w:space="0"/>
            </w:tcBorders>
            <w:shd w:val="clear" w:color="auto" w:fill="auto"/>
          </w:tcPr>
          <w:p w14:paraId="777278B3">
            <w:pPr>
              <w:spacing w:before="96" w:beforeLines="40" w:after="96" w:afterLines="40" w:line="24" w:lineRule="atLeast"/>
              <w:rPr>
                <w:rFonts w:eastAsia="Times New Roman"/>
                <w:b/>
                <w:bCs/>
                <w:sz w:val="18"/>
                <w:szCs w:val="18"/>
                <w:lang w:val="en-GB" w:eastAsia="en-GB"/>
              </w:rPr>
            </w:pPr>
          </w:p>
        </w:tc>
        <w:tc>
          <w:tcPr>
            <w:tcW w:w="1822" w:type="dxa"/>
            <w:tcBorders>
              <w:top w:val="single" w:color="7F7F7F" w:sz="6" w:space="0"/>
            </w:tcBorders>
            <w:shd w:val="clear" w:color="auto" w:fill="auto"/>
          </w:tcPr>
          <w:p w14:paraId="7D8D653B">
            <w:pPr>
              <w:spacing w:before="96" w:beforeLines="40" w:after="96" w:afterLines="40" w:line="24" w:lineRule="atLeast"/>
              <w:rPr>
                <w:rFonts w:eastAsia="Times New Roman"/>
                <w:sz w:val="18"/>
                <w:szCs w:val="18"/>
                <w:lang w:val="en-GB" w:eastAsia="en-GB"/>
              </w:rPr>
            </w:pPr>
            <w:r>
              <w:rPr>
                <w:rFonts w:eastAsia="Times New Roman"/>
                <w:b/>
                <w:bCs/>
                <w:sz w:val="18"/>
                <w:szCs w:val="18"/>
                <w:lang w:val="en-GB" w:eastAsia="en-GB"/>
              </w:rPr>
              <w:t>RESULTS</w:t>
            </w:r>
          </w:p>
        </w:tc>
        <w:tc>
          <w:tcPr>
            <w:tcW w:w="7041" w:type="dxa"/>
            <w:tcBorders>
              <w:top w:val="single" w:color="7F7F7F" w:sz="6" w:space="0"/>
            </w:tcBorders>
            <w:shd w:val="clear" w:color="auto" w:fill="auto"/>
          </w:tcPr>
          <w:p w14:paraId="34719287">
            <w:pPr>
              <w:spacing w:before="96" w:beforeLines="40" w:after="96" w:afterLines="40" w:line="24" w:lineRule="atLeast"/>
              <w:rPr>
                <w:rFonts w:eastAsia="Cambria"/>
                <w:sz w:val="18"/>
                <w:szCs w:val="18"/>
                <w:lang w:val="en-GB" w:eastAsia="en-US"/>
              </w:rPr>
            </w:pPr>
          </w:p>
        </w:tc>
        <w:tc>
          <w:tcPr>
            <w:tcW w:w="720" w:type="dxa"/>
            <w:tcBorders>
              <w:top w:val="single" w:color="7F7F7F" w:sz="6" w:space="0"/>
            </w:tcBorders>
          </w:tcPr>
          <w:p w14:paraId="0E355A69">
            <w:pPr>
              <w:spacing w:before="96" w:beforeLines="40" w:after="96" w:afterLines="40" w:line="24" w:lineRule="atLeast"/>
              <w:rPr>
                <w:rFonts w:eastAsia="Cambria"/>
                <w:sz w:val="18"/>
                <w:szCs w:val="18"/>
                <w:lang w:val="en-GB" w:eastAsia="en-US"/>
              </w:rPr>
            </w:pPr>
          </w:p>
        </w:tc>
        <w:tc>
          <w:tcPr>
            <w:tcW w:w="4320" w:type="dxa"/>
            <w:tcBorders>
              <w:top w:val="single" w:color="7F7F7F" w:sz="6" w:space="0"/>
            </w:tcBorders>
          </w:tcPr>
          <w:p w14:paraId="33E956D1">
            <w:pPr>
              <w:spacing w:before="96" w:beforeLines="40" w:after="96" w:afterLines="40" w:line="24" w:lineRule="atLeast"/>
              <w:rPr>
                <w:rFonts w:eastAsia="Cambria"/>
                <w:sz w:val="18"/>
                <w:szCs w:val="18"/>
                <w:lang w:val="en-GB" w:eastAsia="en-US"/>
              </w:rPr>
            </w:pPr>
          </w:p>
        </w:tc>
      </w:tr>
      <w:tr w14:paraId="67F47EED">
        <w:tblPrEx>
          <w:tblCellMar>
            <w:top w:w="0" w:type="dxa"/>
            <w:left w:w="108" w:type="dxa"/>
            <w:bottom w:w="0" w:type="dxa"/>
            <w:right w:w="108" w:type="dxa"/>
          </w:tblCellMar>
        </w:tblPrEx>
        <w:tc>
          <w:tcPr>
            <w:tcW w:w="587" w:type="dxa"/>
            <w:shd w:val="clear" w:color="auto" w:fill="EEEEEE"/>
          </w:tcPr>
          <w:p w14:paraId="51C7A54B">
            <w:pPr>
              <w:spacing w:before="96" w:beforeLines="40" w:after="96" w:afterLines="40" w:line="24" w:lineRule="atLeast"/>
              <w:rPr>
                <w:rFonts w:eastAsia="Times New Roman"/>
                <w:b/>
                <w:bCs/>
                <w:sz w:val="18"/>
                <w:szCs w:val="18"/>
                <w:lang w:val="en-GB" w:eastAsia="en-GB"/>
              </w:rPr>
            </w:pPr>
            <w:r>
              <w:rPr>
                <w:rFonts w:eastAsia="Times New Roman"/>
                <w:sz w:val="18"/>
                <w:szCs w:val="18"/>
                <w:lang w:val="en-GB" w:eastAsia="en-GB"/>
              </w:rPr>
              <w:t>10</w:t>
            </w:r>
          </w:p>
        </w:tc>
        <w:tc>
          <w:tcPr>
            <w:tcW w:w="1822" w:type="dxa"/>
            <w:shd w:val="clear" w:color="auto" w:fill="EEEEEE"/>
          </w:tcPr>
          <w:p w14:paraId="731D0370">
            <w:pPr>
              <w:spacing w:before="96" w:beforeLines="40" w:after="96" w:afterLines="40" w:line="24" w:lineRule="atLeast"/>
              <w:rPr>
                <w:rFonts w:eastAsia="Times New Roman"/>
                <w:sz w:val="18"/>
                <w:szCs w:val="18"/>
                <w:lang w:val="en-GB" w:eastAsia="en-GB"/>
              </w:rPr>
            </w:pPr>
            <w:r>
              <w:rPr>
                <w:rFonts w:eastAsia="Times New Roman"/>
                <w:b/>
                <w:bCs/>
                <w:sz w:val="18"/>
                <w:szCs w:val="18"/>
                <w:lang w:val="en-GB" w:eastAsia="en-GB"/>
              </w:rPr>
              <w:t>Descriptive data</w:t>
            </w:r>
          </w:p>
        </w:tc>
        <w:tc>
          <w:tcPr>
            <w:tcW w:w="7041" w:type="dxa"/>
            <w:shd w:val="clear" w:color="auto" w:fill="EEEEEE"/>
          </w:tcPr>
          <w:p w14:paraId="3B19CDAF">
            <w:pPr>
              <w:spacing w:before="96" w:beforeLines="40" w:after="96" w:afterLines="40" w:line="24" w:lineRule="atLeast"/>
              <w:rPr>
                <w:rFonts w:eastAsia="Cambria"/>
                <w:sz w:val="18"/>
                <w:szCs w:val="18"/>
                <w:lang w:val="en-GB" w:eastAsia="en-US"/>
              </w:rPr>
            </w:pPr>
          </w:p>
        </w:tc>
        <w:tc>
          <w:tcPr>
            <w:tcW w:w="720" w:type="dxa"/>
            <w:shd w:val="clear" w:color="auto" w:fill="EEEEEE"/>
          </w:tcPr>
          <w:p w14:paraId="1091FF57">
            <w:pPr>
              <w:spacing w:before="96" w:beforeLines="40" w:after="96" w:afterLines="40" w:line="24" w:lineRule="atLeast"/>
              <w:rPr>
                <w:rFonts w:eastAsia="Cambria"/>
                <w:sz w:val="18"/>
                <w:szCs w:val="18"/>
                <w:lang w:val="en-GB" w:eastAsia="en-US"/>
              </w:rPr>
            </w:pPr>
          </w:p>
        </w:tc>
        <w:tc>
          <w:tcPr>
            <w:tcW w:w="4320" w:type="dxa"/>
            <w:shd w:val="clear" w:color="auto" w:fill="EEEEEE"/>
          </w:tcPr>
          <w:p w14:paraId="4B684E79">
            <w:pPr>
              <w:spacing w:before="96" w:beforeLines="40" w:after="96" w:afterLines="40" w:line="24" w:lineRule="atLeast"/>
              <w:rPr>
                <w:rFonts w:eastAsia="Cambria"/>
                <w:sz w:val="18"/>
                <w:szCs w:val="18"/>
                <w:lang w:val="en-GB" w:eastAsia="en-US"/>
              </w:rPr>
            </w:pPr>
          </w:p>
        </w:tc>
      </w:tr>
      <w:tr w14:paraId="6CA228D1">
        <w:tblPrEx>
          <w:tblCellMar>
            <w:top w:w="0" w:type="dxa"/>
            <w:left w:w="108" w:type="dxa"/>
            <w:bottom w:w="0" w:type="dxa"/>
            <w:right w:w="108" w:type="dxa"/>
          </w:tblCellMar>
        </w:tblPrEx>
        <w:tc>
          <w:tcPr>
            <w:tcW w:w="587" w:type="dxa"/>
            <w:shd w:val="clear" w:color="auto" w:fill="auto"/>
          </w:tcPr>
          <w:p w14:paraId="29B62776">
            <w:pPr>
              <w:spacing w:before="96" w:beforeLines="40" w:after="96" w:afterLines="40" w:line="24" w:lineRule="atLeast"/>
              <w:jc w:val="right"/>
              <w:rPr>
                <w:rFonts w:eastAsia="Cambria"/>
                <w:b/>
                <w:bCs/>
                <w:sz w:val="18"/>
                <w:szCs w:val="18"/>
                <w:lang w:val="en-GB" w:eastAsia="en-US"/>
              </w:rPr>
            </w:pPr>
          </w:p>
        </w:tc>
        <w:tc>
          <w:tcPr>
            <w:tcW w:w="1822" w:type="dxa"/>
            <w:shd w:val="clear" w:color="auto" w:fill="auto"/>
          </w:tcPr>
          <w:p w14:paraId="4C1499C8">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a)</w:t>
            </w:r>
          </w:p>
        </w:tc>
        <w:tc>
          <w:tcPr>
            <w:tcW w:w="7041" w:type="dxa"/>
            <w:shd w:val="clear" w:color="auto" w:fill="auto"/>
          </w:tcPr>
          <w:p w14:paraId="4D5C652C">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Report the numbers of individuals at each stage of included studies and reasons for exclusion. Consider use of a flow diagram</w:t>
            </w:r>
          </w:p>
        </w:tc>
        <w:tc>
          <w:tcPr>
            <w:tcW w:w="720" w:type="dxa"/>
          </w:tcPr>
          <w:p w14:paraId="7AF8CC23">
            <w:pPr>
              <w:spacing w:before="96" w:beforeLines="40" w:after="96" w:afterLines="40" w:line="24" w:lineRule="atLeast"/>
              <w:rPr>
                <w:rFonts w:eastAsiaTheme="minorEastAsia"/>
                <w:sz w:val="18"/>
                <w:szCs w:val="18"/>
                <w:lang w:val="en-GB" w:eastAsia="zh-CN"/>
              </w:rPr>
            </w:pPr>
          </w:p>
        </w:tc>
        <w:tc>
          <w:tcPr>
            <w:tcW w:w="4320" w:type="dxa"/>
          </w:tcPr>
          <w:p w14:paraId="00D65497">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These analyses utilized published Genome-wide association study (GWAS) summary statistics for MVPA (n=377,234) and cognitive performance (n=257,841).</w:t>
            </w:r>
          </w:p>
        </w:tc>
      </w:tr>
      <w:tr w14:paraId="0765C344">
        <w:tblPrEx>
          <w:tblCellMar>
            <w:top w:w="0" w:type="dxa"/>
            <w:left w:w="108" w:type="dxa"/>
            <w:bottom w:w="0" w:type="dxa"/>
            <w:right w:w="108" w:type="dxa"/>
          </w:tblCellMar>
        </w:tblPrEx>
        <w:tc>
          <w:tcPr>
            <w:tcW w:w="587" w:type="dxa"/>
            <w:shd w:val="clear" w:color="auto" w:fill="EEEEEE"/>
          </w:tcPr>
          <w:p w14:paraId="2404BFFB">
            <w:pPr>
              <w:spacing w:before="96" w:beforeLines="40" w:after="96" w:afterLines="40" w:line="24" w:lineRule="atLeast"/>
              <w:jc w:val="right"/>
              <w:rPr>
                <w:rFonts w:eastAsia="Cambria"/>
                <w:b/>
                <w:bCs/>
                <w:sz w:val="18"/>
                <w:szCs w:val="18"/>
                <w:lang w:val="en-GB" w:eastAsia="en-US"/>
              </w:rPr>
            </w:pPr>
          </w:p>
        </w:tc>
        <w:tc>
          <w:tcPr>
            <w:tcW w:w="1822" w:type="dxa"/>
            <w:shd w:val="clear" w:color="auto" w:fill="EEEEEE"/>
          </w:tcPr>
          <w:p w14:paraId="6545C2F1">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b)</w:t>
            </w:r>
          </w:p>
        </w:tc>
        <w:tc>
          <w:tcPr>
            <w:tcW w:w="7041" w:type="dxa"/>
            <w:shd w:val="clear" w:color="auto" w:fill="EEEEEE"/>
          </w:tcPr>
          <w:p w14:paraId="405491AF">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Report summary statistics for phenotypic exposure(s), outcome(s), and other relevant variables (e.g. means, SDs, proportions)</w:t>
            </w:r>
          </w:p>
        </w:tc>
        <w:tc>
          <w:tcPr>
            <w:tcW w:w="720" w:type="dxa"/>
            <w:shd w:val="clear" w:color="auto" w:fill="EEEEEE"/>
          </w:tcPr>
          <w:p w14:paraId="03BBA613">
            <w:pPr>
              <w:spacing w:before="96" w:beforeLines="40" w:after="96" w:afterLines="40" w:line="24" w:lineRule="atLeast"/>
              <w:rPr>
                <w:rFonts w:eastAsiaTheme="minorEastAsia"/>
                <w:sz w:val="18"/>
                <w:szCs w:val="18"/>
                <w:lang w:val="en-GB" w:eastAsia="zh-CN"/>
              </w:rPr>
            </w:pPr>
          </w:p>
        </w:tc>
        <w:tc>
          <w:tcPr>
            <w:tcW w:w="4320" w:type="dxa"/>
            <w:shd w:val="clear" w:color="auto" w:fill="EEEEEE"/>
          </w:tcPr>
          <w:p w14:paraId="205396B6">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Using genetic variables related to MVPA as tools, 19 SNPs were identified as significantly associated with MVPA (P&lt;5 × 10-8) and met the IV criteria.</w:t>
            </w:r>
          </w:p>
          <w:p w14:paraId="0FD9D468">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Here, 147 SNPs were identified as significantly related to cognitive performance (P&lt;5 × 10-8), with 139 of these SNPs meeting the IV criteria.</w:t>
            </w:r>
          </w:p>
        </w:tc>
      </w:tr>
      <w:tr w14:paraId="48F10342">
        <w:tblPrEx>
          <w:tblCellMar>
            <w:top w:w="0" w:type="dxa"/>
            <w:left w:w="108" w:type="dxa"/>
            <w:bottom w:w="0" w:type="dxa"/>
            <w:right w:w="108" w:type="dxa"/>
          </w:tblCellMar>
        </w:tblPrEx>
        <w:tc>
          <w:tcPr>
            <w:tcW w:w="587" w:type="dxa"/>
            <w:shd w:val="clear" w:color="auto" w:fill="auto"/>
          </w:tcPr>
          <w:p w14:paraId="6600AF43">
            <w:pPr>
              <w:spacing w:before="96" w:beforeLines="40" w:after="96" w:afterLines="40" w:line="24" w:lineRule="atLeast"/>
              <w:jc w:val="right"/>
              <w:rPr>
                <w:rFonts w:eastAsia="Cambria"/>
                <w:b/>
                <w:bCs/>
                <w:sz w:val="18"/>
                <w:szCs w:val="18"/>
                <w:lang w:val="en-GB" w:eastAsia="en-US"/>
              </w:rPr>
            </w:pPr>
          </w:p>
        </w:tc>
        <w:tc>
          <w:tcPr>
            <w:tcW w:w="1822" w:type="dxa"/>
            <w:shd w:val="clear" w:color="auto" w:fill="auto"/>
          </w:tcPr>
          <w:p w14:paraId="435099F2">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c)</w:t>
            </w:r>
          </w:p>
        </w:tc>
        <w:tc>
          <w:tcPr>
            <w:tcW w:w="7041" w:type="dxa"/>
            <w:shd w:val="clear" w:color="auto" w:fill="auto"/>
          </w:tcPr>
          <w:p w14:paraId="062EB561">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If the data sources include meta-analyses of previous studies, provide the assessments of heterogeneity across these studies</w:t>
            </w:r>
          </w:p>
        </w:tc>
        <w:tc>
          <w:tcPr>
            <w:tcW w:w="720" w:type="dxa"/>
          </w:tcPr>
          <w:p w14:paraId="10F6EF39">
            <w:pPr>
              <w:spacing w:before="96" w:beforeLines="40" w:after="96" w:afterLines="40" w:line="24" w:lineRule="atLeast"/>
              <w:rPr>
                <w:rFonts w:eastAsiaTheme="minorEastAsia"/>
                <w:sz w:val="18"/>
                <w:szCs w:val="18"/>
                <w:lang w:val="en-GB" w:eastAsia="zh-CN"/>
              </w:rPr>
            </w:pPr>
          </w:p>
        </w:tc>
        <w:tc>
          <w:tcPr>
            <w:tcW w:w="4320" w:type="dxa"/>
          </w:tcPr>
          <w:p w14:paraId="449D40FD">
            <w:pPr>
              <w:spacing w:before="96" w:beforeLines="40" w:after="96" w:afterLines="40" w:line="24" w:lineRule="atLeast"/>
              <w:rPr>
                <w:rFonts w:eastAsia="Times New Roman"/>
                <w:sz w:val="18"/>
                <w:szCs w:val="18"/>
                <w:lang w:val="en-GB" w:eastAsia="en-GB"/>
              </w:rPr>
            </w:pPr>
          </w:p>
        </w:tc>
      </w:tr>
      <w:tr w14:paraId="51930A8C">
        <w:tblPrEx>
          <w:tblCellMar>
            <w:top w:w="0" w:type="dxa"/>
            <w:left w:w="108" w:type="dxa"/>
            <w:bottom w:w="0" w:type="dxa"/>
            <w:right w:w="108" w:type="dxa"/>
          </w:tblCellMar>
        </w:tblPrEx>
        <w:tc>
          <w:tcPr>
            <w:tcW w:w="587" w:type="dxa"/>
            <w:shd w:val="clear" w:color="auto" w:fill="EEEEEE"/>
          </w:tcPr>
          <w:p w14:paraId="6116DD95">
            <w:pPr>
              <w:spacing w:before="96" w:beforeLines="40" w:after="96" w:afterLines="40" w:line="24" w:lineRule="atLeast"/>
              <w:jc w:val="right"/>
              <w:rPr>
                <w:rFonts w:eastAsia="Cambria"/>
                <w:b/>
                <w:bCs/>
                <w:sz w:val="18"/>
                <w:szCs w:val="18"/>
                <w:lang w:val="en-GB" w:eastAsia="en-US"/>
              </w:rPr>
            </w:pPr>
          </w:p>
        </w:tc>
        <w:tc>
          <w:tcPr>
            <w:tcW w:w="1822" w:type="dxa"/>
            <w:shd w:val="clear" w:color="auto" w:fill="EEEEEE"/>
          </w:tcPr>
          <w:p w14:paraId="453F7877">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d)</w:t>
            </w:r>
          </w:p>
        </w:tc>
        <w:tc>
          <w:tcPr>
            <w:tcW w:w="7041" w:type="dxa"/>
            <w:shd w:val="clear" w:color="auto" w:fill="EEEEEE"/>
          </w:tcPr>
          <w:p w14:paraId="2EFD572E">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 xml:space="preserve">For </w:t>
            </w:r>
            <w:r>
              <w:rPr>
                <w:rFonts w:eastAsia="Times New Roman"/>
                <w:iCs/>
                <w:sz w:val="18"/>
                <w:szCs w:val="18"/>
                <w:lang w:val="en-GB" w:eastAsia="en-GB"/>
              </w:rPr>
              <w:t>two-sample</w:t>
            </w:r>
            <w:r>
              <w:rPr>
                <w:rFonts w:eastAsia="Times New Roman"/>
                <w:sz w:val="18"/>
                <w:szCs w:val="18"/>
                <w:lang w:val="en-GB" w:eastAsia="en-GB"/>
              </w:rPr>
              <w:t xml:space="preserve"> MR:</w:t>
            </w:r>
          </w:p>
          <w:p w14:paraId="48065368">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 xml:space="preserve">   i.  Provide justification of the similarity of the genetic variant-exposure associations between the exposure and outcome samples</w:t>
            </w:r>
          </w:p>
          <w:p w14:paraId="35BA9280">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 xml:space="preserve">   ii.  Provide information on the number of individuals who overlap between the exposure and outcome studies</w:t>
            </w:r>
          </w:p>
        </w:tc>
        <w:tc>
          <w:tcPr>
            <w:tcW w:w="720" w:type="dxa"/>
            <w:shd w:val="clear" w:color="auto" w:fill="EEEEEE"/>
          </w:tcPr>
          <w:p w14:paraId="4948EE3D">
            <w:pPr>
              <w:spacing w:before="96" w:beforeLines="40" w:after="96" w:afterLines="40" w:line="24" w:lineRule="atLeast"/>
              <w:rPr>
                <w:rFonts w:eastAsiaTheme="minorEastAsia"/>
                <w:sz w:val="18"/>
                <w:szCs w:val="18"/>
                <w:lang w:val="en-GB" w:eastAsia="zh-CN"/>
              </w:rPr>
            </w:pPr>
          </w:p>
        </w:tc>
        <w:tc>
          <w:tcPr>
            <w:tcW w:w="4320" w:type="dxa"/>
            <w:shd w:val="clear" w:color="auto" w:fill="EEEEEE"/>
          </w:tcPr>
          <w:p w14:paraId="1AD55D40">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 xml:space="preserve">(Supplementary Table S2) </w:t>
            </w:r>
          </w:p>
          <w:p w14:paraId="5B2A1A71">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(Supplementary Table S3)</w:t>
            </w:r>
          </w:p>
        </w:tc>
      </w:tr>
      <w:tr w14:paraId="52CFCA59">
        <w:tblPrEx>
          <w:tblCellMar>
            <w:top w:w="0" w:type="dxa"/>
            <w:left w:w="108" w:type="dxa"/>
            <w:bottom w:w="0" w:type="dxa"/>
            <w:right w:w="108" w:type="dxa"/>
          </w:tblCellMar>
        </w:tblPrEx>
        <w:tc>
          <w:tcPr>
            <w:tcW w:w="587" w:type="dxa"/>
            <w:shd w:val="clear" w:color="auto" w:fill="auto"/>
          </w:tcPr>
          <w:p w14:paraId="110872BB">
            <w:pPr>
              <w:spacing w:before="96" w:beforeLines="40" w:after="96" w:afterLines="40" w:line="24" w:lineRule="atLeast"/>
              <w:rPr>
                <w:rFonts w:eastAsia="Times New Roman"/>
                <w:b/>
                <w:bCs/>
                <w:sz w:val="18"/>
                <w:szCs w:val="18"/>
                <w:lang w:val="en-GB" w:eastAsia="en-GB"/>
              </w:rPr>
            </w:pPr>
            <w:r>
              <w:rPr>
                <w:rFonts w:eastAsia="Times New Roman"/>
                <w:sz w:val="18"/>
                <w:szCs w:val="18"/>
                <w:lang w:val="en-GB" w:eastAsia="en-GB"/>
              </w:rPr>
              <w:t>11</w:t>
            </w:r>
          </w:p>
        </w:tc>
        <w:tc>
          <w:tcPr>
            <w:tcW w:w="1822" w:type="dxa"/>
            <w:shd w:val="clear" w:color="auto" w:fill="auto"/>
          </w:tcPr>
          <w:p w14:paraId="0C26298F">
            <w:pPr>
              <w:spacing w:before="96" w:beforeLines="40" w:after="96" w:afterLines="40" w:line="24" w:lineRule="atLeast"/>
              <w:rPr>
                <w:rFonts w:eastAsia="Cambria"/>
                <w:sz w:val="18"/>
                <w:szCs w:val="18"/>
                <w:lang w:val="en-GB" w:eastAsia="en-US"/>
              </w:rPr>
            </w:pPr>
            <w:r>
              <w:rPr>
                <w:rFonts w:eastAsia="Times New Roman"/>
                <w:b/>
                <w:bCs/>
                <w:sz w:val="18"/>
                <w:szCs w:val="18"/>
                <w:lang w:val="en-GB" w:eastAsia="en-GB"/>
              </w:rPr>
              <w:t>Main results</w:t>
            </w:r>
          </w:p>
        </w:tc>
        <w:tc>
          <w:tcPr>
            <w:tcW w:w="7041" w:type="dxa"/>
            <w:shd w:val="clear" w:color="auto" w:fill="auto"/>
          </w:tcPr>
          <w:p w14:paraId="2F14FA37">
            <w:pPr>
              <w:spacing w:before="96" w:beforeLines="40" w:after="96" w:afterLines="40" w:line="24" w:lineRule="atLeast"/>
              <w:rPr>
                <w:rFonts w:eastAsia="Cambria"/>
                <w:sz w:val="18"/>
                <w:szCs w:val="18"/>
                <w:lang w:val="en-GB" w:eastAsia="en-US"/>
              </w:rPr>
            </w:pPr>
          </w:p>
        </w:tc>
        <w:tc>
          <w:tcPr>
            <w:tcW w:w="720" w:type="dxa"/>
          </w:tcPr>
          <w:p w14:paraId="035B3367">
            <w:pPr>
              <w:spacing w:before="96" w:beforeLines="40" w:after="96" w:afterLines="40" w:line="24" w:lineRule="atLeast"/>
              <w:rPr>
                <w:rFonts w:eastAsia="Cambria"/>
                <w:sz w:val="18"/>
                <w:szCs w:val="18"/>
                <w:lang w:val="en-GB" w:eastAsia="en-US"/>
              </w:rPr>
            </w:pPr>
          </w:p>
        </w:tc>
        <w:tc>
          <w:tcPr>
            <w:tcW w:w="4320" w:type="dxa"/>
          </w:tcPr>
          <w:p w14:paraId="0AFA0083">
            <w:pPr>
              <w:spacing w:before="96" w:beforeLines="40" w:after="96" w:afterLines="40" w:line="24" w:lineRule="atLeast"/>
              <w:rPr>
                <w:rFonts w:eastAsia="Cambria"/>
                <w:sz w:val="18"/>
                <w:szCs w:val="18"/>
                <w:lang w:val="en-GB" w:eastAsia="en-US"/>
              </w:rPr>
            </w:pPr>
          </w:p>
        </w:tc>
      </w:tr>
      <w:tr w14:paraId="56845A2A">
        <w:tblPrEx>
          <w:tblCellMar>
            <w:top w:w="0" w:type="dxa"/>
            <w:left w:w="108" w:type="dxa"/>
            <w:bottom w:w="0" w:type="dxa"/>
            <w:right w:w="108" w:type="dxa"/>
          </w:tblCellMar>
        </w:tblPrEx>
        <w:tc>
          <w:tcPr>
            <w:tcW w:w="587" w:type="dxa"/>
            <w:shd w:val="clear" w:color="auto" w:fill="EEEEEE"/>
          </w:tcPr>
          <w:p w14:paraId="0892A548">
            <w:pPr>
              <w:spacing w:before="96" w:beforeLines="40" w:after="96" w:afterLines="40" w:line="24" w:lineRule="atLeast"/>
              <w:jc w:val="right"/>
              <w:rPr>
                <w:rFonts w:eastAsia="Cambria"/>
                <w:b/>
                <w:bCs/>
                <w:sz w:val="18"/>
                <w:szCs w:val="18"/>
                <w:lang w:val="en-GB" w:eastAsia="en-US"/>
              </w:rPr>
            </w:pPr>
          </w:p>
        </w:tc>
        <w:tc>
          <w:tcPr>
            <w:tcW w:w="1822" w:type="dxa"/>
            <w:shd w:val="clear" w:color="auto" w:fill="EEEEEE"/>
          </w:tcPr>
          <w:p w14:paraId="7CDB72AD">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a)</w:t>
            </w:r>
          </w:p>
        </w:tc>
        <w:tc>
          <w:tcPr>
            <w:tcW w:w="7041" w:type="dxa"/>
            <w:shd w:val="clear" w:color="auto" w:fill="EEEEEE"/>
          </w:tcPr>
          <w:p w14:paraId="09CB478B">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Report the associations between genetic variant and exposure, and between genetic variant and outcome, preferably on an interpretable scale</w:t>
            </w:r>
          </w:p>
        </w:tc>
        <w:tc>
          <w:tcPr>
            <w:tcW w:w="720" w:type="dxa"/>
            <w:shd w:val="clear" w:color="auto" w:fill="EEEEEE"/>
          </w:tcPr>
          <w:p w14:paraId="7F1B8B69">
            <w:pPr>
              <w:spacing w:before="96" w:beforeLines="40" w:after="96" w:afterLines="40" w:line="24" w:lineRule="atLeast"/>
              <w:rPr>
                <w:rFonts w:eastAsiaTheme="minorEastAsia"/>
                <w:sz w:val="18"/>
                <w:szCs w:val="18"/>
                <w:lang w:val="en-GB" w:eastAsia="zh-CN"/>
              </w:rPr>
            </w:pPr>
          </w:p>
        </w:tc>
        <w:tc>
          <w:tcPr>
            <w:tcW w:w="4320" w:type="dxa"/>
            <w:shd w:val="clear" w:color="auto" w:fill="EEEEEE"/>
          </w:tcPr>
          <w:p w14:paraId="5D848D98">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The MR analysis revealed that MVPA acts as a protective factor against cognitive risk.</w:t>
            </w:r>
          </w:p>
          <w:p w14:paraId="7BCA1C07">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Conversely, when cognitive genetic predisposition was considered as the exposure, MR analysis showed a decrease in MVPA deficiency risk with improved cognitive performance</w:t>
            </w:r>
          </w:p>
        </w:tc>
      </w:tr>
      <w:tr w14:paraId="2FAEFE68">
        <w:tblPrEx>
          <w:tblCellMar>
            <w:top w:w="0" w:type="dxa"/>
            <w:left w:w="108" w:type="dxa"/>
            <w:bottom w:w="0" w:type="dxa"/>
            <w:right w:w="108" w:type="dxa"/>
          </w:tblCellMar>
        </w:tblPrEx>
        <w:tc>
          <w:tcPr>
            <w:tcW w:w="587" w:type="dxa"/>
            <w:shd w:val="clear" w:color="auto" w:fill="auto"/>
          </w:tcPr>
          <w:p w14:paraId="2E83DFB7">
            <w:pPr>
              <w:spacing w:before="96" w:beforeLines="40" w:after="96" w:afterLines="40" w:line="24" w:lineRule="atLeast"/>
              <w:jc w:val="right"/>
              <w:rPr>
                <w:rFonts w:eastAsia="Cambria"/>
                <w:b/>
                <w:bCs/>
                <w:sz w:val="18"/>
                <w:szCs w:val="18"/>
                <w:lang w:val="en-GB" w:eastAsia="en-US"/>
              </w:rPr>
            </w:pPr>
          </w:p>
        </w:tc>
        <w:tc>
          <w:tcPr>
            <w:tcW w:w="1822" w:type="dxa"/>
            <w:shd w:val="clear" w:color="auto" w:fill="auto"/>
          </w:tcPr>
          <w:p w14:paraId="142A3CE2">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b)</w:t>
            </w:r>
          </w:p>
        </w:tc>
        <w:tc>
          <w:tcPr>
            <w:tcW w:w="7041" w:type="dxa"/>
            <w:shd w:val="clear" w:color="auto" w:fill="auto"/>
          </w:tcPr>
          <w:p w14:paraId="336E75EE">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Report MR estimates of the relationship between exposure and outcome, and the measures of uncertainty from the MR analysis, on an interpretable scale, such as odds ratio or relative risk per SD difference</w:t>
            </w:r>
          </w:p>
        </w:tc>
        <w:tc>
          <w:tcPr>
            <w:tcW w:w="720" w:type="dxa"/>
          </w:tcPr>
          <w:p w14:paraId="1E1B567F">
            <w:pPr>
              <w:spacing w:before="96" w:beforeLines="40" w:after="96" w:afterLines="40" w:line="24" w:lineRule="atLeast"/>
              <w:rPr>
                <w:rFonts w:eastAsiaTheme="minorEastAsia"/>
                <w:sz w:val="18"/>
                <w:szCs w:val="18"/>
                <w:lang w:val="en-GB" w:eastAsia="zh-CN"/>
              </w:rPr>
            </w:pPr>
          </w:p>
        </w:tc>
        <w:tc>
          <w:tcPr>
            <w:tcW w:w="4320" w:type="dxa"/>
          </w:tcPr>
          <w:p w14:paraId="287AE927">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The Causal Effect of MVPA on Cognitive Performance (IVW OR=0.577, 95% CI: 0.460-0.723, p=1.930 × 10-6)</w:t>
            </w:r>
          </w:p>
          <w:p w14:paraId="4564CEDB">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Causality of Cognitive Performance on MVPA (IVW OR=0.866, 95% CI: 0.839-0.895, p=1.200 × 10-18)</w:t>
            </w:r>
          </w:p>
        </w:tc>
      </w:tr>
      <w:tr w14:paraId="1FAC379E">
        <w:tblPrEx>
          <w:tblCellMar>
            <w:top w:w="0" w:type="dxa"/>
            <w:left w:w="108" w:type="dxa"/>
            <w:bottom w:w="0" w:type="dxa"/>
            <w:right w:w="108" w:type="dxa"/>
          </w:tblCellMar>
        </w:tblPrEx>
        <w:tc>
          <w:tcPr>
            <w:tcW w:w="587" w:type="dxa"/>
            <w:shd w:val="clear" w:color="auto" w:fill="EEEEEE"/>
          </w:tcPr>
          <w:p w14:paraId="6762B88A">
            <w:pPr>
              <w:spacing w:before="96" w:beforeLines="40" w:after="96" w:afterLines="40" w:line="24" w:lineRule="atLeast"/>
              <w:jc w:val="right"/>
              <w:rPr>
                <w:rFonts w:eastAsia="Cambria"/>
                <w:b/>
                <w:bCs/>
                <w:sz w:val="18"/>
                <w:szCs w:val="18"/>
                <w:lang w:val="en-GB" w:eastAsia="en-US"/>
              </w:rPr>
            </w:pPr>
          </w:p>
        </w:tc>
        <w:tc>
          <w:tcPr>
            <w:tcW w:w="1822" w:type="dxa"/>
            <w:shd w:val="clear" w:color="auto" w:fill="EEEEEE"/>
          </w:tcPr>
          <w:p w14:paraId="514E8164">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c)</w:t>
            </w:r>
          </w:p>
        </w:tc>
        <w:tc>
          <w:tcPr>
            <w:tcW w:w="7041" w:type="dxa"/>
            <w:shd w:val="clear" w:color="auto" w:fill="EEEEEE"/>
          </w:tcPr>
          <w:p w14:paraId="4BC6AB73">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If relevant, consider translating estimates of relative risk into absolute risk for a meaningful time period</w:t>
            </w:r>
          </w:p>
        </w:tc>
        <w:tc>
          <w:tcPr>
            <w:tcW w:w="720" w:type="dxa"/>
            <w:shd w:val="clear" w:color="auto" w:fill="EEEEEE"/>
          </w:tcPr>
          <w:p w14:paraId="326BA5CA">
            <w:pPr>
              <w:spacing w:before="96" w:beforeLines="40" w:after="96" w:afterLines="40" w:line="24" w:lineRule="atLeast"/>
              <w:rPr>
                <w:rFonts w:eastAsiaTheme="minorEastAsia"/>
                <w:sz w:val="18"/>
                <w:szCs w:val="18"/>
                <w:lang w:val="en-GB" w:eastAsia="zh-CN"/>
              </w:rPr>
            </w:pPr>
          </w:p>
        </w:tc>
        <w:tc>
          <w:tcPr>
            <w:tcW w:w="4320" w:type="dxa"/>
            <w:shd w:val="clear" w:color="auto" w:fill="EEEEEE"/>
          </w:tcPr>
          <w:p w14:paraId="4A2216FF">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A logarithmic odds ratio (OR) increase in MVPA correlated with a 42.3% decrease in cognitive risk</w:t>
            </w:r>
          </w:p>
        </w:tc>
      </w:tr>
      <w:tr w14:paraId="00F87C74">
        <w:tblPrEx>
          <w:tblCellMar>
            <w:top w:w="0" w:type="dxa"/>
            <w:left w:w="108" w:type="dxa"/>
            <w:bottom w:w="0" w:type="dxa"/>
            <w:right w:w="108" w:type="dxa"/>
          </w:tblCellMar>
        </w:tblPrEx>
        <w:tc>
          <w:tcPr>
            <w:tcW w:w="587" w:type="dxa"/>
            <w:shd w:val="clear" w:color="auto" w:fill="auto"/>
          </w:tcPr>
          <w:p w14:paraId="2CDE5DE6">
            <w:pPr>
              <w:spacing w:before="96" w:beforeLines="40" w:after="96" w:afterLines="40" w:line="24" w:lineRule="atLeast"/>
              <w:jc w:val="right"/>
              <w:rPr>
                <w:rFonts w:eastAsia="Cambria"/>
                <w:b/>
                <w:bCs/>
                <w:sz w:val="18"/>
                <w:szCs w:val="18"/>
                <w:lang w:val="en-GB" w:eastAsia="en-US"/>
              </w:rPr>
            </w:pPr>
          </w:p>
        </w:tc>
        <w:tc>
          <w:tcPr>
            <w:tcW w:w="1822" w:type="dxa"/>
            <w:shd w:val="clear" w:color="auto" w:fill="auto"/>
          </w:tcPr>
          <w:p w14:paraId="69C50E8E">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d)</w:t>
            </w:r>
          </w:p>
        </w:tc>
        <w:tc>
          <w:tcPr>
            <w:tcW w:w="7041" w:type="dxa"/>
            <w:shd w:val="clear" w:color="auto" w:fill="auto"/>
          </w:tcPr>
          <w:p w14:paraId="47CC3ACC">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Consider plots to visualize results (e.g. forest plot, scatterplot of associations between genetic variants and outcome versus between genetic variants and exposure)</w:t>
            </w:r>
          </w:p>
        </w:tc>
        <w:tc>
          <w:tcPr>
            <w:tcW w:w="720" w:type="dxa"/>
          </w:tcPr>
          <w:p w14:paraId="777DAC23">
            <w:pPr>
              <w:spacing w:before="96" w:beforeLines="40" w:after="96" w:afterLines="40" w:line="24" w:lineRule="atLeast"/>
              <w:rPr>
                <w:rFonts w:eastAsiaTheme="minorEastAsia"/>
                <w:sz w:val="18"/>
                <w:szCs w:val="18"/>
                <w:lang w:val="en-GB" w:eastAsia="zh-CN"/>
              </w:rPr>
            </w:pPr>
          </w:p>
        </w:tc>
        <w:tc>
          <w:tcPr>
            <w:tcW w:w="4320" w:type="dxa"/>
          </w:tcPr>
          <w:p w14:paraId="16F4BA09">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Figure 1     Supplementary Figure S1</w:t>
            </w:r>
          </w:p>
          <w:p w14:paraId="7B9F0A4D">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Figure 2     Supplementary Figure S4</w:t>
            </w:r>
          </w:p>
        </w:tc>
      </w:tr>
      <w:tr w14:paraId="62E6DFEA">
        <w:tblPrEx>
          <w:tblCellMar>
            <w:top w:w="0" w:type="dxa"/>
            <w:left w:w="108" w:type="dxa"/>
            <w:bottom w:w="0" w:type="dxa"/>
            <w:right w:w="108" w:type="dxa"/>
          </w:tblCellMar>
        </w:tblPrEx>
        <w:tc>
          <w:tcPr>
            <w:tcW w:w="587" w:type="dxa"/>
            <w:shd w:val="clear" w:color="auto" w:fill="EEEEEE"/>
          </w:tcPr>
          <w:p w14:paraId="57CB2789">
            <w:pPr>
              <w:spacing w:before="96" w:beforeLines="40" w:after="96" w:afterLines="40" w:line="24" w:lineRule="atLeast"/>
              <w:rPr>
                <w:rFonts w:eastAsia="Times New Roman"/>
                <w:b/>
                <w:bCs/>
                <w:sz w:val="18"/>
                <w:szCs w:val="18"/>
                <w:lang w:val="en-GB" w:eastAsia="en-GB"/>
              </w:rPr>
            </w:pPr>
            <w:r>
              <w:rPr>
                <w:rFonts w:eastAsia="Times New Roman"/>
                <w:sz w:val="18"/>
                <w:szCs w:val="18"/>
                <w:lang w:val="en-GB" w:eastAsia="en-GB"/>
              </w:rPr>
              <w:t>12</w:t>
            </w:r>
          </w:p>
        </w:tc>
        <w:tc>
          <w:tcPr>
            <w:tcW w:w="1822" w:type="dxa"/>
            <w:shd w:val="clear" w:color="auto" w:fill="EEEEEE"/>
          </w:tcPr>
          <w:p w14:paraId="27B891DB">
            <w:pPr>
              <w:spacing w:before="96" w:beforeLines="40" w:after="96" w:afterLines="40" w:line="24" w:lineRule="atLeast"/>
              <w:rPr>
                <w:rFonts w:eastAsia="Cambria"/>
                <w:sz w:val="18"/>
                <w:szCs w:val="18"/>
                <w:lang w:val="en-GB" w:eastAsia="en-US"/>
              </w:rPr>
            </w:pPr>
            <w:r>
              <w:rPr>
                <w:rFonts w:eastAsia="Times New Roman"/>
                <w:b/>
                <w:bCs/>
                <w:sz w:val="18"/>
                <w:szCs w:val="18"/>
                <w:lang w:val="en-GB" w:eastAsia="en-GB"/>
              </w:rPr>
              <w:t>Assessment of assumptions</w:t>
            </w:r>
          </w:p>
        </w:tc>
        <w:tc>
          <w:tcPr>
            <w:tcW w:w="7041" w:type="dxa"/>
            <w:shd w:val="clear" w:color="auto" w:fill="EEEEEE"/>
          </w:tcPr>
          <w:p w14:paraId="6EC050C1">
            <w:pPr>
              <w:spacing w:before="96" w:beforeLines="40" w:after="96" w:afterLines="40" w:line="24" w:lineRule="atLeast"/>
              <w:rPr>
                <w:rFonts w:eastAsia="Cambria"/>
                <w:sz w:val="18"/>
                <w:szCs w:val="18"/>
                <w:lang w:val="en-GB" w:eastAsia="en-US"/>
              </w:rPr>
            </w:pPr>
          </w:p>
        </w:tc>
        <w:tc>
          <w:tcPr>
            <w:tcW w:w="720" w:type="dxa"/>
            <w:shd w:val="clear" w:color="auto" w:fill="EEEEEE"/>
          </w:tcPr>
          <w:p w14:paraId="3871A389">
            <w:pPr>
              <w:spacing w:before="96" w:beforeLines="40" w:after="96" w:afterLines="40" w:line="24" w:lineRule="atLeast"/>
              <w:rPr>
                <w:rFonts w:eastAsia="Cambria"/>
                <w:sz w:val="18"/>
                <w:szCs w:val="18"/>
                <w:lang w:val="en-GB" w:eastAsia="en-US"/>
              </w:rPr>
            </w:pPr>
          </w:p>
        </w:tc>
        <w:tc>
          <w:tcPr>
            <w:tcW w:w="4320" w:type="dxa"/>
            <w:shd w:val="clear" w:color="auto" w:fill="EEEEEE"/>
          </w:tcPr>
          <w:p w14:paraId="10C8ADE2">
            <w:pPr>
              <w:spacing w:before="96" w:beforeLines="40" w:after="96" w:afterLines="40" w:line="24" w:lineRule="atLeast"/>
              <w:rPr>
                <w:rFonts w:eastAsia="Cambria"/>
                <w:sz w:val="18"/>
                <w:szCs w:val="18"/>
                <w:lang w:val="en-GB" w:eastAsia="en-US"/>
              </w:rPr>
            </w:pPr>
          </w:p>
        </w:tc>
      </w:tr>
      <w:tr w14:paraId="48EE0AFA">
        <w:tblPrEx>
          <w:tblCellMar>
            <w:top w:w="0" w:type="dxa"/>
            <w:left w:w="108" w:type="dxa"/>
            <w:bottom w:w="0" w:type="dxa"/>
            <w:right w:w="108" w:type="dxa"/>
          </w:tblCellMar>
        </w:tblPrEx>
        <w:tc>
          <w:tcPr>
            <w:tcW w:w="587" w:type="dxa"/>
            <w:shd w:val="clear" w:color="auto" w:fill="auto"/>
          </w:tcPr>
          <w:p w14:paraId="4E29121D">
            <w:pPr>
              <w:spacing w:before="96" w:beforeLines="40" w:after="96" w:afterLines="40" w:line="24" w:lineRule="atLeast"/>
              <w:jc w:val="right"/>
              <w:rPr>
                <w:rFonts w:eastAsia="Cambria"/>
                <w:b/>
                <w:bCs/>
                <w:sz w:val="18"/>
                <w:szCs w:val="18"/>
                <w:lang w:val="en-GB" w:eastAsia="en-US"/>
              </w:rPr>
            </w:pPr>
          </w:p>
        </w:tc>
        <w:tc>
          <w:tcPr>
            <w:tcW w:w="1822" w:type="dxa"/>
            <w:shd w:val="clear" w:color="auto" w:fill="auto"/>
          </w:tcPr>
          <w:p w14:paraId="18A8B0EA">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a)</w:t>
            </w:r>
          </w:p>
        </w:tc>
        <w:tc>
          <w:tcPr>
            <w:tcW w:w="7041" w:type="dxa"/>
            <w:shd w:val="clear" w:color="auto" w:fill="auto"/>
          </w:tcPr>
          <w:p w14:paraId="1A97B456">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Report the assessment of the validity of the assumptions</w:t>
            </w:r>
          </w:p>
        </w:tc>
        <w:tc>
          <w:tcPr>
            <w:tcW w:w="720" w:type="dxa"/>
          </w:tcPr>
          <w:p w14:paraId="6E2D56F0">
            <w:pPr>
              <w:spacing w:before="96" w:beforeLines="40" w:after="96" w:afterLines="40" w:line="24" w:lineRule="atLeast"/>
              <w:rPr>
                <w:rFonts w:eastAsiaTheme="minorEastAsia"/>
                <w:sz w:val="18"/>
                <w:szCs w:val="18"/>
                <w:lang w:val="en-GB" w:eastAsia="zh-CN"/>
              </w:rPr>
            </w:pPr>
          </w:p>
        </w:tc>
        <w:tc>
          <w:tcPr>
            <w:tcW w:w="4320" w:type="dxa"/>
          </w:tcPr>
          <w:p w14:paraId="5E7081D1">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Cochran's Q statistics were employed to evaluate heterogeneity, which could be attributed to variations in experimental platforms.</w:t>
            </w:r>
          </w:p>
        </w:tc>
      </w:tr>
      <w:tr w14:paraId="7BDA55CD">
        <w:tblPrEx>
          <w:tblCellMar>
            <w:top w:w="0" w:type="dxa"/>
            <w:left w:w="108" w:type="dxa"/>
            <w:bottom w:w="0" w:type="dxa"/>
            <w:right w:w="108" w:type="dxa"/>
          </w:tblCellMar>
        </w:tblPrEx>
        <w:tc>
          <w:tcPr>
            <w:tcW w:w="587" w:type="dxa"/>
            <w:shd w:val="clear" w:color="auto" w:fill="EEEEEE"/>
          </w:tcPr>
          <w:p w14:paraId="6F27FA73">
            <w:pPr>
              <w:spacing w:before="96" w:beforeLines="40" w:after="96" w:afterLines="40" w:line="24" w:lineRule="atLeast"/>
              <w:jc w:val="right"/>
              <w:rPr>
                <w:rFonts w:eastAsia="Cambria"/>
                <w:b/>
                <w:bCs/>
                <w:sz w:val="18"/>
                <w:szCs w:val="18"/>
                <w:lang w:val="en-GB" w:eastAsia="en-US"/>
              </w:rPr>
            </w:pPr>
          </w:p>
        </w:tc>
        <w:tc>
          <w:tcPr>
            <w:tcW w:w="1822" w:type="dxa"/>
            <w:shd w:val="clear" w:color="auto" w:fill="EEEEEE"/>
          </w:tcPr>
          <w:p w14:paraId="6BC0019D">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b)</w:t>
            </w:r>
          </w:p>
        </w:tc>
        <w:tc>
          <w:tcPr>
            <w:tcW w:w="7041" w:type="dxa"/>
            <w:shd w:val="clear" w:color="auto" w:fill="EEEEEE"/>
          </w:tcPr>
          <w:p w14:paraId="400ADD58">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 xml:space="preserve">Report any additional statistics (e.g., assessments of heterogeneity </w:t>
            </w:r>
            <w:r>
              <w:rPr>
                <w:rFonts w:eastAsia="Times New Roman"/>
                <w:sz w:val="18"/>
                <w:szCs w:val="18"/>
                <w:lang w:eastAsia="en-GB"/>
              </w:rPr>
              <w:t>across genetic variants</w:t>
            </w:r>
            <w:r>
              <w:rPr>
                <w:rFonts w:eastAsia="Times New Roman"/>
                <w:sz w:val="18"/>
                <w:szCs w:val="18"/>
                <w:lang w:val="en-GB" w:eastAsia="en-GB"/>
              </w:rPr>
              <w:t xml:space="preserve">, such as </w:t>
            </w:r>
            <w:r>
              <w:rPr>
                <w:rFonts w:eastAsia="Times New Roman"/>
                <w:i/>
                <w:sz w:val="18"/>
                <w:szCs w:val="18"/>
                <w:lang w:val="en-GB" w:eastAsia="en-GB"/>
              </w:rPr>
              <w:t>I</w:t>
            </w:r>
            <w:r>
              <w:rPr>
                <w:rFonts w:eastAsia="Times New Roman"/>
                <w:i/>
                <w:sz w:val="18"/>
                <w:szCs w:val="18"/>
                <w:vertAlign w:val="superscript"/>
                <w:lang w:val="en-GB" w:eastAsia="en-GB"/>
              </w:rPr>
              <w:t>2</w:t>
            </w:r>
            <w:r>
              <w:rPr>
                <w:rFonts w:eastAsia="Times New Roman"/>
                <w:sz w:val="18"/>
                <w:szCs w:val="18"/>
                <w:lang w:val="en-GB" w:eastAsia="en-GB"/>
              </w:rPr>
              <w:t>, Q statistic or E-value)</w:t>
            </w:r>
          </w:p>
        </w:tc>
        <w:tc>
          <w:tcPr>
            <w:tcW w:w="720" w:type="dxa"/>
            <w:shd w:val="clear" w:color="auto" w:fill="EEEEEE"/>
          </w:tcPr>
          <w:p w14:paraId="2D6E39C6">
            <w:pPr>
              <w:spacing w:before="96" w:beforeLines="40" w:after="96" w:afterLines="40" w:line="24" w:lineRule="atLeast"/>
              <w:rPr>
                <w:rFonts w:eastAsiaTheme="minorEastAsia"/>
                <w:sz w:val="18"/>
                <w:szCs w:val="18"/>
                <w:lang w:val="en-GB" w:eastAsia="zh-CN"/>
              </w:rPr>
            </w:pPr>
          </w:p>
        </w:tc>
        <w:tc>
          <w:tcPr>
            <w:tcW w:w="4320" w:type="dxa"/>
            <w:shd w:val="clear" w:color="auto" w:fill="EEEEEE"/>
          </w:tcPr>
          <w:p w14:paraId="0FF146C4">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Table 1</w:t>
            </w:r>
          </w:p>
          <w:p w14:paraId="205C4ED8">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Table 2</w:t>
            </w:r>
          </w:p>
        </w:tc>
      </w:tr>
      <w:tr w14:paraId="23F1C43D">
        <w:tblPrEx>
          <w:tblCellMar>
            <w:top w:w="0" w:type="dxa"/>
            <w:left w:w="108" w:type="dxa"/>
            <w:bottom w:w="0" w:type="dxa"/>
            <w:right w:w="108" w:type="dxa"/>
          </w:tblCellMar>
        </w:tblPrEx>
        <w:tc>
          <w:tcPr>
            <w:tcW w:w="587" w:type="dxa"/>
            <w:shd w:val="clear" w:color="auto" w:fill="auto"/>
          </w:tcPr>
          <w:p w14:paraId="021A9BB4">
            <w:pPr>
              <w:spacing w:before="96" w:beforeLines="40" w:after="96" w:afterLines="40" w:line="24" w:lineRule="atLeast"/>
              <w:rPr>
                <w:rFonts w:eastAsia="Times New Roman"/>
                <w:b/>
                <w:bCs/>
                <w:sz w:val="18"/>
                <w:szCs w:val="18"/>
                <w:lang w:val="en-GB" w:eastAsia="en-GB"/>
              </w:rPr>
            </w:pPr>
            <w:r>
              <w:rPr>
                <w:rFonts w:eastAsia="Times New Roman"/>
                <w:sz w:val="18"/>
                <w:szCs w:val="18"/>
                <w:lang w:val="en-GB" w:eastAsia="en-GB"/>
              </w:rPr>
              <w:t>13</w:t>
            </w:r>
          </w:p>
        </w:tc>
        <w:tc>
          <w:tcPr>
            <w:tcW w:w="1822" w:type="dxa"/>
            <w:shd w:val="clear" w:color="auto" w:fill="auto"/>
          </w:tcPr>
          <w:p w14:paraId="51D3F02D">
            <w:pPr>
              <w:spacing w:before="96" w:beforeLines="40" w:after="96" w:afterLines="40" w:line="24" w:lineRule="atLeast"/>
              <w:rPr>
                <w:rFonts w:eastAsia="Times New Roman"/>
                <w:sz w:val="18"/>
                <w:szCs w:val="18"/>
                <w:lang w:val="en-GB" w:eastAsia="en-GB"/>
              </w:rPr>
            </w:pPr>
            <w:r>
              <w:rPr>
                <w:rFonts w:eastAsia="Times New Roman"/>
                <w:b/>
                <w:bCs/>
                <w:sz w:val="18"/>
                <w:szCs w:val="18"/>
                <w:lang w:val="en-GB" w:eastAsia="en-GB"/>
              </w:rPr>
              <w:t>Sensitivity analyses and additional analyses</w:t>
            </w:r>
          </w:p>
        </w:tc>
        <w:tc>
          <w:tcPr>
            <w:tcW w:w="7041" w:type="dxa"/>
            <w:shd w:val="clear" w:color="auto" w:fill="auto"/>
          </w:tcPr>
          <w:p w14:paraId="4AB1D97F">
            <w:pPr>
              <w:spacing w:before="96" w:beforeLines="40" w:after="96" w:afterLines="40" w:line="24" w:lineRule="atLeast"/>
              <w:rPr>
                <w:rFonts w:eastAsia="Cambria"/>
                <w:sz w:val="18"/>
                <w:szCs w:val="18"/>
                <w:lang w:val="en-GB" w:eastAsia="en-US"/>
              </w:rPr>
            </w:pPr>
          </w:p>
        </w:tc>
        <w:tc>
          <w:tcPr>
            <w:tcW w:w="720" w:type="dxa"/>
          </w:tcPr>
          <w:p w14:paraId="50481D19">
            <w:pPr>
              <w:spacing w:before="96" w:beforeLines="40" w:after="96" w:afterLines="40" w:line="24" w:lineRule="atLeast"/>
              <w:rPr>
                <w:rFonts w:eastAsia="Cambria"/>
                <w:sz w:val="18"/>
                <w:szCs w:val="18"/>
                <w:lang w:val="en-GB" w:eastAsia="en-US"/>
              </w:rPr>
            </w:pPr>
          </w:p>
        </w:tc>
        <w:tc>
          <w:tcPr>
            <w:tcW w:w="4320" w:type="dxa"/>
          </w:tcPr>
          <w:p w14:paraId="0F2C43F0">
            <w:pPr>
              <w:spacing w:before="96" w:beforeLines="40" w:after="96" w:afterLines="40" w:line="24" w:lineRule="atLeast"/>
              <w:rPr>
                <w:rFonts w:eastAsia="Cambria"/>
                <w:sz w:val="18"/>
                <w:szCs w:val="18"/>
                <w:lang w:val="en-GB" w:eastAsia="en-US"/>
              </w:rPr>
            </w:pPr>
          </w:p>
        </w:tc>
      </w:tr>
      <w:tr w14:paraId="1ABE2F1D">
        <w:tblPrEx>
          <w:tblCellMar>
            <w:top w:w="0" w:type="dxa"/>
            <w:left w:w="108" w:type="dxa"/>
            <w:bottom w:w="0" w:type="dxa"/>
            <w:right w:w="108" w:type="dxa"/>
          </w:tblCellMar>
        </w:tblPrEx>
        <w:tc>
          <w:tcPr>
            <w:tcW w:w="587" w:type="dxa"/>
            <w:shd w:val="clear" w:color="auto" w:fill="EEEEEE"/>
          </w:tcPr>
          <w:p w14:paraId="0D022F9B">
            <w:pPr>
              <w:spacing w:before="96" w:beforeLines="40" w:after="96" w:afterLines="40" w:line="24" w:lineRule="atLeast"/>
              <w:jc w:val="right"/>
              <w:rPr>
                <w:rFonts w:eastAsia="Cambria"/>
                <w:b/>
                <w:bCs/>
                <w:sz w:val="18"/>
                <w:szCs w:val="18"/>
                <w:lang w:val="en-GB" w:eastAsia="en-US"/>
              </w:rPr>
            </w:pPr>
          </w:p>
        </w:tc>
        <w:tc>
          <w:tcPr>
            <w:tcW w:w="1822" w:type="dxa"/>
            <w:shd w:val="clear" w:color="auto" w:fill="EEEEEE"/>
          </w:tcPr>
          <w:p w14:paraId="27E8FFD0">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a)</w:t>
            </w:r>
          </w:p>
        </w:tc>
        <w:tc>
          <w:tcPr>
            <w:tcW w:w="7041" w:type="dxa"/>
            <w:shd w:val="clear" w:color="auto" w:fill="EEEEEE"/>
          </w:tcPr>
          <w:p w14:paraId="30AA9260">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Report any sensitivity analyses to assess the robustness of the main results to violations of the assumptions</w:t>
            </w:r>
          </w:p>
        </w:tc>
        <w:tc>
          <w:tcPr>
            <w:tcW w:w="720" w:type="dxa"/>
            <w:shd w:val="clear" w:color="auto" w:fill="EEEEEE"/>
          </w:tcPr>
          <w:p w14:paraId="39DB2F0E">
            <w:pPr>
              <w:spacing w:before="96" w:beforeLines="40" w:after="96" w:afterLines="40" w:line="24" w:lineRule="atLeast"/>
              <w:rPr>
                <w:rFonts w:eastAsiaTheme="minorEastAsia"/>
                <w:sz w:val="18"/>
                <w:szCs w:val="18"/>
                <w:lang w:val="en-GB" w:eastAsia="zh-CN"/>
              </w:rPr>
            </w:pPr>
          </w:p>
        </w:tc>
        <w:tc>
          <w:tcPr>
            <w:tcW w:w="4320" w:type="dxa"/>
            <w:shd w:val="clear" w:color="auto" w:fill="EEEEEE"/>
          </w:tcPr>
          <w:p w14:paraId="73386906">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The MR Egger test assessed directional pleiotropy (p=0.846), finding no significant directional pleiotropy in all results.</w:t>
            </w:r>
          </w:p>
        </w:tc>
      </w:tr>
      <w:tr w14:paraId="3696A9F1">
        <w:tblPrEx>
          <w:tblCellMar>
            <w:top w:w="0" w:type="dxa"/>
            <w:left w:w="108" w:type="dxa"/>
            <w:bottom w:w="0" w:type="dxa"/>
            <w:right w:w="108" w:type="dxa"/>
          </w:tblCellMar>
        </w:tblPrEx>
        <w:tc>
          <w:tcPr>
            <w:tcW w:w="587" w:type="dxa"/>
            <w:shd w:val="clear" w:color="auto" w:fill="auto"/>
          </w:tcPr>
          <w:p w14:paraId="0D2234E5">
            <w:pPr>
              <w:spacing w:before="96" w:beforeLines="40" w:after="96" w:afterLines="40" w:line="24" w:lineRule="atLeast"/>
              <w:jc w:val="right"/>
              <w:rPr>
                <w:rFonts w:eastAsia="Cambria"/>
                <w:b/>
                <w:bCs/>
                <w:sz w:val="18"/>
                <w:szCs w:val="18"/>
                <w:lang w:val="en-GB" w:eastAsia="en-US"/>
              </w:rPr>
            </w:pPr>
          </w:p>
        </w:tc>
        <w:tc>
          <w:tcPr>
            <w:tcW w:w="1822" w:type="dxa"/>
            <w:shd w:val="clear" w:color="auto" w:fill="auto"/>
          </w:tcPr>
          <w:p w14:paraId="7453E1FF">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b)</w:t>
            </w:r>
          </w:p>
        </w:tc>
        <w:tc>
          <w:tcPr>
            <w:tcW w:w="7041" w:type="dxa"/>
            <w:shd w:val="clear" w:color="auto" w:fill="auto"/>
          </w:tcPr>
          <w:p w14:paraId="5111E54D">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Report results from other sensitivity analyses or additional analyses</w:t>
            </w:r>
          </w:p>
        </w:tc>
        <w:tc>
          <w:tcPr>
            <w:tcW w:w="720" w:type="dxa"/>
          </w:tcPr>
          <w:p w14:paraId="447F5BF5">
            <w:pPr>
              <w:spacing w:before="96" w:beforeLines="40" w:after="96" w:afterLines="40" w:line="24" w:lineRule="atLeast"/>
              <w:rPr>
                <w:rFonts w:eastAsiaTheme="minorEastAsia"/>
                <w:sz w:val="18"/>
                <w:szCs w:val="18"/>
                <w:lang w:val="en-GB" w:eastAsia="zh-CN"/>
              </w:rPr>
            </w:pPr>
          </w:p>
        </w:tc>
        <w:tc>
          <w:tcPr>
            <w:tcW w:w="4320" w:type="dxa"/>
          </w:tcPr>
          <w:p w14:paraId="1DD2A999">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The funnel plot also indicated a low risk of directional pleiotropy in our IVW estimates. (Supplementary Figure S2)</w:t>
            </w:r>
          </w:p>
          <w:p w14:paraId="5BB83735">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(Supplementary Figure S5)</w:t>
            </w:r>
          </w:p>
        </w:tc>
      </w:tr>
      <w:tr w14:paraId="1650BAB8">
        <w:tblPrEx>
          <w:tblCellMar>
            <w:top w:w="0" w:type="dxa"/>
            <w:left w:w="108" w:type="dxa"/>
            <w:bottom w:w="0" w:type="dxa"/>
            <w:right w:w="108" w:type="dxa"/>
          </w:tblCellMar>
        </w:tblPrEx>
        <w:tc>
          <w:tcPr>
            <w:tcW w:w="587" w:type="dxa"/>
            <w:shd w:val="clear" w:color="auto" w:fill="EEEEEE"/>
          </w:tcPr>
          <w:p w14:paraId="4D025CC4">
            <w:pPr>
              <w:spacing w:before="96" w:beforeLines="40" w:after="96" w:afterLines="40" w:line="24" w:lineRule="atLeast"/>
              <w:jc w:val="right"/>
              <w:rPr>
                <w:rFonts w:eastAsia="Cambria"/>
                <w:b/>
                <w:bCs/>
                <w:sz w:val="18"/>
                <w:szCs w:val="18"/>
                <w:lang w:val="en-GB" w:eastAsia="en-US"/>
              </w:rPr>
            </w:pPr>
          </w:p>
        </w:tc>
        <w:tc>
          <w:tcPr>
            <w:tcW w:w="1822" w:type="dxa"/>
            <w:shd w:val="clear" w:color="auto" w:fill="EEEEEE"/>
          </w:tcPr>
          <w:p w14:paraId="6EAD995A">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c)</w:t>
            </w:r>
          </w:p>
        </w:tc>
        <w:tc>
          <w:tcPr>
            <w:tcW w:w="7041" w:type="dxa"/>
            <w:shd w:val="clear" w:color="auto" w:fill="EEEEEE"/>
          </w:tcPr>
          <w:p w14:paraId="14E0FCD9">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Report any assessment of direction of causal relationship (e.g., bidirectional MR)</w:t>
            </w:r>
          </w:p>
        </w:tc>
        <w:tc>
          <w:tcPr>
            <w:tcW w:w="720" w:type="dxa"/>
            <w:shd w:val="clear" w:color="auto" w:fill="EEEEEE"/>
          </w:tcPr>
          <w:p w14:paraId="03D1A085">
            <w:pPr>
              <w:spacing w:before="96" w:beforeLines="40" w:after="96" w:afterLines="40" w:line="24" w:lineRule="atLeast"/>
              <w:rPr>
                <w:rFonts w:eastAsiaTheme="minorEastAsia"/>
                <w:sz w:val="18"/>
                <w:szCs w:val="18"/>
                <w:lang w:val="en-GB" w:eastAsia="zh-CN"/>
              </w:rPr>
            </w:pPr>
          </w:p>
        </w:tc>
        <w:tc>
          <w:tcPr>
            <w:tcW w:w="4320" w:type="dxa"/>
            <w:shd w:val="clear" w:color="auto" w:fill="EEEEEE"/>
          </w:tcPr>
          <w:p w14:paraId="66751F07">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We discovered that MVPA can mitigate cognitive risk, yet a low cognitive level also contributes to inadequate MVPA.</w:t>
            </w:r>
          </w:p>
        </w:tc>
      </w:tr>
      <w:tr w14:paraId="2034ACF7">
        <w:tblPrEx>
          <w:tblCellMar>
            <w:top w:w="0" w:type="dxa"/>
            <w:left w:w="108" w:type="dxa"/>
            <w:bottom w:w="0" w:type="dxa"/>
            <w:right w:w="108" w:type="dxa"/>
          </w:tblCellMar>
        </w:tblPrEx>
        <w:tc>
          <w:tcPr>
            <w:tcW w:w="587" w:type="dxa"/>
            <w:shd w:val="clear" w:color="auto" w:fill="auto"/>
          </w:tcPr>
          <w:p w14:paraId="3217ECED">
            <w:pPr>
              <w:spacing w:before="96" w:beforeLines="40" w:after="96" w:afterLines="40" w:line="24" w:lineRule="atLeast"/>
              <w:jc w:val="right"/>
              <w:rPr>
                <w:rFonts w:eastAsia="Cambria"/>
                <w:b/>
                <w:bCs/>
                <w:sz w:val="18"/>
                <w:szCs w:val="18"/>
                <w:lang w:val="en-GB" w:eastAsia="en-US"/>
              </w:rPr>
            </w:pPr>
          </w:p>
        </w:tc>
        <w:tc>
          <w:tcPr>
            <w:tcW w:w="1822" w:type="dxa"/>
            <w:shd w:val="clear" w:color="auto" w:fill="auto"/>
          </w:tcPr>
          <w:p w14:paraId="5AE90FE5">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d)</w:t>
            </w:r>
          </w:p>
        </w:tc>
        <w:tc>
          <w:tcPr>
            <w:tcW w:w="7041" w:type="dxa"/>
            <w:shd w:val="clear" w:color="auto" w:fill="auto"/>
          </w:tcPr>
          <w:p w14:paraId="3A13AF31">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When relevant, report and compare with estimates from non-MR analyses</w:t>
            </w:r>
          </w:p>
        </w:tc>
        <w:tc>
          <w:tcPr>
            <w:tcW w:w="720" w:type="dxa"/>
          </w:tcPr>
          <w:p w14:paraId="528F9F4C">
            <w:pPr>
              <w:spacing w:before="96" w:beforeLines="40" w:after="96" w:afterLines="40" w:line="24" w:lineRule="atLeast"/>
              <w:rPr>
                <w:rFonts w:eastAsiaTheme="minorEastAsia"/>
                <w:sz w:val="18"/>
                <w:szCs w:val="18"/>
                <w:lang w:val="en-GB" w:eastAsia="zh-CN"/>
              </w:rPr>
            </w:pPr>
          </w:p>
        </w:tc>
        <w:tc>
          <w:tcPr>
            <w:tcW w:w="4320" w:type="dxa"/>
          </w:tcPr>
          <w:p w14:paraId="7B882C5B">
            <w:pPr>
              <w:spacing w:before="96" w:beforeLines="40" w:after="96" w:afterLines="40" w:line="24" w:lineRule="atLeast"/>
              <w:rPr>
                <w:rFonts w:eastAsia="Times New Roman"/>
                <w:sz w:val="18"/>
                <w:szCs w:val="18"/>
                <w:lang w:val="en-GB" w:eastAsia="en-GB"/>
              </w:rPr>
            </w:pPr>
          </w:p>
        </w:tc>
      </w:tr>
      <w:tr w14:paraId="3E7CFBFC">
        <w:tblPrEx>
          <w:tblCellMar>
            <w:top w:w="0" w:type="dxa"/>
            <w:left w:w="108" w:type="dxa"/>
            <w:bottom w:w="0" w:type="dxa"/>
            <w:right w:w="108" w:type="dxa"/>
          </w:tblCellMar>
        </w:tblPrEx>
        <w:tc>
          <w:tcPr>
            <w:tcW w:w="587" w:type="dxa"/>
            <w:tcBorders>
              <w:bottom w:val="single" w:color="7F7F7F" w:sz="6" w:space="0"/>
            </w:tcBorders>
            <w:shd w:val="clear" w:color="auto" w:fill="EEEEEE"/>
          </w:tcPr>
          <w:p w14:paraId="1FDC421F">
            <w:pPr>
              <w:spacing w:before="96" w:beforeLines="40" w:after="96" w:afterLines="40" w:line="24" w:lineRule="atLeast"/>
              <w:jc w:val="right"/>
              <w:rPr>
                <w:rFonts w:eastAsia="Cambria"/>
                <w:b/>
                <w:bCs/>
                <w:sz w:val="18"/>
                <w:szCs w:val="18"/>
                <w:lang w:val="en-GB" w:eastAsia="en-US"/>
              </w:rPr>
            </w:pPr>
          </w:p>
        </w:tc>
        <w:tc>
          <w:tcPr>
            <w:tcW w:w="1822" w:type="dxa"/>
            <w:tcBorders>
              <w:bottom w:val="single" w:color="7F7F7F" w:sz="6" w:space="0"/>
            </w:tcBorders>
            <w:shd w:val="clear" w:color="auto" w:fill="EEEEEE"/>
          </w:tcPr>
          <w:p w14:paraId="5FE15030">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e)</w:t>
            </w:r>
          </w:p>
        </w:tc>
        <w:tc>
          <w:tcPr>
            <w:tcW w:w="7041" w:type="dxa"/>
            <w:tcBorders>
              <w:bottom w:val="single" w:color="7F7F7F" w:sz="6" w:space="0"/>
            </w:tcBorders>
            <w:shd w:val="clear" w:color="auto" w:fill="EEEEEE"/>
          </w:tcPr>
          <w:p w14:paraId="61CE32BA">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Consider additional plots to visualize results (e.g., leave-one-out analyses)</w:t>
            </w:r>
          </w:p>
        </w:tc>
        <w:tc>
          <w:tcPr>
            <w:tcW w:w="720" w:type="dxa"/>
            <w:tcBorders>
              <w:bottom w:val="single" w:color="7F7F7F" w:sz="6" w:space="0"/>
            </w:tcBorders>
            <w:shd w:val="clear" w:color="auto" w:fill="EEEEEE"/>
          </w:tcPr>
          <w:p w14:paraId="33892A62">
            <w:pPr>
              <w:spacing w:before="96" w:beforeLines="40" w:after="96" w:afterLines="40" w:line="24" w:lineRule="atLeast"/>
              <w:rPr>
                <w:rFonts w:eastAsiaTheme="minorEastAsia"/>
                <w:sz w:val="18"/>
                <w:szCs w:val="18"/>
                <w:lang w:val="en-GB" w:eastAsia="zh-CN"/>
              </w:rPr>
            </w:pPr>
          </w:p>
        </w:tc>
        <w:tc>
          <w:tcPr>
            <w:tcW w:w="4320" w:type="dxa"/>
            <w:tcBorders>
              <w:bottom w:val="single" w:color="7F7F7F" w:sz="6" w:space="0"/>
            </w:tcBorders>
            <w:shd w:val="clear" w:color="auto" w:fill="EEEEEE"/>
          </w:tcPr>
          <w:p w14:paraId="03A6AB93">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The stability of the results was confirmed through single SNP exclusion analysis. (Supplementary Figure S3)</w:t>
            </w:r>
            <w:r>
              <w:rPr>
                <w:rFonts w:hint="eastAsia" w:eastAsiaTheme="minorEastAsia"/>
                <w:sz w:val="18"/>
                <w:szCs w:val="18"/>
                <w:lang w:val="en-GB" w:eastAsia="zh-CN"/>
              </w:rPr>
              <w:t xml:space="preserve"> </w:t>
            </w:r>
            <w:r>
              <w:rPr>
                <w:rFonts w:eastAsia="Times New Roman"/>
                <w:sz w:val="18"/>
                <w:szCs w:val="18"/>
                <w:lang w:val="en-GB" w:eastAsia="en-GB"/>
              </w:rPr>
              <w:t>(Supplementary Figure S6)</w:t>
            </w:r>
          </w:p>
        </w:tc>
      </w:tr>
      <w:tr w14:paraId="5B7D2773">
        <w:tblPrEx>
          <w:tblCellMar>
            <w:top w:w="0" w:type="dxa"/>
            <w:left w:w="108" w:type="dxa"/>
            <w:bottom w:w="0" w:type="dxa"/>
            <w:right w:w="108" w:type="dxa"/>
          </w:tblCellMar>
        </w:tblPrEx>
        <w:tc>
          <w:tcPr>
            <w:tcW w:w="587" w:type="dxa"/>
            <w:tcBorders>
              <w:top w:val="single" w:color="7F7F7F" w:sz="6" w:space="0"/>
            </w:tcBorders>
            <w:shd w:val="clear" w:color="auto" w:fill="auto"/>
          </w:tcPr>
          <w:p w14:paraId="5BDBDA65">
            <w:pPr>
              <w:spacing w:before="96" w:beforeLines="40" w:after="96" w:afterLines="40" w:line="24" w:lineRule="atLeast"/>
              <w:rPr>
                <w:rFonts w:eastAsia="Times New Roman"/>
                <w:b/>
                <w:bCs/>
                <w:sz w:val="18"/>
                <w:szCs w:val="18"/>
                <w:lang w:val="en-GB" w:eastAsia="en-GB"/>
              </w:rPr>
            </w:pPr>
          </w:p>
        </w:tc>
        <w:tc>
          <w:tcPr>
            <w:tcW w:w="1822" w:type="dxa"/>
            <w:tcBorders>
              <w:top w:val="single" w:color="7F7F7F" w:sz="6" w:space="0"/>
            </w:tcBorders>
            <w:shd w:val="clear" w:color="auto" w:fill="auto"/>
          </w:tcPr>
          <w:p w14:paraId="1C564B75">
            <w:pPr>
              <w:spacing w:before="96" w:beforeLines="40" w:after="96" w:afterLines="40" w:line="24" w:lineRule="atLeast"/>
              <w:rPr>
                <w:rFonts w:eastAsia="Cambria"/>
                <w:sz w:val="18"/>
                <w:szCs w:val="18"/>
                <w:lang w:val="en-GB" w:eastAsia="en-US"/>
              </w:rPr>
            </w:pPr>
            <w:r>
              <w:rPr>
                <w:rFonts w:eastAsia="Times New Roman"/>
                <w:b/>
                <w:bCs/>
                <w:sz w:val="18"/>
                <w:szCs w:val="18"/>
                <w:lang w:val="en-GB" w:eastAsia="en-GB"/>
              </w:rPr>
              <w:t>DISCUSSION</w:t>
            </w:r>
          </w:p>
        </w:tc>
        <w:tc>
          <w:tcPr>
            <w:tcW w:w="7041" w:type="dxa"/>
            <w:tcBorders>
              <w:top w:val="single" w:color="7F7F7F" w:sz="6" w:space="0"/>
            </w:tcBorders>
            <w:shd w:val="clear" w:color="auto" w:fill="auto"/>
          </w:tcPr>
          <w:p w14:paraId="35997729">
            <w:pPr>
              <w:spacing w:before="96" w:beforeLines="40" w:after="96" w:afterLines="40" w:line="24" w:lineRule="atLeast"/>
              <w:rPr>
                <w:rFonts w:eastAsia="Cambria"/>
                <w:sz w:val="18"/>
                <w:szCs w:val="18"/>
                <w:lang w:val="en-GB" w:eastAsia="en-US"/>
              </w:rPr>
            </w:pPr>
          </w:p>
        </w:tc>
        <w:tc>
          <w:tcPr>
            <w:tcW w:w="720" w:type="dxa"/>
            <w:tcBorders>
              <w:top w:val="single" w:color="7F7F7F" w:sz="6" w:space="0"/>
            </w:tcBorders>
          </w:tcPr>
          <w:p w14:paraId="1AAD7FFB">
            <w:pPr>
              <w:spacing w:before="96" w:beforeLines="40" w:after="96" w:afterLines="40" w:line="24" w:lineRule="atLeast"/>
              <w:rPr>
                <w:rFonts w:eastAsia="Cambria"/>
                <w:sz w:val="18"/>
                <w:szCs w:val="18"/>
                <w:lang w:val="en-GB" w:eastAsia="en-US"/>
              </w:rPr>
            </w:pPr>
          </w:p>
        </w:tc>
        <w:tc>
          <w:tcPr>
            <w:tcW w:w="4320" w:type="dxa"/>
            <w:tcBorders>
              <w:top w:val="single" w:color="7F7F7F" w:sz="6" w:space="0"/>
            </w:tcBorders>
          </w:tcPr>
          <w:p w14:paraId="2AE3A897">
            <w:pPr>
              <w:spacing w:before="96" w:beforeLines="40" w:after="96" w:afterLines="40" w:line="24" w:lineRule="atLeast"/>
              <w:rPr>
                <w:rFonts w:eastAsia="Cambria"/>
                <w:sz w:val="18"/>
                <w:szCs w:val="18"/>
                <w:lang w:val="en-GB" w:eastAsia="en-US"/>
              </w:rPr>
            </w:pPr>
          </w:p>
        </w:tc>
      </w:tr>
      <w:tr w14:paraId="1800AF05">
        <w:tblPrEx>
          <w:tblCellMar>
            <w:top w:w="0" w:type="dxa"/>
            <w:left w:w="108" w:type="dxa"/>
            <w:bottom w:w="0" w:type="dxa"/>
            <w:right w:w="108" w:type="dxa"/>
          </w:tblCellMar>
        </w:tblPrEx>
        <w:tc>
          <w:tcPr>
            <w:tcW w:w="587" w:type="dxa"/>
            <w:shd w:val="clear" w:color="auto" w:fill="EEEEEE"/>
          </w:tcPr>
          <w:p w14:paraId="6B5F5286">
            <w:pPr>
              <w:spacing w:before="96" w:beforeLines="40" w:after="96" w:afterLines="40" w:line="24" w:lineRule="atLeast"/>
              <w:rPr>
                <w:rFonts w:eastAsia="Times New Roman"/>
                <w:b/>
                <w:bCs/>
                <w:sz w:val="18"/>
                <w:szCs w:val="18"/>
                <w:lang w:val="en-GB" w:eastAsia="en-GB"/>
              </w:rPr>
            </w:pPr>
            <w:r>
              <w:rPr>
                <w:rFonts w:eastAsia="Times New Roman"/>
                <w:sz w:val="18"/>
                <w:szCs w:val="18"/>
                <w:lang w:val="en-GB" w:eastAsia="en-GB"/>
              </w:rPr>
              <w:t>14</w:t>
            </w:r>
          </w:p>
        </w:tc>
        <w:tc>
          <w:tcPr>
            <w:tcW w:w="1822" w:type="dxa"/>
            <w:shd w:val="clear" w:color="auto" w:fill="EEEEEE"/>
          </w:tcPr>
          <w:p w14:paraId="42EDC029">
            <w:pPr>
              <w:spacing w:before="96" w:beforeLines="40" w:after="96" w:afterLines="40" w:line="24" w:lineRule="atLeast"/>
              <w:rPr>
                <w:rFonts w:eastAsia="Times New Roman"/>
                <w:sz w:val="18"/>
                <w:szCs w:val="18"/>
                <w:lang w:val="en-GB" w:eastAsia="en-GB"/>
              </w:rPr>
            </w:pPr>
            <w:r>
              <w:rPr>
                <w:rFonts w:eastAsia="Times New Roman"/>
                <w:b/>
                <w:bCs/>
                <w:sz w:val="18"/>
                <w:szCs w:val="18"/>
                <w:lang w:val="en-GB" w:eastAsia="en-GB"/>
              </w:rPr>
              <w:t>Key results </w:t>
            </w:r>
          </w:p>
        </w:tc>
        <w:tc>
          <w:tcPr>
            <w:tcW w:w="7041" w:type="dxa"/>
            <w:shd w:val="clear" w:color="auto" w:fill="EEEEEE"/>
          </w:tcPr>
          <w:p w14:paraId="35F1CADF">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Summarize key results with reference to study objectives</w:t>
            </w:r>
          </w:p>
        </w:tc>
        <w:tc>
          <w:tcPr>
            <w:tcW w:w="720" w:type="dxa"/>
            <w:shd w:val="clear" w:color="auto" w:fill="EEEEEE"/>
          </w:tcPr>
          <w:p w14:paraId="2C7117BF">
            <w:pPr>
              <w:spacing w:before="96" w:beforeLines="40" w:after="96" w:afterLines="40" w:line="24" w:lineRule="atLeast"/>
              <w:rPr>
                <w:rFonts w:eastAsiaTheme="minorEastAsia"/>
                <w:sz w:val="18"/>
                <w:szCs w:val="18"/>
                <w:lang w:val="en-GB" w:eastAsia="zh-CN"/>
              </w:rPr>
            </w:pPr>
          </w:p>
        </w:tc>
        <w:tc>
          <w:tcPr>
            <w:tcW w:w="4320" w:type="dxa"/>
            <w:shd w:val="clear" w:color="auto" w:fill="EEEEEE"/>
          </w:tcPr>
          <w:p w14:paraId="70F1DDE7">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In our MR study, a significant potential causal relationship between MVPA and cognitive performance was identified. We observed that MVPA has a protective effect.</w:t>
            </w:r>
          </w:p>
        </w:tc>
      </w:tr>
      <w:tr w14:paraId="06BFAFA4">
        <w:tblPrEx>
          <w:tblCellMar>
            <w:top w:w="0" w:type="dxa"/>
            <w:left w:w="108" w:type="dxa"/>
            <w:bottom w:w="0" w:type="dxa"/>
            <w:right w:w="108" w:type="dxa"/>
          </w:tblCellMar>
        </w:tblPrEx>
        <w:tc>
          <w:tcPr>
            <w:tcW w:w="587" w:type="dxa"/>
            <w:shd w:val="clear" w:color="auto" w:fill="auto"/>
          </w:tcPr>
          <w:p w14:paraId="6D471CC5">
            <w:pPr>
              <w:spacing w:before="96" w:beforeLines="40" w:after="96" w:afterLines="40" w:line="24" w:lineRule="atLeast"/>
              <w:rPr>
                <w:rFonts w:eastAsia="Times New Roman"/>
                <w:b/>
                <w:bCs/>
                <w:sz w:val="18"/>
                <w:szCs w:val="18"/>
                <w:lang w:val="en-GB" w:eastAsia="en-GB"/>
              </w:rPr>
            </w:pPr>
            <w:r>
              <w:rPr>
                <w:rFonts w:eastAsia="Times New Roman"/>
                <w:sz w:val="18"/>
                <w:szCs w:val="18"/>
                <w:lang w:val="en-GB" w:eastAsia="en-GB"/>
              </w:rPr>
              <w:t>15</w:t>
            </w:r>
          </w:p>
        </w:tc>
        <w:tc>
          <w:tcPr>
            <w:tcW w:w="1822" w:type="dxa"/>
            <w:shd w:val="clear" w:color="auto" w:fill="auto"/>
          </w:tcPr>
          <w:p w14:paraId="5C27961E">
            <w:pPr>
              <w:spacing w:before="96" w:beforeLines="40" w:after="96" w:afterLines="40" w:line="24" w:lineRule="atLeast"/>
              <w:rPr>
                <w:rFonts w:eastAsia="Times New Roman"/>
                <w:sz w:val="18"/>
                <w:szCs w:val="18"/>
                <w:lang w:val="en-GB" w:eastAsia="en-GB"/>
              </w:rPr>
            </w:pPr>
            <w:r>
              <w:rPr>
                <w:rFonts w:eastAsia="Times New Roman"/>
                <w:b/>
                <w:bCs/>
                <w:sz w:val="18"/>
                <w:szCs w:val="18"/>
                <w:lang w:val="en-GB" w:eastAsia="en-GB"/>
              </w:rPr>
              <w:t>Limitations</w:t>
            </w:r>
          </w:p>
        </w:tc>
        <w:tc>
          <w:tcPr>
            <w:tcW w:w="7041" w:type="dxa"/>
            <w:shd w:val="clear" w:color="auto" w:fill="auto"/>
          </w:tcPr>
          <w:p w14:paraId="75B6F41B">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Discuss limitations of the study, taking into account the validity of the IV assumptions, other sources of potential bias, and imprecision. Discuss both direction and magnitude of any potential bias and any efforts to address them</w:t>
            </w:r>
            <w:r>
              <w:rPr>
                <w:rFonts w:eastAsia="Times New Roman"/>
                <w:sz w:val="18"/>
                <w:szCs w:val="18"/>
                <w:shd w:val="clear" w:color="auto" w:fill="FFFFFF"/>
                <w:lang w:val="en-GB" w:eastAsia="en-GB"/>
              </w:rPr>
              <w:t> </w:t>
            </w:r>
          </w:p>
        </w:tc>
        <w:tc>
          <w:tcPr>
            <w:tcW w:w="720" w:type="dxa"/>
          </w:tcPr>
          <w:p w14:paraId="201D4281">
            <w:pPr>
              <w:spacing w:before="96" w:beforeLines="40" w:after="96" w:afterLines="40" w:line="24" w:lineRule="atLeast"/>
              <w:rPr>
                <w:rFonts w:eastAsiaTheme="minorEastAsia"/>
                <w:sz w:val="18"/>
                <w:szCs w:val="18"/>
                <w:lang w:val="en-GB" w:eastAsia="zh-CN"/>
              </w:rPr>
            </w:pPr>
          </w:p>
        </w:tc>
        <w:tc>
          <w:tcPr>
            <w:tcW w:w="4320" w:type="dxa"/>
          </w:tcPr>
          <w:p w14:paraId="1D625474">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However, it is important to acknowledge certain limitations.</w:t>
            </w:r>
          </w:p>
          <w:p w14:paraId="7CB4BA33">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Additionally, due to the limited information in the aggregated data, we are unable to ascertain if gender influences our results.</w:t>
            </w:r>
          </w:p>
        </w:tc>
      </w:tr>
      <w:tr w14:paraId="71F8B8B5">
        <w:tblPrEx>
          <w:tblCellMar>
            <w:top w:w="0" w:type="dxa"/>
            <w:left w:w="108" w:type="dxa"/>
            <w:bottom w:w="0" w:type="dxa"/>
            <w:right w:w="108" w:type="dxa"/>
          </w:tblCellMar>
        </w:tblPrEx>
        <w:tc>
          <w:tcPr>
            <w:tcW w:w="587" w:type="dxa"/>
            <w:shd w:val="clear" w:color="auto" w:fill="EEEEEE"/>
          </w:tcPr>
          <w:p w14:paraId="02C1D590">
            <w:pPr>
              <w:spacing w:before="96" w:beforeLines="40" w:after="96" w:afterLines="40" w:line="24" w:lineRule="atLeast"/>
              <w:rPr>
                <w:rFonts w:eastAsia="Times New Roman"/>
                <w:b/>
                <w:bCs/>
                <w:sz w:val="18"/>
                <w:szCs w:val="18"/>
                <w:lang w:val="en-GB" w:eastAsia="en-GB"/>
              </w:rPr>
            </w:pPr>
            <w:r>
              <w:rPr>
                <w:rFonts w:eastAsia="Times New Roman"/>
                <w:sz w:val="18"/>
                <w:szCs w:val="18"/>
                <w:lang w:val="en-GB" w:eastAsia="en-GB"/>
              </w:rPr>
              <w:t>16</w:t>
            </w:r>
          </w:p>
        </w:tc>
        <w:tc>
          <w:tcPr>
            <w:tcW w:w="1822" w:type="dxa"/>
            <w:shd w:val="clear" w:color="auto" w:fill="EEEEEE"/>
          </w:tcPr>
          <w:p w14:paraId="612AA484">
            <w:pPr>
              <w:spacing w:before="96" w:beforeLines="40" w:after="96" w:afterLines="40" w:line="24" w:lineRule="atLeast"/>
              <w:rPr>
                <w:rFonts w:eastAsia="Times New Roman"/>
                <w:sz w:val="18"/>
                <w:szCs w:val="18"/>
                <w:lang w:val="en-GB" w:eastAsia="en-GB"/>
              </w:rPr>
            </w:pPr>
            <w:r>
              <w:rPr>
                <w:rFonts w:eastAsia="Times New Roman"/>
                <w:b/>
                <w:bCs/>
                <w:sz w:val="18"/>
                <w:szCs w:val="18"/>
                <w:lang w:val="en-GB" w:eastAsia="en-GB"/>
              </w:rPr>
              <w:t>Interpretation</w:t>
            </w:r>
          </w:p>
        </w:tc>
        <w:tc>
          <w:tcPr>
            <w:tcW w:w="7041" w:type="dxa"/>
            <w:shd w:val="clear" w:color="auto" w:fill="EEEEEE"/>
          </w:tcPr>
          <w:p w14:paraId="3BF6466E">
            <w:pPr>
              <w:spacing w:before="96" w:beforeLines="40" w:after="96" w:afterLines="40" w:line="24" w:lineRule="atLeast"/>
              <w:rPr>
                <w:rFonts w:eastAsia="Cambria"/>
                <w:sz w:val="18"/>
                <w:szCs w:val="18"/>
                <w:lang w:val="en-GB" w:eastAsia="en-US"/>
              </w:rPr>
            </w:pPr>
          </w:p>
        </w:tc>
        <w:tc>
          <w:tcPr>
            <w:tcW w:w="720" w:type="dxa"/>
            <w:shd w:val="clear" w:color="auto" w:fill="EEEEEE"/>
          </w:tcPr>
          <w:p w14:paraId="4B5179B2">
            <w:pPr>
              <w:spacing w:before="96" w:beforeLines="40" w:after="96" w:afterLines="40" w:line="24" w:lineRule="atLeast"/>
              <w:rPr>
                <w:rFonts w:eastAsiaTheme="minorEastAsia"/>
                <w:sz w:val="18"/>
                <w:szCs w:val="18"/>
                <w:lang w:val="en-GB" w:eastAsia="zh-CN"/>
              </w:rPr>
            </w:pPr>
          </w:p>
        </w:tc>
        <w:tc>
          <w:tcPr>
            <w:tcW w:w="4320" w:type="dxa"/>
            <w:shd w:val="clear" w:color="auto" w:fill="EEEEEE"/>
          </w:tcPr>
          <w:p w14:paraId="1C445080">
            <w:pPr>
              <w:spacing w:before="96" w:beforeLines="40" w:after="96" w:afterLines="40" w:line="24" w:lineRule="atLeast"/>
              <w:rPr>
                <w:rFonts w:eastAsia="Cambria"/>
                <w:sz w:val="18"/>
                <w:szCs w:val="18"/>
                <w:lang w:val="en-GB" w:eastAsia="en-US"/>
              </w:rPr>
            </w:pPr>
          </w:p>
        </w:tc>
      </w:tr>
      <w:tr w14:paraId="62E6D51A">
        <w:tblPrEx>
          <w:tblCellMar>
            <w:top w:w="0" w:type="dxa"/>
            <w:left w:w="108" w:type="dxa"/>
            <w:bottom w:w="0" w:type="dxa"/>
            <w:right w:w="108" w:type="dxa"/>
          </w:tblCellMar>
        </w:tblPrEx>
        <w:tc>
          <w:tcPr>
            <w:tcW w:w="587" w:type="dxa"/>
            <w:shd w:val="clear" w:color="auto" w:fill="auto"/>
          </w:tcPr>
          <w:p w14:paraId="6DD2F448">
            <w:pPr>
              <w:spacing w:before="96" w:beforeLines="40" w:after="96" w:afterLines="40" w:line="24" w:lineRule="atLeast"/>
              <w:jc w:val="right"/>
              <w:rPr>
                <w:rFonts w:eastAsia="Cambria"/>
                <w:b/>
                <w:bCs/>
                <w:sz w:val="18"/>
                <w:szCs w:val="18"/>
                <w:lang w:val="en-GB" w:eastAsia="en-US"/>
              </w:rPr>
            </w:pPr>
          </w:p>
        </w:tc>
        <w:tc>
          <w:tcPr>
            <w:tcW w:w="1822" w:type="dxa"/>
            <w:shd w:val="clear" w:color="auto" w:fill="auto"/>
          </w:tcPr>
          <w:p w14:paraId="50F26A29">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a)</w:t>
            </w:r>
          </w:p>
        </w:tc>
        <w:tc>
          <w:tcPr>
            <w:tcW w:w="7041" w:type="dxa"/>
            <w:shd w:val="clear" w:color="auto" w:fill="auto"/>
          </w:tcPr>
          <w:p w14:paraId="7EDF9868">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Meaning: Give a cautious overall interpretation of results in the context of their limitations and in comparison with other studies</w:t>
            </w:r>
          </w:p>
        </w:tc>
        <w:tc>
          <w:tcPr>
            <w:tcW w:w="720" w:type="dxa"/>
          </w:tcPr>
          <w:p w14:paraId="565CC165">
            <w:pPr>
              <w:spacing w:before="96" w:beforeLines="40" w:after="96" w:afterLines="40" w:line="24" w:lineRule="atLeast"/>
              <w:rPr>
                <w:rFonts w:eastAsiaTheme="minorEastAsia"/>
                <w:sz w:val="18"/>
                <w:szCs w:val="18"/>
                <w:lang w:val="en-GB" w:eastAsia="zh-CN"/>
              </w:rPr>
            </w:pPr>
          </w:p>
        </w:tc>
        <w:tc>
          <w:tcPr>
            <w:tcW w:w="4320" w:type="dxa"/>
          </w:tcPr>
          <w:p w14:paraId="5251245C">
            <w:pPr>
              <w:spacing w:before="96" w:beforeLines="40" w:after="96" w:afterLines="40" w:line="24" w:lineRule="atLeast"/>
              <w:rPr>
                <w:rFonts w:eastAsia="Times New Roman"/>
                <w:sz w:val="18"/>
                <w:szCs w:val="18"/>
                <w:lang w:val="en-GB" w:eastAsia="en-GB"/>
              </w:rPr>
            </w:pPr>
          </w:p>
        </w:tc>
      </w:tr>
      <w:tr w14:paraId="156B69E5">
        <w:tblPrEx>
          <w:tblCellMar>
            <w:top w:w="0" w:type="dxa"/>
            <w:left w:w="108" w:type="dxa"/>
            <w:bottom w:w="0" w:type="dxa"/>
            <w:right w:w="108" w:type="dxa"/>
          </w:tblCellMar>
        </w:tblPrEx>
        <w:tc>
          <w:tcPr>
            <w:tcW w:w="587" w:type="dxa"/>
            <w:shd w:val="clear" w:color="auto" w:fill="EEEEEE"/>
          </w:tcPr>
          <w:p w14:paraId="4C8A2215">
            <w:pPr>
              <w:spacing w:before="96" w:beforeLines="40" w:after="96" w:afterLines="40" w:line="24" w:lineRule="atLeast"/>
              <w:jc w:val="right"/>
              <w:rPr>
                <w:rFonts w:eastAsia="Cambria"/>
                <w:b/>
                <w:bCs/>
                <w:sz w:val="18"/>
                <w:szCs w:val="18"/>
                <w:lang w:val="en-GB" w:eastAsia="en-US"/>
              </w:rPr>
            </w:pPr>
          </w:p>
        </w:tc>
        <w:tc>
          <w:tcPr>
            <w:tcW w:w="1822" w:type="dxa"/>
            <w:shd w:val="clear" w:color="auto" w:fill="EEEEEE"/>
          </w:tcPr>
          <w:p w14:paraId="6A4A5F16">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b)</w:t>
            </w:r>
          </w:p>
        </w:tc>
        <w:tc>
          <w:tcPr>
            <w:tcW w:w="7041" w:type="dxa"/>
            <w:shd w:val="clear" w:color="auto" w:fill="EEEEEE"/>
          </w:tcPr>
          <w:p w14:paraId="422EB891">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 xml:space="preserve">Mechanism: Discuss underlying biological mechanisms that could drive a potential causal relationship between the investigated exposure and the outcome, and whether the gene-environment equivalence assumption is reasonable. Use causal language carefully, clarifying that IV estimates may provide causal effects only under certain assumptions </w:t>
            </w:r>
          </w:p>
        </w:tc>
        <w:tc>
          <w:tcPr>
            <w:tcW w:w="720" w:type="dxa"/>
            <w:shd w:val="clear" w:color="auto" w:fill="EEEEEE"/>
          </w:tcPr>
          <w:p w14:paraId="2FA4AA4D">
            <w:pPr>
              <w:spacing w:before="96" w:beforeLines="40" w:after="96" w:afterLines="40" w:line="24" w:lineRule="atLeast"/>
              <w:rPr>
                <w:rFonts w:eastAsiaTheme="minorEastAsia"/>
                <w:sz w:val="18"/>
                <w:szCs w:val="18"/>
                <w:lang w:val="en-GB" w:eastAsia="zh-CN"/>
              </w:rPr>
            </w:pPr>
          </w:p>
        </w:tc>
        <w:tc>
          <w:tcPr>
            <w:tcW w:w="4320" w:type="dxa"/>
            <w:shd w:val="clear" w:color="auto" w:fill="EEEEEE"/>
          </w:tcPr>
          <w:p w14:paraId="3A91F000">
            <w:pPr>
              <w:spacing w:before="96" w:beforeLines="40" w:after="96" w:afterLines="40" w:line="24" w:lineRule="atLeast"/>
              <w:rPr>
                <w:rFonts w:eastAsia="Times New Roman"/>
                <w:sz w:val="18"/>
                <w:szCs w:val="18"/>
                <w:lang w:val="en-GB" w:eastAsia="en-GB"/>
              </w:rPr>
            </w:pPr>
          </w:p>
        </w:tc>
      </w:tr>
      <w:tr w14:paraId="203390A0">
        <w:tblPrEx>
          <w:tblCellMar>
            <w:top w:w="0" w:type="dxa"/>
            <w:left w:w="108" w:type="dxa"/>
            <w:bottom w:w="0" w:type="dxa"/>
            <w:right w:w="108" w:type="dxa"/>
          </w:tblCellMar>
        </w:tblPrEx>
        <w:tc>
          <w:tcPr>
            <w:tcW w:w="587" w:type="dxa"/>
            <w:shd w:val="clear" w:color="auto" w:fill="auto"/>
          </w:tcPr>
          <w:p w14:paraId="54CA3A27">
            <w:pPr>
              <w:spacing w:before="96" w:beforeLines="40" w:after="96" w:afterLines="40" w:line="24" w:lineRule="atLeast"/>
              <w:jc w:val="right"/>
              <w:rPr>
                <w:rFonts w:eastAsia="Cambria"/>
                <w:b/>
                <w:bCs/>
                <w:sz w:val="18"/>
                <w:szCs w:val="18"/>
                <w:lang w:val="en-GB" w:eastAsia="en-US"/>
              </w:rPr>
            </w:pPr>
          </w:p>
        </w:tc>
        <w:tc>
          <w:tcPr>
            <w:tcW w:w="1822" w:type="dxa"/>
            <w:shd w:val="clear" w:color="auto" w:fill="auto"/>
          </w:tcPr>
          <w:p w14:paraId="6D25BA57">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c)</w:t>
            </w:r>
          </w:p>
        </w:tc>
        <w:tc>
          <w:tcPr>
            <w:tcW w:w="7041" w:type="dxa"/>
            <w:shd w:val="clear" w:color="auto" w:fill="auto"/>
          </w:tcPr>
          <w:p w14:paraId="5B6A8315">
            <w:pPr>
              <w:tabs>
                <w:tab w:val="left" w:pos="1350"/>
              </w:tabs>
              <w:spacing w:before="96" w:beforeLines="40" w:after="96" w:afterLines="40" w:line="24" w:lineRule="atLeast"/>
              <w:rPr>
                <w:rFonts w:eastAsia="Cambria"/>
                <w:sz w:val="18"/>
                <w:szCs w:val="18"/>
                <w:lang w:val="en-GB" w:eastAsia="en-US"/>
              </w:rPr>
            </w:pPr>
            <w:r>
              <w:rPr>
                <w:rFonts w:eastAsia="Times New Roman"/>
                <w:sz w:val="18"/>
                <w:szCs w:val="18"/>
                <w:lang w:val="en-GB" w:eastAsia="en-GB"/>
              </w:rPr>
              <w:t xml:space="preserve">Clinical relevance: Discuss whether the results have clinical or public policy relevance, and </w:t>
            </w:r>
            <w:r>
              <w:rPr>
                <w:rFonts w:eastAsia="Times New Roman"/>
                <w:color w:val="000000"/>
                <w:sz w:val="18"/>
                <w:szCs w:val="18"/>
                <w:lang w:eastAsia="en-GB"/>
              </w:rPr>
              <w:t>to what extent they inform effect sizes of possible interventions</w:t>
            </w:r>
          </w:p>
        </w:tc>
        <w:tc>
          <w:tcPr>
            <w:tcW w:w="720" w:type="dxa"/>
          </w:tcPr>
          <w:p w14:paraId="32FCF028">
            <w:pPr>
              <w:tabs>
                <w:tab w:val="left" w:pos="1350"/>
              </w:tabs>
              <w:spacing w:before="96" w:beforeLines="40" w:after="96" w:afterLines="40" w:line="24" w:lineRule="atLeast"/>
              <w:rPr>
                <w:rFonts w:eastAsiaTheme="minorEastAsia"/>
                <w:sz w:val="18"/>
                <w:szCs w:val="18"/>
                <w:lang w:val="en-GB" w:eastAsia="zh-CN"/>
              </w:rPr>
            </w:pPr>
          </w:p>
        </w:tc>
        <w:tc>
          <w:tcPr>
            <w:tcW w:w="4320" w:type="dxa"/>
          </w:tcPr>
          <w:p w14:paraId="4ACF9C76">
            <w:pPr>
              <w:tabs>
                <w:tab w:val="left" w:pos="1350"/>
              </w:tabs>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From an individual perspective, we strongly advocate for all adults to engage in at least 150 minutes per week of MVPA to maintain brain health and lessen the risk of age-related cognitive disorders.</w:t>
            </w:r>
          </w:p>
          <w:p w14:paraId="78058AE6">
            <w:pPr>
              <w:tabs>
                <w:tab w:val="left" w:pos="1350"/>
              </w:tabs>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On a national level, we recommend the implementation of effective policies to encourage non-motorized commuting, such as walking and cycling, by enhancing infrastructure and road safety.</w:t>
            </w:r>
          </w:p>
        </w:tc>
      </w:tr>
      <w:tr w14:paraId="71FDAFC1">
        <w:tblPrEx>
          <w:tblCellMar>
            <w:top w:w="0" w:type="dxa"/>
            <w:left w:w="108" w:type="dxa"/>
            <w:bottom w:w="0" w:type="dxa"/>
            <w:right w:w="108" w:type="dxa"/>
          </w:tblCellMar>
        </w:tblPrEx>
        <w:trPr>
          <w:trHeight w:val="915" w:hRule="atLeast"/>
        </w:trPr>
        <w:tc>
          <w:tcPr>
            <w:tcW w:w="587" w:type="dxa"/>
            <w:tcBorders>
              <w:bottom w:val="single" w:color="7F7F7F" w:sz="6" w:space="0"/>
            </w:tcBorders>
            <w:shd w:val="clear" w:color="auto" w:fill="EEEEEE"/>
          </w:tcPr>
          <w:p w14:paraId="7540155A">
            <w:pPr>
              <w:spacing w:before="96" w:beforeLines="40" w:after="96" w:afterLines="40" w:line="24" w:lineRule="atLeast"/>
              <w:rPr>
                <w:rFonts w:eastAsia="Times New Roman"/>
                <w:b/>
                <w:bCs/>
                <w:sz w:val="18"/>
                <w:szCs w:val="18"/>
                <w:lang w:val="en-GB" w:eastAsia="en-GB"/>
              </w:rPr>
            </w:pPr>
            <w:r>
              <w:rPr>
                <w:rFonts w:eastAsia="Times New Roman"/>
                <w:sz w:val="18"/>
                <w:szCs w:val="18"/>
                <w:lang w:val="en-GB" w:eastAsia="en-GB"/>
              </w:rPr>
              <w:t>17</w:t>
            </w:r>
          </w:p>
        </w:tc>
        <w:tc>
          <w:tcPr>
            <w:tcW w:w="1822" w:type="dxa"/>
            <w:tcBorders>
              <w:bottom w:val="single" w:color="7F7F7F" w:sz="6" w:space="0"/>
            </w:tcBorders>
            <w:shd w:val="clear" w:color="auto" w:fill="EEEEEE"/>
          </w:tcPr>
          <w:p w14:paraId="3680059F">
            <w:pPr>
              <w:spacing w:before="96" w:beforeLines="40" w:after="96" w:afterLines="40" w:line="24" w:lineRule="atLeast"/>
              <w:rPr>
                <w:rFonts w:eastAsia="Times New Roman"/>
                <w:sz w:val="18"/>
                <w:szCs w:val="18"/>
                <w:lang w:val="en-GB" w:eastAsia="en-GB"/>
              </w:rPr>
            </w:pPr>
            <w:r>
              <w:rPr>
                <w:rFonts w:eastAsia="Times New Roman"/>
                <w:b/>
                <w:bCs/>
                <w:sz w:val="18"/>
                <w:szCs w:val="18"/>
                <w:lang w:val="en-GB" w:eastAsia="en-GB"/>
              </w:rPr>
              <w:t xml:space="preserve">Generalizability  </w:t>
            </w:r>
            <w:r>
              <w:rPr>
                <w:rFonts w:eastAsia="Times New Roman"/>
                <w:sz w:val="18"/>
                <w:szCs w:val="18"/>
                <w:lang w:val="en-GB" w:eastAsia="en-GB"/>
              </w:rPr>
              <w:t> </w:t>
            </w:r>
          </w:p>
        </w:tc>
        <w:tc>
          <w:tcPr>
            <w:tcW w:w="7041" w:type="dxa"/>
            <w:tcBorders>
              <w:bottom w:val="single" w:color="7F7F7F" w:sz="6" w:space="0"/>
            </w:tcBorders>
            <w:shd w:val="clear" w:color="auto" w:fill="EEEEEE"/>
          </w:tcPr>
          <w:p w14:paraId="68647C33">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Discuss the generalizability of the study results (a) to other populations, (b) across other exposure periods/timings, and (c) across other levels of exposure</w:t>
            </w:r>
          </w:p>
        </w:tc>
        <w:tc>
          <w:tcPr>
            <w:tcW w:w="720" w:type="dxa"/>
            <w:tcBorders>
              <w:bottom w:val="single" w:color="7F7F7F" w:sz="6" w:space="0"/>
            </w:tcBorders>
            <w:shd w:val="clear" w:color="auto" w:fill="EEEEEE"/>
          </w:tcPr>
          <w:p w14:paraId="3ACD3D08">
            <w:pPr>
              <w:spacing w:before="96" w:beforeLines="40" w:after="96" w:afterLines="40" w:line="24" w:lineRule="atLeast"/>
              <w:rPr>
                <w:rFonts w:eastAsiaTheme="minorEastAsia"/>
                <w:sz w:val="18"/>
                <w:szCs w:val="18"/>
                <w:lang w:val="en-GB" w:eastAsia="zh-CN"/>
              </w:rPr>
            </w:pPr>
          </w:p>
        </w:tc>
        <w:tc>
          <w:tcPr>
            <w:tcW w:w="4320" w:type="dxa"/>
            <w:tcBorders>
              <w:bottom w:val="single" w:color="7F7F7F" w:sz="6" w:space="0"/>
            </w:tcBorders>
            <w:shd w:val="clear" w:color="auto" w:fill="EEEEEE"/>
          </w:tcPr>
          <w:p w14:paraId="41ABF5A9">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The GWAS summary data utilized in this study encompasses only individuals of European descent. Consequently, the applicability of our findings to other populations requires further validation.</w:t>
            </w:r>
          </w:p>
        </w:tc>
      </w:tr>
      <w:tr w14:paraId="57884E75">
        <w:tblPrEx>
          <w:tblCellMar>
            <w:top w:w="0" w:type="dxa"/>
            <w:left w:w="108" w:type="dxa"/>
            <w:bottom w:w="0" w:type="dxa"/>
            <w:right w:w="108" w:type="dxa"/>
          </w:tblCellMar>
        </w:tblPrEx>
        <w:tc>
          <w:tcPr>
            <w:tcW w:w="587" w:type="dxa"/>
            <w:tcBorders>
              <w:top w:val="single" w:color="7F7F7F" w:sz="6" w:space="0"/>
            </w:tcBorders>
            <w:shd w:val="clear" w:color="auto" w:fill="auto"/>
          </w:tcPr>
          <w:p w14:paraId="2C4C694A">
            <w:pPr>
              <w:spacing w:before="96" w:beforeLines="40" w:after="96" w:afterLines="40" w:line="24" w:lineRule="atLeast"/>
              <w:rPr>
                <w:rFonts w:eastAsia="Times New Roman"/>
                <w:b/>
                <w:bCs/>
                <w:sz w:val="18"/>
                <w:szCs w:val="18"/>
                <w:lang w:val="en-GB" w:eastAsia="en-GB"/>
              </w:rPr>
            </w:pPr>
          </w:p>
        </w:tc>
        <w:tc>
          <w:tcPr>
            <w:tcW w:w="1822" w:type="dxa"/>
            <w:tcBorders>
              <w:top w:val="single" w:color="7F7F7F" w:sz="6" w:space="0"/>
            </w:tcBorders>
            <w:shd w:val="clear" w:color="auto" w:fill="auto"/>
          </w:tcPr>
          <w:p w14:paraId="0A6FFE33">
            <w:pPr>
              <w:spacing w:before="96" w:beforeLines="40" w:after="96" w:afterLines="40" w:line="24" w:lineRule="atLeast"/>
              <w:rPr>
                <w:rFonts w:eastAsia="Times New Roman"/>
                <w:sz w:val="18"/>
                <w:szCs w:val="18"/>
                <w:lang w:val="en-GB" w:eastAsia="en-GB"/>
              </w:rPr>
            </w:pPr>
            <w:r>
              <w:rPr>
                <w:rFonts w:eastAsia="Times New Roman"/>
                <w:b/>
                <w:bCs/>
                <w:sz w:val="18"/>
                <w:szCs w:val="18"/>
                <w:lang w:val="en-GB" w:eastAsia="en-GB"/>
              </w:rPr>
              <w:t>OTHER INFORMATION</w:t>
            </w:r>
          </w:p>
        </w:tc>
        <w:tc>
          <w:tcPr>
            <w:tcW w:w="7041" w:type="dxa"/>
            <w:tcBorders>
              <w:top w:val="single" w:color="7F7F7F" w:sz="6" w:space="0"/>
            </w:tcBorders>
            <w:shd w:val="clear" w:color="auto" w:fill="auto"/>
          </w:tcPr>
          <w:p w14:paraId="0577947E">
            <w:pPr>
              <w:spacing w:before="96" w:beforeLines="40" w:after="96" w:afterLines="40" w:line="24" w:lineRule="atLeast"/>
              <w:rPr>
                <w:rFonts w:eastAsia="Cambria"/>
                <w:sz w:val="18"/>
                <w:szCs w:val="18"/>
                <w:lang w:val="en-GB" w:eastAsia="en-US"/>
              </w:rPr>
            </w:pPr>
          </w:p>
        </w:tc>
        <w:tc>
          <w:tcPr>
            <w:tcW w:w="720" w:type="dxa"/>
            <w:tcBorders>
              <w:top w:val="single" w:color="7F7F7F" w:sz="6" w:space="0"/>
            </w:tcBorders>
          </w:tcPr>
          <w:p w14:paraId="7561574C">
            <w:pPr>
              <w:spacing w:before="96" w:beforeLines="40" w:after="96" w:afterLines="40" w:line="24" w:lineRule="atLeast"/>
              <w:rPr>
                <w:rFonts w:eastAsia="Cambria"/>
                <w:sz w:val="18"/>
                <w:szCs w:val="18"/>
                <w:lang w:val="en-GB" w:eastAsia="en-US"/>
              </w:rPr>
            </w:pPr>
          </w:p>
        </w:tc>
        <w:tc>
          <w:tcPr>
            <w:tcW w:w="4320" w:type="dxa"/>
            <w:tcBorders>
              <w:top w:val="single" w:color="7F7F7F" w:sz="6" w:space="0"/>
            </w:tcBorders>
          </w:tcPr>
          <w:p w14:paraId="3718ED5B">
            <w:pPr>
              <w:spacing w:before="96" w:beforeLines="40" w:after="96" w:afterLines="40" w:line="24" w:lineRule="atLeast"/>
              <w:rPr>
                <w:rFonts w:eastAsia="Cambria"/>
                <w:sz w:val="18"/>
                <w:szCs w:val="18"/>
                <w:lang w:val="en-GB" w:eastAsia="en-US"/>
              </w:rPr>
            </w:pPr>
          </w:p>
        </w:tc>
      </w:tr>
      <w:tr w14:paraId="0014C6D1">
        <w:tblPrEx>
          <w:tblCellMar>
            <w:top w:w="0" w:type="dxa"/>
            <w:left w:w="108" w:type="dxa"/>
            <w:bottom w:w="0" w:type="dxa"/>
            <w:right w:w="108" w:type="dxa"/>
          </w:tblCellMar>
        </w:tblPrEx>
        <w:tc>
          <w:tcPr>
            <w:tcW w:w="587" w:type="dxa"/>
            <w:shd w:val="clear" w:color="auto" w:fill="EEEEEE"/>
          </w:tcPr>
          <w:p w14:paraId="2336D08C">
            <w:pPr>
              <w:spacing w:before="96" w:beforeLines="40" w:after="96" w:afterLines="40" w:line="24" w:lineRule="atLeast"/>
              <w:rPr>
                <w:rFonts w:eastAsia="Times New Roman"/>
                <w:b/>
                <w:bCs/>
                <w:sz w:val="18"/>
                <w:szCs w:val="18"/>
                <w:lang w:val="en-GB" w:eastAsia="en-GB"/>
              </w:rPr>
            </w:pPr>
            <w:r>
              <w:rPr>
                <w:rFonts w:eastAsia="Times New Roman"/>
                <w:sz w:val="18"/>
                <w:szCs w:val="18"/>
                <w:lang w:val="en-GB" w:eastAsia="en-GB"/>
              </w:rPr>
              <w:t>18</w:t>
            </w:r>
          </w:p>
        </w:tc>
        <w:tc>
          <w:tcPr>
            <w:tcW w:w="1822" w:type="dxa"/>
            <w:shd w:val="clear" w:color="auto" w:fill="EEEEEE"/>
          </w:tcPr>
          <w:p w14:paraId="08EB4FDF">
            <w:pPr>
              <w:spacing w:before="96" w:beforeLines="40" w:after="96" w:afterLines="40" w:line="24" w:lineRule="atLeast"/>
              <w:rPr>
                <w:rFonts w:eastAsia="Cambria"/>
                <w:sz w:val="18"/>
                <w:szCs w:val="18"/>
                <w:lang w:val="en-GB" w:eastAsia="en-US"/>
              </w:rPr>
            </w:pPr>
            <w:r>
              <w:rPr>
                <w:rFonts w:eastAsia="Times New Roman"/>
                <w:b/>
                <w:bCs/>
                <w:sz w:val="18"/>
                <w:szCs w:val="18"/>
                <w:lang w:val="en-GB" w:eastAsia="en-GB"/>
              </w:rPr>
              <w:t>Funding</w:t>
            </w:r>
          </w:p>
        </w:tc>
        <w:tc>
          <w:tcPr>
            <w:tcW w:w="7041" w:type="dxa"/>
            <w:shd w:val="clear" w:color="auto" w:fill="EEEEEE"/>
          </w:tcPr>
          <w:p w14:paraId="4663DCA7">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Describe sources of funding and the role of funders in the present study and, if applicable, sources of funding for the databases and original study or studies on which the present study is based</w:t>
            </w:r>
          </w:p>
        </w:tc>
        <w:tc>
          <w:tcPr>
            <w:tcW w:w="720" w:type="dxa"/>
            <w:shd w:val="clear" w:color="auto" w:fill="EEEEEE"/>
          </w:tcPr>
          <w:p w14:paraId="33E2D855">
            <w:pPr>
              <w:spacing w:before="96" w:beforeLines="40" w:after="96" w:afterLines="40" w:line="24" w:lineRule="atLeast"/>
              <w:rPr>
                <w:rFonts w:eastAsiaTheme="minorEastAsia"/>
                <w:sz w:val="18"/>
                <w:szCs w:val="18"/>
                <w:lang w:val="en-GB" w:eastAsia="zh-CN"/>
              </w:rPr>
            </w:pPr>
          </w:p>
        </w:tc>
        <w:tc>
          <w:tcPr>
            <w:tcW w:w="4320" w:type="dxa"/>
            <w:shd w:val="clear" w:color="auto" w:fill="EEEEEE"/>
          </w:tcPr>
          <w:p w14:paraId="2C6CE5FF">
            <w:pPr>
              <w:spacing w:before="96" w:beforeLines="40" w:after="96" w:afterLines="40" w:line="24" w:lineRule="atLeast"/>
              <w:rPr>
                <w:rFonts w:eastAsia="Times New Roman"/>
                <w:sz w:val="18"/>
                <w:szCs w:val="18"/>
                <w:lang w:eastAsia="en-GB"/>
              </w:rPr>
            </w:pPr>
            <w:r>
              <w:rPr>
                <w:rFonts w:eastAsia="Times New Roman"/>
                <w:sz w:val="18"/>
                <w:szCs w:val="18"/>
                <w:lang w:eastAsia="en-GB"/>
              </w:rPr>
              <w:t>Ministry of Education's Collaborative Education Initiative: An Exploration of Teaching Models for AR-Enhanced Aerobic Fitness Courses (Project Number: 202002064006)</w:t>
            </w:r>
          </w:p>
        </w:tc>
      </w:tr>
      <w:tr w14:paraId="1B22CB41">
        <w:tblPrEx>
          <w:tblCellMar>
            <w:top w:w="0" w:type="dxa"/>
            <w:left w:w="108" w:type="dxa"/>
            <w:bottom w:w="0" w:type="dxa"/>
            <w:right w:w="108" w:type="dxa"/>
          </w:tblCellMar>
        </w:tblPrEx>
        <w:trPr>
          <w:trHeight w:val="817" w:hRule="atLeast"/>
        </w:trPr>
        <w:tc>
          <w:tcPr>
            <w:tcW w:w="587" w:type="dxa"/>
            <w:shd w:val="clear" w:color="auto" w:fill="auto"/>
          </w:tcPr>
          <w:p w14:paraId="381BF2BA">
            <w:pPr>
              <w:spacing w:before="96" w:beforeLines="40" w:after="96" w:afterLines="40" w:line="24" w:lineRule="atLeast"/>
              <w:rPr>
                <w:rFonts w:eastAsia="Times New Roman"/>
                <w:b/>
                <w:bCs/>
                <w:sz w:val="18"/>
                <w:szCs w:val="18"/>
                <w:lang w:val="en-GB" w:eastAsia="en-GB"/>
              </w:rPr>
            </w:pPr>
            <w:r>
              <w:rPr>
                <w:rFonts w:eastAsia="Times New Roman"/>
                <w:sz w:val="18"/>
                <w:szCs w:val="18"/>
                <w:lang w:val="en-GB" w:eastAsia="en-GB"/>
              </w:rPr>
              <w:t>19</w:t>
            </w:r>
          </w:p>
        </w:tc>
        <w:tc>
          <w:tcPr>
            <w:tcW w:w="1822" w:type="dxa"/>
            <w:shd w:val="clear" w:color="auto" w:fill="auto"/>
          </w:tcPr>
          <w:p w14:paraId="233BA942">
            <w:pPr>
              <w:spacing w:before="96" w:beforeLines="40" w:after="96" w:afterLines="40" w:line="24" w:lineRule="atLeast"/>
              <w:rPr>
                <w:rFonts w:eastAsia="Times New Roman"/>
                <w:sz w:val="18"/>
                <w:szCs w:val="18"/>
                <w:lang w:val="en-GB" w:eastAsia="en-GB"/>
              </w:rPr>
            </w:pPr>
            <w:r>
              <w:rPr>
                <w:rFonts w:eastAsia="Times New Roman"/>
                <w:b/>
                <w:bCs/>
                <w:sz w:val="18"/>
                <w:szCs w:val="18"/>
                <w:lang w:val="en-GB" w:eastAsia="en-GB"/>
              </w:rPr>
              <w:t>Data and data sharing </w:t>
            </w:r>
          </w:p>
        </w:tc>
        <w:tc>
          <w:tcPr>
            <w:tcW w:w="7041" w:type="dxa"/>
            <w:shd w:val="clear" w:color="auto" w:fill="auto"/>
          </w:tcPr>
          <w:p w14:paraId="42D9085E">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Provide the data used to perform all analyses or report where and how the data can be accessed, and reference these sources in the article. Provide the statistical code needed to reproduce the results in the article, or report whether the code is publicly accessible and if so, where</w:t>
            </w:r>
          </w:p>
        </w:tc>
        <w:tc>
          <w:tcPr>
            <w:tcW w:w="720" w:type="dxa"/>
          </w:tcPr>
          <w:p w14:paraId="5725EE6D">
            <w:pPr>
              <w:spacing w:before="96" w:beforeLines="40" w:after="96" w:afterLines="40" w:line="24" w:lineRule="atLeast"/>
              <w:rPr>
                <w:rFonts w:eastAsiaTheme="minorEastAsia"/>
                <w:sz w:val="18"/>
                <w:szCs w:val="18"/>
                <w:lang w:val="en-GB" w:eastAsia="zh-CN"/>
              </w:rPr>
            </w:pPr>
          </w:p>
        </w:tc>
        <w:tc>
          <w:tcPr>
            <w:tcW w:w="4320" w:type="dxa"/>
          </w:tcPr>
          <w:p w14:paraId="38DE3AA7">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The original data and code files are stored in the Open Science Framework (https://osf.io/bhp4c/).</w:t>
            </w:r>
          </w:p>
        </w:tc>
      </w:tr>
      <w:tr w14:paraId="1BFE6A86">
        <w:tblPrEx>
          <w:tblCellMar>
            <w:top w:w="0" w:type="dxa"/>
            <w:left w:w="108" w:type="dxa"/>
            <w:bottom w:w="0" w:type="dxa"/>
            <w:right w:w="108" w:type="dxa"/>
          </w:tblCellMar>
        </w:tblPrEx>
        <w:tc>
          <w:tcPr>
            <w:tcW w:w="587" w:type="dxa"/>
            <w:tcBorders>
              <w:bottom w:val="single" w:color="7F7F7F" w:sz="6" w:space="0"/>
            </w:tcBorders>
            <w:shd w:val="clear" w:color="auto" w:fill="EEEEEE"/>
          </w:tcPr>
          <w:p w14:paraId="20DC2C92">
            <w:pPr>
              <w:spacing w:before="96" w:beforeLines="40" w:after="96" w:afterLines="40" w:line="24" w:lineRule="atLeast"/>
              <w:rPr>
                <w:rFonts w:eastAsia="Times New Roman"/>
                <w:b/>
                <w:bCs/>
                <w:sz w:val="18"/>
                <w:szCs w:val="18"/>
                <w:lang w:val="en-GB" w:eastAsia="en-GB"/>
              </w:rPr>
            </w:pPr>
            <w:r>
              <w:rPr>
                <w:rFonts w:eastAsia="Times New Roman"/>
                <w:sz w:val="18"/>
                <w:szCs w:val="18"/>
                <w:lang w:val="en-GB" w:eastAsia="en-GB"/>
              </w:rPr>
              <w:t>20</w:t>
            </w:r>
          </w:p>
        </w:tc>
        <w:tc>
          <w:tcPr>
            <w:tcW w:w="1822" w:type="dxa"/>
            <w:tcBorders>
              <w:bottom w:val="single" w:color="7F7F7F" w:sz="6" w:space="0"/>
            </w:tcBorders>
            <w:shd w:val="clear" w:color="auto" w:fill="EEEEEE"/>
          </w:tcPr>
          <w:p w14:paraId="39A69A1B">
            <w:pPr>
              <w:spacing w:before="96" w:beforeLines="40" w:after="96" w:afterLines="40" w:line="24" w:lineRule="atLeast"/>
              <w:rPr>
                <w:rFonts w:eastAsia="Times New Roman"/>
                <w:sz w:val="18"/>
                <w:szCs w:val="18"/>
                <w:lang w:val="en-GB" w:eastAsia="en-GB"/>
              </w:rPr>
            </w:pPr>
            <w:r>
              <w:rPr>
                <w:rFonts w:eastAsia="Times New Roman"/>
                <w:b/>
                <w:bCs/>
                <w:sz w:val="18"/>
                <w:szCs w:val="18"/>
                <w:lang w:val="en-GB" w:eastAsia="en-GB"/>
              </w:rPr>
              <w:t>Conflicts of Interest  </w:t>
            </w:r>
          </w:p>
        </w:tc>
        <w:tc>
          <w:tcPr>
            <w:tcW w:w="7041" w:type="dxa"/>
            <w:tcBorders>
              <w:bottom w:val="single" w:color="7F7F7F" w:sz="6" w:space="0"/>
            </w:tcBorders>
            <w:shd w:val="clear" w:color="auto" w:fill="EEEEEE"/>
          </w:tcPr>
          <w:p w14:paraId="4772D912">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All authors should declare all potential conflicts of interest</w:t>
            </w:r>
          </w:p>
        </w:tc>
        <w:tc>
          <w:tcPr>
            <w:tcW w:w="720" w:type="dxa"/>
            <w:tcBorders>
              <w:bottom w:val="single" w:color="7F7F7F" w:sz="6" w:space="0"/>
            </w:tcBorders>
            <w:shd w:val="clear" w:color="auto" w:fill="EEEEEE"/>
          </w:tcPr>
          <w:p w14:paraId="1B63BC8B">
            <w:pPr>
              <w:spacing w:before="96" w:beforeLines="40" w:after="96" w:afterLines="40" w:line="24" w:lineRule="atLeast"/>
              <w:rPr>
                <w:rFonts w:eastAsiaTheme="minorEastAsia"/>
                <w:sz w:val="18"/>
                <w:szCs w:val="18"/>
                <w:lang w:val="en-GB" w:eastAsia="zh-CN"/>
              </w:rPr>
            </w:pPr>
          </w:p>
        </w:tc>
        <w:tc>
          <w:tcPr>
            <w:tcW w:w="4320" w:type="dxa"/>
            <w:tcBorders>
              <w:bottom w:val="single" w:color="7F7F7F" w:sz="6" w:space="0"/>
            </w:tcBorders>
            <w:shd w:val="clear" w:color="auto" w:fill="EEEEEE"/>
          </w:tcPr>
          <w:p w14:paraId="5D9123A4">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The authors declare that the research was conducted in the absence of any commercial or financial relationships that could be construed as a potential conflict of interest.</w:t>
            </w:r>
          </w:p>
        </w:tc>
      </w:tr>
    </w:tbl>
    <w:p w14:paraId="386115B2">
      <w:pPr>
        <w:spacing w:before="240" w:after="240"/>
        <w:rPr>
          <w:sz w:val="19"/>
          <w:szCs w:val="19"/>
        </w:rPr>
      </w:pPr>
      <w:r>
        <w:rPr>
          <w:sz w:val="19"/>
          <w:szCs w:val="19"/>
        </w:rPr>
        <w:t>This checklist is copyrighted by the Equator Network under the Creative Commons Attribution 3.0 Unported (CC BY 3.0) license.</w:t>
      </w:r>
    </w:p>
    <w:p w14:paraId="317DB124">
      <w:pPr>
        <w:pStyle w:val="10"/>
        <w:spacing w:line="360" w:lineRule="auto"/>
        <w:ind w:left="440" w:hanging="440" w:hangingChars="200"/>
        <w:rPr>
          <w:rFonts w:ascii="Arial" w:hAnsi="Arial" w:cs="Arial"/>
          <w:sz w:val="21"/>
          <w:szCs w:val="21"/>
        </w:rPr>
      </w:pPr>
      <w:r>
        <w:rPr>
          <w:sz w:val="22"/>
        </w:rPr>
        <w:fldChar w:fldCharType="begin" w:fldLock="1"/>
      </w:r>
      <w:r>
        <w:rPr>
          <w:sz w:val="22"/>
        </w:rPr>
        <w:instrText xml:space="preserve">ADDIN Mendeley Bibliography CSL_BIBLIOGRAPHY </w:instrText>
      </w:r>
      <w:r>
        <w:rPr>
          <w:sz w:val="22"/>
        </w:rPr>
        <w:fldChar w:fldCharType="separate"/>
      </w:r>
      <w:r>
        <w:rPr>
          <w:sz w:val="22"/>
        </w:rPr>
        <w:t>1.</w:t>
      </w:r>
      <w:r>
        <w:rPr>
          <w:sz w:val="21"/>
          <w:szCs w:val="21"/>
        </w:rPr>
        <w:t xml:space="preserve"> </w:t>
      </w:r>
      <w:r>
        <w:rPr>
          <w:sz w:val="21"/>
          <w:szCs w:val="21"/>
        </w:rPr>
        <w:tab/>
      </w:r>
      <w:r>
        <w:rPr>
          <w:rFonts w:ascii="Arial" w:hAnsi="Arial" w:cs="Arial"/>
          <w:b/>
          <w:bCs/>
          <w:sz w:val="21"/>
          <w:szCs w:val="21"/>
        </w:rPr>
        <w:t xml:space="preserve">Skrivankova, V.W., Richmond, R.C., Woolf, B.A.R., Davies, N.M., Swanson, S.A., VanderWeele, T.J., Timpson, N.J., Higgins, J.P.T., Dimou, N., Langenberg, C., Loder, E.W., Golub, R.M., Egger, M., Davey Smith, G., and Richards, J.B. (2021a). </w:t>
      </w:r>
      <w:r>
        <w:rPr>
          <w:rFonts w:ascii="Arial" w:hAnsi="Arial" w:cs="Arial"/>
          <w:sz w:val="21"/>
          <w:szCs w:val="21"/>
        </w:rPr>
        <w:t>Strengthening the reporting of observational studies in epidemiology using mendelian randomisation (STROBE-MR): Explanation and elaboration.</w:t>
      </w:r>
      <w:r>
        <w:rPr>
          <w:rFonts w:ascii="Arial" w:hAnsi="Arial" w:cs="Arial"/>
          <w:i/>
          <w:sz w:val="21"/>
          <w:szCs w:val="21"/>
        </w:rPr>
        <w:t xml:space="preserve"> BMJ</w:t>
      </w:r>
      <w:r>
        <w:rPr>
          <w:rFonts w:ascii="Arial" w:hAnsi="Arial" w:cs="Arial"/>
          <w:sz w:val="21"/>
          <w:szCs w:val="21"/>
        </w:rPr>
        <w:t xml:space="preserve"> </w:t>
      </w:r>
      <w:r>
        <w:rPr>
          <w:rFonts w:ascii="Arial" w:hAnsi="Arial" w:cs="Arial"/>
          <w:b/>
          <w:bCs/>
          <w:sz w:val="21"/>
          <w:szCs w:val="21"/>
        </w:rPr>
        <w:t>375</w:t>
      </w:r>
      <w:r>
        <w:rPr>
          <w:rFonts w:ascii="Arial" w:hAnsi="Arial" w:cs="Arial"/>
          <w:sz w:val="21"/>
          <w:szCs w:val="21"/>
        </w:rPr>
        <w:t>,n2233. doi:10.1136/bmj.n2233</w:t>
      </w:r>
    </w:p>
    <w:p w14:paraId="477AE3A2">
      <w:pPr>
        <w:pStyle w:val="10"/>
        <w:spacing w:line="360" w:lineRule="auto"/>
        <w:ind w:left="420" w:hanging="420" w:hangingChars="200"/>
        <w:rPr>
          <w:rFonts w:ascii="Arial" w:hAnsi="Arial" w:cs="Arial"/>
          <w:sz w:val="21"/>
          <w:szCs w:val="21"/>
        </w:rPr>
      </w:pPr>
      <w:r>
        <w:rPr>
          <w:sz w:val="21"/>
          <w:szCs w:val="21"/>
        </w:rPr>
        <w:t xml:space="preserve">2. </w:t>
      </w:r>
      <w:r>
        <w:rPr>
          <w:sz w:val="21"/>
          <w:szCs w:val="21"/>
        </w:rPr>
        <w:tab/>
      </w:r>
      <w:r>
        <w:rPr>
          <w:rFonts w:ascii="Arial" w:hAnsi="Arial" w:cs="Arial"/>
          <w:b/>
          <w:bCs/>
          <w:sz w:val="21"/>
          <w:szCs w:val="21"/>
        </w:rPr>
        <w:t>Skrivankova, V.W., Richmond, R.C., Woolf, B.A.R., Yarmolinsky, J., Davies, N.M., Swanson, S.A., VanderWeele, T.J., Higgins, J.P.T., Timpson, N.J., Dimou, N., Langenberg, C., Golub, R.M., Loder, E.W., Gallo, V., Tybjaerg-Hansen, A., Davey Smith, G., Egger, M., and Richards, J.B. (2021b).</w:t>
      </w:r>
      <w:r>
        <w:rPr>
          <w:rFonts w:ascii="Arial" w:hAnsi="Arial" w:cs="Arial"/>
          <w:sz w:val="21"/>
          <w:szCs w:val="21"/>
        </w:rPr>
        <w:t xml:space="preserve"> Strengthening the Reporting of Observational Studies in Epidemiology Using Mendelian Randomization: The STROBE-MR Statement.</w:t>
      </w:r>
      <w:r>
        <w:rPr>
          <w:rFonts w:ascii="Arial" w:hAnsi="Arial" w:cs="Arial"/>
          <w:i/>
          <w:sz w:val="21"/>
          <w:szCs w:val="21"/>
        </w:rPr>
        <w:t xml:space="preserve"> JAMA</w:t>
      </w:r>
      <w:r>
        <w:rPr>
          <w:rFonts w:ascii="Arial" w:hAnsi="Arial" w:cs="Arial"/>
          <w:sz w:val="21"/>
          <w:szCs w:val="21"/>
        </w:rPr>
        <w:t xml:space="preserve"> </w:t>
      </w:r>
      <w:r>
        <w:rPr>
          <w:rFonts w:ascii="Arial" w:hAnsi="Arial" w:cs="Arial"/>
          <w:b/>
          <w:bCs/>
          <w:sz w:val="21"/>
          <w:szCs w:val="21"/>
        </w:rPr>
        <w:t>326</w:t>
      </w:r>
      <w:r>
        <w:rPr>
          <w:rFonts w:ascii="Arial" w:hAnsi="Arial" w:cs="Arial"/>
          <w:sz w:val="21"/>
          <w:szCs w:val="21"/>
        </w:rPr>
        <w:t>,1614-1621. doi:10.1001/jama.2021.18236</w:t>
      </w:r>
    </w:p>
    <w:p w14:paraId="25DB435D">
      <w:pPr>
        <w:spacing w:before="240" w:after="240"/>
      </w:pPr>
      <w:r>
        <w:fldChar w:fldCharType="end"/>
      </w:r>
    </w:p>
    <w:sectPr>
      <w:footerReference r:id="rId5" w:type="default"/>
      <w:footerReference r:id="rId6" w:type="even"/>
      <w:pgSz w:w="15840" w:h="12240" w:orient="landscape"/>
      <w:pgMar w:top="1008" w:right="720" w:bottom="1008" w:left="720" w:header="720" w:footer="720" w:gutter="0"/>
      <w:pgNumType w:start="1"/>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B7B5E">
    <w:pPr>
      <w:pStyle w:val="2"/>
      <w:jc w:val="right"/>
    </w:pPr>
    <w:r>
      <w:fldChar w:fldCharType="begin"/>
    </w:r>
    <w:r>
      <w:instrText xml:space="preserve"> PAGE   \* MERGEFORMAT </w:instrText>
    </w:r>
    <w:r>
      <w:fldChar w:fldCharType="separate"/>
    </w:r>
    <w:r>
      <w:t>1</w:t>
    </w:r>
    <w:r>
      <w:fldChar w:fldCharType="end"/>
    </w:r>
  </w:p>
  <w:p w14:paraId="41D89672">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4A166">
    <w:pPr>
      <w:pStyle w:val="2"/>
      <w:framePr w:wrap="auto" w:vAnchor="text" w:hAnchor="margin" w:xAlign="right" w:y="1"/>
      <w:rPr>
        <w:rStyle w:val="6"/>
      </w:rPr>
    </w:pPr>
  </w:p>
  <w:p w14:paraId="40A0897E">
    <w:pPr>
      <w:pStyle w:val="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3MmRiZjQwYzE2ODg3MGVhZTQ0NWVjMjAzYmE1MmUifQ=="/>
  </w:docVars>
  <w:rsids>
    <w:rsidRoot w:val="00914C56"/>
    <w:rsid w:val="00002B0E"/>
    <w:rsid w:val="00003D0F"/>
    <w:rsid w:val="000706CD"/>
    <w:rsid w:val="000809C7"/>
    <w:rsid w:val="000857BB"/>
    <w:rsid w:val="000A4CE8"/>
    <w:rsid w:val="000B5E10"/>
    <w:rsid w:val="00105BAF"/>
    <w:rsid w:val="00161A4D"/>
    <w:rsid w:val="001714A1"/>
    <w:rsid w:val="00175C68"/>
    <w:rsid w:val="001E153E"/>
    <w:rsid w:val="00210194"/>
    <w:rsid w:val="00221DEE"/>
    <w:rsid w:val="002663E6"/>
    <w:rsid w:val="002919DE"/>
    <w:rsid w:val="002A7490"/>
    <w:rsid w:val="002D5157"/>
    <w:rsid w:val="0032675F"/>
    <w:rsid w:val="00326A9C"/>
    <w:rsid w:val="0033147C"/>
    <w:rsid w:val="003470A9"/>
    <w:rsid w:val="00362209"/>
    <w:rsid w:val="003B2FBF"/>
    <w:rsid w:val="003B56E1"/>
    <w:rsid w:val="003D447D"/>
    <w:rsid w:val="003D47DD"/>
    <w:rsid w:val="004013B4"/>
    <w:rsid w:val="004135B5"/>
    <w:rsid w:val="00482BE4"/>
    <w:rsid w:val="004915F0"/>
    <w:rsid w:val="004B5CBB"/>
    <w:rsid w:val="004E11D4"/>
    <w:rsid w:val="0050575A"/>
    <w:rsid w:val="00514462"/>
    <w:rsid w:val="00517D12"/>
    <w:rsid w:val="00534A2F"/>
    <w:rsid w:val="00537BCC"/>
    <w:rsid w:val="005407CA"/>
    <w:rsid w:val="005520ED"/>
    <w:rsid w:val="00565434"/>
    <w:rsid w:val="005663F2"/>
    <w:rsid w:val="005779D7"/>
    <w:rsid w:val="005820FD"/>
    <w:rsid w:val="00582E9D"/>
    <w:rsid w:val="00597454"/>
    <w:rsid w:val="005A0D0D"/>
    <w:rsid w:val="005A4FBF"/>
    <w:rsid w:val="005E33D9"/>
    <w:rsid w:val="005E7A86"/>
    <w:rsid w:val="00602CE5"/>
    <w:rsid w:val="00685D31"/>
    <w:rsid w:val="006912BF"/>
    <w:rsid w:val="006A41D0"/>
    <w:rsid w:val="006B08D5"/>
    <w:rsid w:val="006D6905"/>
    <w:rsid w:val="0072286C"/>
    <w:rsid w:val="007345DC"/>
    <w:rsid w:val="007479A1"/>
    <w:rsid w:val="00786B4A"/>
    <w:rsid w:val="007B7B62"/>
    <w:rsid w:val="00804498"/>
    <w:rsid w:val="0081166E"/>
    <w:rsid w:val="00841497"/>
    <w:rsid w:val="008C34AB"/>
    <w:rsid w:val="00912324"/>
    <w:rsid w:val="00914C56"/>
    <w:rsid w:val="00950729"/>
    <w:rsid w:val="0097299D"/>
    <w:rsid w:val="0098018E"/>
    <w:rsid w:val="009854A9"/>
    <w:rsid w:val="00986A6A"/>
    <w:rsid w:val="009E033F"/>
    <w:rsid w:val="00A05DAB"/>
    <w:rsid w:val="00A139F0"/>
    <w:rsid w:val="00A3616D"/>
    <w:rsid w:val="00A54395"/>
    <w:rsid w:val="00A56383"/>
    <w:rsid w:val="00A6155B"/>
    <w:rsid w:val="00AB4EF3"/>
    <w:rsid w:val="00AB7921"/>
    <w:rsid w:val="00B50F74"/>
    <w:rsid w:val="00B570E5"/>
    <w:rsid w:val="00BB248F"/>
    <w:rsid w:val="00BB6328"/>
    <w:rsid w:val="00C6257C"/>
    <w:rsid w:val="00C83CD9"/>
    <w:rsid w:val="00CF00DC"/>
    <w:rsid w:val="00D270B9"/>
    <w:rsid w:val="00D51314"/>
    <w:rsid w:val="00D65199"/>
    <w:rsid w:val="00D70731"/>
    <w:rsid w:val="00D8098C"/>
    <w:rsid w:val="00DB63CE"/>
    <w:rsid w:val="00DD174F"/>
    <w:rsid w:val="00E415F5"/>
    <w:rsid w:val="00E80A41"/>
    <w:rsid w:val="00E87CA4"/>
    <w:rsid w:val="00EC4FCC"/>
    <w:rsid w:val="00ED48A3"/>
    <w:rsid w:val="00ED755C"/>
    <w:rsid w:val="00EF4B94"/>
    <w:rsid w:val="00F047EB"/>
    <w:rsid w:val="00FA1521"/>
    <w:rsid w:val="00FB48F8"/>
    <w:rsid w:val="00FC5E25"/>
    <w:rsid w:val="00FF489E"/>
    <w:rsid w:val="13DD3E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0" w:line="276" w:lineRule="auto"/>
    </w:pPr>
    <w:rPr>
      <w:rFonts w:ascii="Arial" w:hAnsi="Arial" w:eastAsia="Arial" w:cs="Arial"/>
      <w:sz w:val="22"/>
      <w:szCs w:val="22"/>
      <w:lang w:val="en" w:eastAsia="de-CH"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680"/>
        <w:tab w:val="right" w:pos="9360"/>
      </w:tabs>
      <w:spacing w:line="240" w:lineRule="auto"/>
    </w:pPr>
  </w:style>
  <w:style w:type="paragraph" w:styleId="3">
    <w:name w:val="header"/>
    <w:basedOn w:val="1"/>
    <w:link w:val="9"/>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6">
    <w:name w:val="page number"/>
    <w:basedOn w:val="5"/>
    <w:semiHidden/>
    <w:unhideWhenUsed/>
    <w:uiPriority w:val="99"/>
  </w:style>
  <w:style w:type="character" w:styleId="7">
    <w:name w:val="line number"/>
    <w:basedOn w:val="5"/>
    <w:semiHidden/>
    <w:unhideWhenUsed/>
    <w:uiPriority w:val="99"/>
  </w:style>
  <w:style w:type="character" w:customStyle="1" w:styleId="8">
    <w:name w:val="页脚 字符"/>
    <w:basedOn w:val="5"/>
    <w:link w:val="2"/>
    <w:qFormat/>
    <w:uiPriority w:val="99"/>
    <w:rPr>
      <w:rFonts w:ascii="Arial" w:hAnsi="Arial" w:eastAsia="Arial" w:cs="Arial"/>
      <w:lang w:val="en" w:eastAsia="de-CH"/>
    </w:rPr>
  </w:style>
  <w:style w:type="character" w:customStyle="1" w:styleId="9">
    <w:name w:val="页眉 字符"/>
    <w:basedOn w:val="5"/>
    <w:link w:val="3"/>
    <w:uiPriority w:val="99"/>
    <w:rPr>
      <w:rFonts w:ascii="Arial" w:hAnsi="Arial" w:eastAsia="Arial" w:cs="Arial"/>
      <w:sz w:val="18"/>
      <w:szCs w:val="18"/>
      <w:lang w:val="en" w:eastAsia="de-CH"/>
    </w:rPr>
  </w:style>
  <w:style w:type="paragraph" w:customStyle="1" w:styleId="10">
    <w:name w:val="EndNote Bibliography"/>
    <w:basedOn w:val="1"/>
    <w:link w:val="11"/>
    <w:qFormat/>
    <w:uiPriority w:val="0"/>
    <w:pPr>
      <w:widowControl w:val="0"/>
      <w:spacing w:line="240" w:lineRule="atLeast"/>
      <w:jc w:val="both"/>
    </w:pPr>
    <w:rPr>
      <w:rFonts w:ascii="等线" w:hAnsi="等线" w:eastAsia="等线" w:cstheme="minorBidi"/>
      <w:kern w:val="2"/>
      <w:sz w:val="24"/>
      <w:lang w:val="en-US" w:eastAsia="zh-CN"/>
    </w:rPr>
  </w:style>
  <w:style w:type="character" w:customStyle="1" w:styleId="11">
    <w:name w:val="EndNote Bibliography 字符"/>
    <w:basedOn w:val="5"/>
    <w:link w:val="10"/>
    <w:qFormat/>
    <w:uiPriority w:val="0"/>
    <w:rPr>
      <w:rFonts w:ascii="等线" w:hAnsi="等线" w:eastAsia="等线"/>
      <w:kern w:val="2"/>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76252F6EC97BD48BFC15397CDF87BCA" ma:contentTypeVersion="14" ma:contentTypeDescription="Ein neues Dokument erstellen." ma:contentTypeScope="" ma:versionID="99bba3a2774fdba6befc8d470ad041a8">
  <xsd:schema xmlns:xsd="http://www.w3.org/2001/XMLSchema" xmlns:xs="http://www.w3.org/2001/XMLSchema" xmlns:p="http://schemas.microsoft.com/office/2006/metadata/properties" xmlns:ns3="892d8916-a04a-483c-b38c-baf9957a1c5f" xmlns:ns4="697eed72-5420-4f01-93c1-7c9f4310e871" targetNamespace="http://schemas.microsoft.com/office/2006/metadata/properties" ma:root="true" ma:fieldsID="08b8b0ba8c484102a3bbe13611225d97" ns3:_="" ns4:_="">
    <xsd:import namespace="892d8916-a04a-483c-b38c-baf9957a1c5f"/>
    <xsd:import namespace="697eed72-5420-4f01-93c1-7c9f4310e8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d8916-a04a-483c-b38c-baf9957a1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7eed72-5420-4f01-93c1-7c9f4310e87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0931C-FCE2-4CC4-80DE-15614B41F1F9}">
  <ds:schemaRefs/>
</ds:datastoreItem>
</file>

<file path=customXml/itemProps2.xml><?xml version="1.0" encoding="utf-8"?>
<ds:datastoreItem xmlns:ds="http://schemas.openxmlformats.org/officeDocument/2006/customXml" ds:itemID="{5DF20111-77FD-4F18-8E31-D737874646AB}">
  <ds:schemaRefs/>
</ds:datastoreItem>
</file>

<file path=customXml/itemProps3.xml><?xml version="1.0" encoding="utf-8"?>
<ds:datastoreItem xmlns:ds="http://schemas.openxmlformats.org/officeDocument/2006/customXml" ds:itemID="{A9898B61-61B7-44F1-9388-8B27875B1EDA}">
  <ds:schemaRefs/>
</ds:datastoreItem>
</file>

<file path=customXml/itemProps4.xml><?xml version="1.0" encoding="utf-8"?>
<ds:datastoreItem xmlns:ds="http://schemas.openxmlformats.org/officeDocument/2006/customXml" ds:itemID="{B7DA32DB-E5B8-4E32-AD11-08F2E668867B}">
  <ds:schemaRefs/>
</ds:datastoreItem>
</file>

<file path=docProps/app.xml><?xml version="1.0" encoding="utf-8"?>
<Properties xmlns="http://schemas.openxmlformats.org/officeDocument/2006/extended-properties" xmlns:vt="http://schemas.openxmlformats.org/officeDocument/2006/docPropsVTypes">
  <Template>Normal.dotm</Template>
  <Company>University of Bern</Company>
  <Pages>6</Pages>
  <Words>2122</Words>
  <Characters>12395</Characters>
  <Lines>141</Lines>
  <Paragraphs>39</Paragraphs>
  <TotalTime>58</TotalTime>
  <ScaleCrop>false</ScaleCrop>
  <LinksUpToDate>false</LinksUpToDate>
  <CharactersWithSpaces>14330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2024-01-05T13:15:00Z</dcterms:created>
  <dc:creator>Whitesell, Veronika (ISPM)</dc:creator>
  <cp:lastModifiedBy>是什么</cp:lastModifiedBy>
  <cp:lastPrinted>2021-09-28T07:08:00Z</cp:lastPrinted>
  <dcterms:modified xsi:type="dcterms:W3CDTF">2024-08-22T15:22:18Z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0x010100D76252F6EC97BD48BFC15397CDF87BCA</vt:lpwstr>
  </property>
  <property fmtid="{D5CDD505-2E9C-101B-9397-08002B2CF9AE}" pid="3" name="Mendeley Document_1">
    <vt:lpwstr>True</vt:lpwstr>
  </property>
  <property fmtid="{D5CDD505-2E9C-101B-9397-08002B2CF9AE}" pid="4" name="Mendeley Unique User Id_1">
    <vt:lpwstr>54eed440-5ecd-3ecc-9960-859334ccb0da</vt:lpwstr>
  </property>
  <property fmtid="{D5CDD505-2E9C-101B-9397-08002B2CF9AE}" pid="5" name="Mendeley Citation Style_1">
    <vt:lpwstr>http://www.zotero.org/styles/vancouver-superscript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http://www.zotero.org/styles/vancouver-imperial-college-london</vt:lpwstr>
  </property>
  <property fmtid="{D5CDD505-2E9C-101B-9397-08002B2CF9AE}" pid="21" name="Mendeley Recent Style Name 7_1">
    <vt:lpwstr>Imperial College London - Vancouver</vt:lpwstr>
  </property>
  <property fmtid="{D5CDD505-2E9C-101B-9397-08002B2CF9AE}" pid="22" name="Mendeley Recent Style Id 8_1">
    <vt:lpwstr>http://www.zotero.org/styles/vancouver</vt:lpwstr>
  </property>
  <property fmtid="{D5CDD505-2E9C-101B-9397-08002B2CF9AE}" pid="23" name="Mendeley Recent Style Name 8_1">
    <vt:lpwstr>Vancouver</vt:lpwstr>
  </property>
  <property fmtid="{D5CDD505-2E9C-101B-9397-08002B2CF9AE}" pid="24" name="Mendeley Recent Style Id 9_1">
    <vt:lpwstr>http://www.zotero.org/styles/vancouver-superscript</vt:lpwstr>
  </property>
  <property fmtid="{D5CDD505-2E9C-101B-9397-08002B2CF9AE}" pid="25" name="Mendeley Recent Style Name 9_1">
    <vt:lpwstr>Vancouver (superscript)</vt:lpwstr>
  </property>
  <property fmtid="{D5CDD505-2E9C-101B-9397-08002B2CF9AE}" pid="26" name="KSOProductBuildVer">
    <vt:lpwstr>2052-12.1.0.17147</vt:lpwstr>
  </property>
  <property fmtid="{D5CDD505-2E9C-101B-9397-08002B2CF9AE}" pid="27" name="ICV">
    <vt:lpwstr>AAA116314E324F2F9E131A7EAB262E4E_12</vt:lpwstr>
  </property>
</Properties>
</file>