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8FB2" w14:textId="1411955A" w:rsidR="00EB73B7" w:rsidRPr="003902E3" w:rsidRDefault="00EB73B7" w:rsidP="00EB73B7">
      <w:pPr>
        <w:pStyle w:val="Heading1"/>
        <w:numPr>
          <w:ilvl w:val="0"/>
          <w:numId w:val="0"/>
        </w:numPr>
        <w:spacing w:line="480" w:lineRule="auto"/>
        <w:rPr>
          <w:sz w:val="28"/>
          <w:lang w:val="en-CA"/>
        </w:rPr>
      </w:pPr>
      <w:r w:rsidRPr="003902E3">
        <w:rPr>
          <w:sz w:val="28"/>
          <w:lang w:val="en-CA"/>
        </w:rPr>
        <w:t xml:space="preserve">Supplementary information 1: </w:t>
      </w:r>
      <w:r w:rsidR="00A07100">
        <w:rPr>
          <w:sz w:val="28"/>
          <w:lang w:val="en-CA"/>
        </w:rPr>
        <w:t>Cancer t</w:t>
      </w:r>
      <w:r w:rsidRPr="003902E3">
        <w:rPr>
          <w:sz w:val="28"/>
          <w:lang w:val="en-CA"/>
        </w:rPr>
        <w:t>reatments trigger melanoma cell proliferation arrest, morphological changes, and cell death.</w:t>
      </w:r>
    </w:p>
    <w:p w14:paraId="57656439" w14:textId="06B5E7DC" w:rsidR="00EB73B7" w:rsidRPr="00456F22" w:rsidRDefault="00EB73B7" w:rsidP="00EB73B7">
      <w:pPr>
        <w:spacing w:line="480" w:lineRule="auto"/>
        <w:rPr>
          <w:lang w:val="en-CA"/>
        </w:rPr>
      </w:pPr>
      <w:r w:rsidRPr="00AE04B5">
        <w:rPr>
          <w:b/>
          <w:bCs/>
          <w:lang w:val="en-CA"/>
        </w:rPr>
        <w:t>A</w:t>
      </w:r>
      <w:r>
        <w:rPr>
          <w:lang w:val="en-CA"/>
        </w:rPr>
        <w:t xml:space="preserve">) </w:t>
      </w:r>
      <w:r w:rsidRPr="00E725EF">
        <w:rPr>
          <w:lang w:val="en-CA"/>
        </w:rPr>
        <w:t xml:space="preserve">Table </w:t>
      </w:r>
      <w:r w:rsidR="004C190D">
        <w:rPr>
          <w:lang w:val="en-CA"/>
        </w:rPr>
        <w:t>of the</w:t>
      </w:r>
      <w:r w:rsidRPr="00E725EF">
        <w:rPr>
          <w:lang w:val="en-CA"/>
        </w:rPr>
        <w:t xml:space="preserve"> IC50 values of melanoma cells in response to various tested senolytic compounds</w:t>
      </w:r>
      <w:r w:rsidRPr="00456F22">
        <w:rPr>
          <w:lang w:val="en-CA"/>
        </w:rPr>
        <w:t xml:space="preserve">. </w:t>
      </w:r>
      <w:r w:rsidRPr="00BA3D7B">
        <w:rPr>
          <w:b/>
          <w:bCs/>
          <w:lang w:val="en-CA"/>
        </w:rPr>
        <w:t>B)</w:t>
      </w:r>
      <w:r w:rsidRPr="00456F22">
        <w:rPr>
          <w:lang w:val="en-CA"/>
        </w:rPr>
        <w:t xml:space="preserve"> </w:t>
      </w:r>
      <w:r w:rsidRPr="00E725EF">
        <w:rPr>
          <w:lang w:val="en-CA"/>
        </w:rPr>
        <w:t xml:space="preserve">Immunoblotting demonstrate the inhibition of downstream molecules </w:t>
      </w:r>
      <w:r w:rsidR="00AA106A">
        <w:rPr>
          <w:lang w:val="en-CA"/>
        </w:rPr>
        <w:t>in</w:t>
      </w:r>
      <w:r w:rsidRPr="00E725EF">
        <w:rPr>
          <w:lang w:val="en-CA"/>
        </w:rPr>
        <w:t xml:space="preserve"> the MAPK/ERK pathway by </w:t>
      </w:r>
      <w:proofErr w:type="spellStart"/>
      <w:r w:rsidRPr="00E725EF">
        <w:rPr>
          <w:lang w:val="en-CA"/>
        </w:rPr>
        <w:t>BMi</w:t>
      </w:r>
      <w:proofErr w:type="spellEnd"/>
      <w:r w:rsidRPr="00E725EF">
        <w:rPr>
          <w:lang w:val="en-CA"/>
        </w:rPr>
        <w:t xml:space="preserve"> </w:t>
      </w:r>
      <w:r w:rsidR="00AE63EF">
        <w:rPr>
          <w:lang w:val="en-CA"/>
        </w:rPr>
        <w:t>following</w:t>
      </w:r>
      <w:r w:rsidRPr="00E725EF">
        <w:rPr>
          <w:lang w:val="en-CA"/>
        </w:rPr>
        <w:t xml:space="preserve"> 48 hours of inhibition</w:t>
      </w:r>
      <w:r w:rsidRPr="00456F22">
        <w:rPr>
          <w:lang w:val="en-CA"/>
        </w:rPr>
        <w:t>.</w:t>
      </w:r>
      <w:r w:rsidRPr="00AE04B5">
        <w:rPr>
          <w:lang w:val="en-CA"/>
        </w:rPr>
        <w:t xml:space="preserve"> </w:t>
      </w:r>
      <w:r w:rsidRPr="008F560D">
        <w:rPr>
          <w:b/>
          <w:bCs/>
          <w:lang w:val="en-CA"/>
        </w:rPr>
        <w:t xml:space="preserve">C-E) </w:t>
      </w:r>
      <w:r w:rsidRPr="008F560D">
        <w:rPr>
          <w:lang w:val="en-CA"/>
        </w:rPr>
        <w:t xml:space="preserve">Proliferation curves depict the response of melanoma cells to different doses of: </w:t>
      </w:r>
      <w:r w:rsidRPr="008F560D">
        <w:rPr>
          <w:b/>
          <w:bCs/>
          <w:lang w:val="en-CA"/>
        </w:rPr>
        <w:t>C)</w:t>
      </w:r>
      <w:r w:rsidRPr="008F560D">
        <w:rPr>
          <w:lang w:val="en-CA"/>
        </w:rPr>
        <w:t xml:space="preserve"> Dabrafenib (Braf-</w:t>
      </w:r>
      <w:proofErr w:type="spellStart"/>
      <w:r w:rsidRPr="008F560D">
        <w:rPr>
          <w:lang w:val="en-CA"/>
        </w:rPr>
        <w:t>i</w:t>
      </w:r>
      <w:proofErr w:type="spellEnd"/>
      <w:r w:rsidRPr="008F560D">
        <w:rPr>
          <w:lang w:val="en-CA"/>
        </w:rPr>
        <w:t xml:space="preserve">), </w:t>
      </w:r>
      <w:r w:rsidRPr="008F560D">
        <w:rPr>
          <w:b/>
          <w:bCs/>
          <w:lang w:val="en-CA"/>
        </w:rPr>
        <w:t>D)</w:t>
      </w:r>
      <w:r w:rsidRPr="008F560D">
        <w:rPr>
          <w:lang w:val="en-CA"/>
        </w:rPr>
        <w:t xml:space="preserve"> Trametinib (MEKi), and </w:t>
      </w:r>
      <w:r w:rsidRPr="008F560D">
        <w:rPr>
          <w:b/>
          <w:bCs/>
          <w:lang w:val="en-CA"/>
        </w:rPr>
        <w:t>E)</w:t>
      </w:r>
      <w:r w:rsidRPr="008F560D">
        <w:rPr>
          <w:lang w:val="en-CA"/>
        </w:rPr>
        <w:t xml:space="preserve"> the combination of </w:t>
      </w:r>
      <w:proofErr w:type="spellStart"/>
      <w:r w:rsidRPr="008F560D">
        <w:rPr>
          <w:lang w:val="en-CA"/>
        </w:rPr>
        <w:t>BMi</w:t>
      </w:r>
      <w:proofErr w:type="spellEnd"/>
      <w:r w:rsidRPr="00456F22">
        <w:rPr>
          <w:lang w:val="en-CA"/>
        </w:rPr>
        <w:t>.</w:t>
      </w:r>
      <w:r w:rsidRPr="00F729F5">
        <w:rPr>
          <w:b/>
          <w:bCs/>
          <w:lang w:val="en-CA"/>
        </w:rPr>
        <w:t xml:space="preserve"> F</w:t>
      </w:r>
      <w:r w:rsidRPr="00AE04B5">
        <w:rPr>
          <w:lang w:val="en-CA"/>
        </w:rPr>
        <w:t>)</w:t>
      </w:r>
      <w:r w:rsidRPr="00456F22">
        <w:rPr>
          <w:lang w:val="en-CA"/>
        </w:rPr>
        <w:t xml:space="preserve"> Flow cytometric analysis of </w:t>
      </w:r>
      <w:r>
        <w:rPr>
          <w:lang w:val="en-CA"/>
        </w:rPr>
        <w:t xml:space="preserve">the </w:t>
      </w:r>
      <w:r w:rsidRPr="00456F22">
        <w:rPr>
          <w:lang w:val="en-CA"/>
        </w:rPr>
        <w:t xml:space="preserve">distribution </w:t>
      </w:r>
      <w:r>
        <w:rPr>
          <w:lang w:val="en-CA"/>
        </w:rPr>
        <w:t xml:space="preserve">of cell cycle phases in Mel-1102 cells, nine days after the </w:t>
      </w:r>
      <w:r w:rsidRPr="00456F22">
        <w:rPr>
          <w:lang w:val="en-CA"/>
        </w:rPr>
        <w:t>indicated treatments.</w:t>
      </w:r>
      <w:r w:rsidRPr="00AE04B5">
        <w:rPr>
          <w:lang w:val="en-CA"/>
        </w:rPr>
        <w:t xml:space="preserve"> </w:t>
      </w:r>
      <w:r w:rsidRPr="008F560D">
        <w:rPr>
          <w:lang w:val="en-CA"/>
        </w:rPr>
        <w:t>The data is presented as Mean ± SD and is representative of at least 2 independent experiments</w:t>
      </w:r>
      <w:r w:rsidRPr="00456F22">
        <w:rPr>
          <w:lang w:val="en-CA"/>
        </w:rPr>
        <w:t>.</w:t>
      </w:r>
    </w:p>
    <w:p w14:paraId="67C2C043" w14:textId="4E992BA8" w:rsidR="00EB73B7" w:rsidRDefault="00EB73B7" w:rsidP="00EB73B7">
      <w:pPr>
        <w:pStyle w:val="Heading1"/>
        <w:numPr>
          <w:ilvl w:val="0"/>
          <w:numId w:val="0"/>
        </w:numPr>
        <w:spacing w:line="480" w:lineRule="auto"/>
        <w:rPr>
          <w:sz w:val="28"/>
          <w:lang w:val="en-CA"/>
        </w:rPr>
      </w:pPr>
      <w:r w:rsidRPr="003F0324">
        <w:rPr>
          <w:sz w:val="28"/>
          <w:lang w:val="en-CA"/>
        </w:rPr>
        <w:t xml:space="preserve">Supplementary information </w:t>
      </w:r>
      <w:r>
        <w:rPr>
          <w:sz w:val="28"/>
          <w:lang w:val="en-CA"/>
        </w:rPr>
        <w:t>2</w:t>
      </w:r>
      <w:r w:rsidRPr="003F0324">
        <w:rPr>
          <w:sz w:val="28"/>
          <w:lang w:val="en-CA"/>
        </w:rPr>
        <w:t xml:space="preserve">: </w:t>
      </w:r>
      <w:r w:rsidR="0000398B" w:rsidRPr="0000398B">
        <w:rPr>
          <w:sz w:val="28"/>
          <w:lang w:val="en-CA"/>
        </w:rPr>
        <w:t>Treatments trigger senescence features in melanoma cells</w:t>
      </w:r>
      <w:r>
        <w:rPr>
          <w:sz w:val="28"/>
          <w:lang w:val="en-CA"/>
        </w:rPr>
        <w:t>.</w:t>
      </w:r>
    </w:p>
    <w:p w14:paraId="3556B736" w14:textId="5285B731" w:rsidR="00EB73B7" w:rsidRPr="00456F22" w:rsidRDefault="00EB73B7" w:rsidP="00EB73B7">
      <w:pPr>
        <w:spacing w:line="480" w:lineRule="auto"/>
        <w:rPr>
          <w:lang w:val="en-CA"/>
        </w:rPr>
      </w:pPr>
      <w:r w:rsidRPr="00AE04B5">
        <w:rPr>
          <w:b/>
          <w:bCs/>
          <w:lang w:val="en-CA"/>
        </w:rPr>
        <w:t>A</w:t>
      </w:r>
      <w:r>
        <w:rPr>
          <w:lang w:val="en-CA"/>
        </w:rPr>
        <w:t xml:space="preserve">) Representative images of melanoma cells expressing H2B-GFP, showing their untreated </w:t>
      </w:r>
      <w:r w:rsidRPr="008F560D">
        <w:rPr>
          <w:lang w:val="en-CA"/>
        </w:rPr>
        <w:t>state and the state on day 6 following each treatment</w:t>
      </w:r>
      <w:r>
        <w:rPr>
          <w:lang w:val="en-CA"/>
        </w:rPr>
        <w:t xml:space="preserve">. </w:t>
      </w:r>
      <w:r w:rsidRPr="00AE04B5">
        <w:rPr>
          <w:b/>
          <w:bCs/>
          <w:lang w:val="en-CA"/>
        </w:rPr>
        <w:t>B</w:t>
      </w:r>
      <w:r>
        <w:rPr>
          <w:lang w:val="en-CA"/>
        </w:rPr>
        <w:t xml:space="preserve">) Representative images illustrating </w:t>
      </w:r>
      <w:proofErr w:type="spellStart"/>
      <w:r>
        <w:rPr>
          <w:lang w:val="en-CA"/>
        </w:rPr>
        <w:t>EdU</w:t>
      </w:r>
      <w:proofErr w:type="spellEnd"/>
      <w:r>
        <w:rPr>
          <w:lang w:val="en-CA"/>
        </w:rPr>
        <w:t xml:space="preserve"> pulse </w:t>
      </w:r>
      <w:r w:rsidRPr="008F560D">
        <w:rPr>
          <w:lang w:val="en-CA"/>
        </w:rPr>
        <w:t>assay conducted from day 8 to day 9 post-treatment</w:t>
      </w:r>
      <w:r>
        <w:rPr>
          <w:lang w:val="en-CA"/>
        </w:rPr>
        <w:t xml:space="preserve">. </w:t>
      </w:r>
      <w:r w:rsidR="00B36019">
        <w:rPr>
          <w:lang w:val="en-CA"/>
        </w:rPr>
        <w:t>(</w:t>
      </w:r>
      <w:r w:rsidR="0000398B" w:rsidRPr="0000398B">
        <w:rPr>
          <w:lang w:val="en-CA"/>
        </w:rPr>
        <w:t>C</w:t>
      </w:r>
      <w:r w:rsidR="00B36019">
        <w:rPr>
          <w:lang w:val="en-CA"/>
        </w:rPr>
        <w:t>-G</w:t>
      </w:r>
      <w:r w:rsidR="0000398B" w:rsidRPr="0000398B">
        <w:rPr>
          <w:lang w:val="en-CA"/>
        </w:rPr>
        <w:t xml:space="preserve">) Cells were either untreated or exposed to CP or </w:t>
      </w:r>
      <w:proofErr w:type="spellStart"/>
      <w:r w:rsidR="0000398B" w:rsidRPr="0000398B">
        <w:rPr>
          <w:lang w:val="en-CA"/>
        </w:rPr>
        <w:t>BMi</w:t>
      </w:r>
      <w:proofErr w:type="spellEnd"/>
      <w:r w:rsidR="0000398B" w:rsidRPr="0000398B">
        <w:rPr>
          <w:lang w:val="en-CA"/>
        </w:rPr>
        <w:t xml:space="preserve"> </w:t>
      </w:r>
      <w:proofErr w:type="spellStart"/>
      <w:r w:rsidR="0000398B" w:rsidRPr="0000398B">
        <w:rPr>
          <w:lang w:val="en-CA"/>
        </w:rPr>
        <w:t>treatement</w:t>
      </w:r>
      <w:proofErr w:type="spellEnd"/>
      <w:r w:rsidR="0000398B" w:rsidRPr="0000398B">
        <w:rPr>
          <w:lang w:val="en-CA"/>
        </w:rPr>
        <w:t xml:space="preserve"> for </w:t>
      </w:r>
      <w:r w:rsidR="00A52A92">
        <w:rPr>
          <w:lang w:val="en-CA"/>
        </w:rPr>
        <w:t>9</w:t>
      </w:r>
      <w:r w:rsidR="0000398B" w:rsidRPr="0000398B">
        <w:rPr>
          <w:lang w:val="en-CA"/>
        </w:rPr>
        <w:t xml:space="preserve"> days, and CM were collected for the following 48h. Secreted soluble factors were evaluated using a multiplex ELISA (40-Plex-MSD). </w:t>
      </w:r>
      <w:r w:rsidR="00B36019">
        <w:rPr>
          <w:lang w:val="en-CA"/>
        </w:rPr>
        <w:t xml:space="preserve">C) </w:t>
      </w:r>
      <w:r w:rsidR="0000398B" w:rsidRPr="0000398B">
        <w:rPr>
          <w:lang w:val="en-CA"/>
        </w:rPr>
        <w:t xml:space="preserve">Average secretion of untreated cells was used as baseline. Heatmap indicating </w:t>
      </w:r>
      <w:r w:rsidR="00B36019">
        <w:rPr>
          <w:lang w:val="en-CA"/>
        </w:rPr>
        <w:t>log2- fold change of 14 secreted factors from control, or tables indicating log2 concentration (</w:t>
      </w:r>
      <w:proofErr w:type="spellStart"/>
      <w:r w:rsidR="00B36019">
        <w:rPr>
          <w:lang w:val="en-CA"/>
        </w:rPr>
        <w:t>pg</w:t>
      </w:r>
      <w:proofErr w:type="spellEnd"/>
      <w:r w:rsidR="00B36019">
        <w:rPr>
          <w:lang w:val="en-CA"/>
        </w:rPr>
        <w:t>/ml/10E4 cells) of 14 secreted factors from Mel-SK23, Mel-1102, Mel-624.38 and Mel-526 cell lines (D, E, F and G respectively).</w:t>
      </w:r>
      <w:r w:rsidR="008D4C1B">
        <w:rPr>
          <w:lang w:val="en-CA"/>
        </w:rPr>
        <w:t xml:space="preserve"> </w:t>
      </w:r>
      <w:r w:rsidR="00433B96">
        <w:rPr>
          <w:lang w:val="en-CA"/>
        </w:rPr>
        <w:t>B</w:t>
      </w:r>
      <w:r w:rsidR="008D4C1B">
        <w:rPr>
          <w:lang w:val="en-CA"/>
        </w:rPr>
        <w:t xml:space="preserve">lue </w:t>
      </w:r>
      <w:r w:rsidR="00433B96">
        <w:rPr>
          <w:lang w:val="en-CA"/>
        </w:rPr>
        <w:t>highlights indicate values</w:t>
      </w:r>
      <w:r w:rsidR="008D4C1B">
        <w:rPr>
          <w:lang w:val="en-CA"/>
        </w:rPr>
        <w:t xml:space="preserve"> below detection range or nor detected.</w:t>
      </w:r>
      <w:r w:rsidR="00B36019">
        <w:rPr>
          <w:lang w:val="en-CA"/>
        </w:rPr>
        <w:t xml:space="preserve"> </w:t>
      </w:r>
      <w:r w:rsidR="0000398B" w:rsidRPr="0000398B">
        <w:rPr>
          <w:lang w:val="en-CA"/>
        </w:rPr>
        <w:t>Data are representative of two independent experiments.</w:t>
      </w:r>
    </w:p>
    <w:p w14:paraId="5ABF6988" w14:textId="75347556" w:rsidR="00EB73B7" w:rsidRPr="00943CB6" w:rsidRDefault="00EB73B7" w:rsidP="00EB73B7">
      <w:pPr>
        <w:pStyle w:val="Heading1"/>
        <w:numPr>
          <w:ilvl w:val="0"/>
          <w:numId w:val="0"/>
        </w:numPr>
        <w:spacing w:line="480" w:lineRule="auto"/>
        <w:rPr>
          <w:sz w:val="28"/>
          <w:lang w:val="en-CA"/>
        </w:rPr>
      </w:pPr>
      <w:r w:rsidRPr="003F0324">
        <w:rPr>
          <w:sz w:val="28"/>
          <w:lang w:val="en-CA"/>
        </w:rPr>
        <w:lastRenderedPageBreak/>
        <w:t xml:space="preserve">Supplementary information </w:t>
      </w:r>
      <w:r>
        <w:rPr>
          <w:sz w:val="28"/>
          <w:lang w:val="en-CA"/>
        </w:rPr>
        <w:t>3</w:t>
      </w:r>
      <w:r w:rsidRPr="003F0324">
        <w:rPr>
          <w:sz w:val="28"/>
          <w:lang w:val="en-CA"/>
        </w:rPr>
        <w:t xml:space="preserve">: </w:t>
      </w:r>
      <w:r w:rsidR="00E52E01" w:rsidRPr="00084562">
        <w:rPr>
          <w:sz w:val="28"/>
          <w:lang w:val="en-CA"/>
        </w:rPr>
        <w:t>S</w:t>
      </w:r>
      <w:r w:rsidRPr="00084562">
        <w:rPr>
          <w:sz w:val="28"/>
          <w:lang w:val="en-CA"/>
        </w:rPr>
        <w:t>ensitivity</w:t>
      </w:r>
      <w:r w:rsidRPr="00B9311C">
        <w:rPr>
          <w:sz w:val="28"/>
          <w:lang w:val="en-CA"/>
        </w:rPr>
        <w:t xml:space="preserve"> to </w:t>
      </w:r>
      <w:r>
        <w:rPr>
          <w:lang w:val="en-CA"/>
        </w:rPr>
        <w:t>Bcl2/</w:t>
      </w:r>
      <w:proofErr w:type="spellStart"/>
      <w:r w:rsidRPr="000C30FC">
        <w:rPr>
          <w:lang w:val="en-CA"/>
        </w:rPr>
        <w:t>Bcl</w:t>
      </w:r>
      <w:proofErr w:type="spellEnd"/>
      <w:r w:rsidRPr="000C30FC">
        <w:rPr>
          <w:lang w:val="en-CA"/>
        </w:rPr>
        <w:t>-</w:t>
      </w:r>
      <w:r>
        <w:rPr>
          <w:lang w:val="en-CA"/>
        </w:rPr>
        <w:t>XL</w:t>
      </w:r>
      <w:r w:rsidRPr="000C30FC">
        <w:rPr>
          <w:lang w:val="en-CA"/>
        </w:rPr>
        <w:t xml:space="preserve"> </w:t>
      </w:r>
      <w:r w:rsidRPr="00B9311C">
        <w:rPr>
          <w:sz w:val="28"/>
          <w:lang w:val="en-CA"/>
        </w:rPr>
        <w:t xml:space="preserve">inhibitors </w:t>
      </w:r>
      <w:r w:rsidR="00084562">
        <w:rPr>
          <w:sz w:val="28"/>
          <w:lang w:val="en-CA"/>
        </w:rPr>
        <w:t>depends on</w:t>
      </w:r>
      <w:r w:rsidRPr="00B9311C">
        <w:rPr>
          <w:sz w:val="28"/>
          <w:lang w:val="en-CA"/>
        </w:rPr>
        <w:t xml:space="preserve"> the type of initial treatment</w:t>
      </w:r>
    </w:p>
    <w:p w14:paraId="7C407B37" w14:textId="3ACE4D48" w:rsidR="00EB73B7" w:rsidRDefault="00EB73B7" w:rsidP="00EB73B7">
      <w:pPr>
        <w:spacing w:line="480" w:lineRule="auto"/>
        <w:rPr>
          <w:lang w:val="en-CA"/>
        </w:rPr>
      </w:pPr>
      <w:r>
        <w:rPr>
          <w:lang w:val="en-CA"/>
        </w:rPr>
        <w:t xml:space="preserve"> </w:t>
      </w:r>
      <w:r w:rsidRPr="00371DBA">
        <w:rPr>
          <w:b/>
          <w:lang w:val="en-CA"/>
        </w:rPr>
        <w:t>(A-D)</w:t>
      </w:r>
      <w:r w:rsidRPr="00371DBA">
        <w:rPr>
          <w:lang w:val="en-CA"/>
        </w:rPr>
        <w:t xml:space="preserve"> Prolif</w:t>
      </w:r>
      <w:r>
        <w:rPr>
          <w:lang w:val="en-CA"/>
        </w:rPr>
        <w:t xml:space="preserve">eration curves for </w:t>
      </w:r>
      <w:r w:rsidRPr="00371DBA">
        <w:rPr>
          <w:b/>
          <w:lang w:val="en-CA"/>
        </w:rPr>
        <w:t xml:space="preserve">A) </w:t>
      </w:r>
      <w:r w:rsidRPr="00B9311C">
        <w:rPr>
          <w:bCs/>
          <w:lang w:val="en-CA"/>
        </w:rPr>
        <w:t>Mel-SK23</w:t>
      </w:r>
      <w:r w:rsidRPr="00371DBA">
        <w:rPr>
          <w:b/>
          <w:lang w:val="en-CA"/>
        </w:rPr>
        <w:t>,</w:t>
      </w:r>
      <w:r w:rsidRPr="00371DBA">
        <w:rPr>
          <w:lang w:val="en-CA"/>
        </w:rPr>
        <w:t xml:space="preserve"> </w:t>
      </w:r>
      <w:r w:rsidRPr="00371DBA">
        <w:rPr>
          <w:b/>
          <w:lang w:val="en-CA"/>
        </w:rPr>
        <w:t xml:space="preserve">B) </w:t>
      </w:r>
      <w:r w:rsidRPr="00B9311C">
        <w:rPr>
          <w:bCs/>
          <w:lang w:val="en-CA"/>
        </w:rPr>
        <w:t>Mel-1102,</w:t>
      </w:r>
      <w:r w:rsidRPr="00371DBA">
        <w:rPr>
          <w:lang w:val="en-CA"/>
        </w:rPr>
        <w:t xml:space="preserve"> </w:t>
      </w:r>
      <w:r w:rsidRPr="00371DBA">
        <w:rPr>
          <w:b/>
          <w:lang w:val="en-CA"/>
        </w:rPr>
        <w:t xml:space="preserve">C) </w:t>
      </w:r>
      <w:r w:rsidRPr="00B9311C">
        <w:rPr>
          <w:bCs/>
          <w:lang w:val="en-CA"/>
        </w:rPr>
        <w:t>Mel-624.38</w:t>
      </w:r>
      <w:r w:rsidRPr="00371DBA">
        <w:rPr>
          <w:lang w:val="en-CA"/>
        </w:rPr>
        <w:t xml:space="preserve"> and </w:t>
      </w:r>
      <w:r w:rsidRPr="00371DBA">
        <w:rPr>
          <w:b/>
          <w:lang w:val="en-CA"/>
        </w:rPr>
        <w:t xml:space="preserve">D) </w:t>
      </w:r>
      <w:r w:rsidRPr="00B9311C">
        <w:rPr>
          <w:bCs/>
          <w:lang w:val="en-CA"/>
        </w:rPr>
        <w:t>Mel-526</w:t>
      </w:r>
      <w:r>
        <w:rPr>
          <w:b/>
          <w:lang w:val="en-CA"/>
        </w:rPr>
        <w:t xml:space="preserve"> </w:t>
      </w:r>
      <w:r>
        <w:rPr>
          <w:lang w:val="en-CA"/>
        </w:rPr>
        <w:t xml:space="preserve">cells, when </w:t>
      </w:r>
      <w:r w:rsidRPr="00371DBA">
        <w:rPr>
          <w:lang w:val="en-CA"/>
        </w:rPr>
        <w:t xml:space="preserve">exposed to a panel of </w:t>
      </w:r>
      <w:r w:rsidRPr="00452296">
        <w:rPr>
          <w:lang w:val="en-CA"/>
        </w:rPr>
        <w:t xml:space="preserve">four </w:t>
      </w:r>
      <w:r w:rsidRPr="00371DBA">
        <w:rPr>
          <w:lang w:val="en-CA"/>
        </w:rPr>
        <w:t>senolytic</w:t>
      </w:r>
      <w:r>
        <w:rPr>
          <w:lang w:val="en-CA"/>
        </w:rPr>
        <w:t xml:space="preserve"> drugs (ABT-263, A115, ABT-199 and PPL)</w:t>
      </w:r>
      <w:r w:rsidRPr="00371DBA">
        <w:rPr>
          <w:lang w:val="en-CA"/>
        </w:rPr>
        <w:t xml:space="preserve"> </w:t>
      </w:r>
      <w:r w:rsidRPr="00452296">
        <w:rPr>
          <w:lang w:val="en-CA"/>
        </w:rPr>
        <w:t>at varying dose ranges from 0.16µM to 5µM</w:t>
      </w:r>
      <w:r>
        <w:rPr>
          <w:lang w:val="en-CA"/>
        </w:rPr>
        <w:t xml:space="preserve">. </w:t>
      </w:r>
      <w:r w:rsidRPr="00371DBA">
        <w:rPr>
          <w:b/>
          <w:lang w:val="en-CA"/>
        </w:rPr>
        <w:t>E)</w:t>
      </w:r>
      <w:r>
        <w:rPr>
          <w:lang w:val="en-CA"/>
        </w:rPr>
        <w:t xml:space="preserve"> R</w:t>
      </w:r>
      <w:r w:rsidRPr="0042576D">
        <w:rPr>
          <w:lang w:val="en-CA"/>
        </w:rPr>
        <w:t xml:space="preserve">epresentative </w:t>
      </w:r>
      <w:r>
        <w:rPr>
          <w:lang w:val="en-CA"/>
        </w:rPr>
        <w:t>i</w:t>
      </w:r>
      <w:r w:rsidRPr="0042576D">
        <w:rPr>
          <w:lang w:val="en-CA"/>
        </w:rPr>
        <w:t xml:space="preserve">mages </w:t>
      </w:r>
      <w:r w:rsidRPr="00452296">
        <w:rPr>
          <w:lang w:val="en-CA"/>
        </w:rPr>
        <w:t xml:space="preserve">illustrating </w:t>
      </w:r>
      <w:r>
        <w:rPr>
          <w:lang w:val="en-CA"/>
        </w:rPr>
        <w:t xml:space="preserve">cell death </w:t>
      </w:r>
      <w:r w:rsidRPr="00943CB6">
        <w:rPr>
          <w:lang w:val="en-CA"/>
        </w:rPr>
        <w:t>(</w:t>
      </w:r>
      <w:r w:rsidRPr="00452296">
        <w:rPr>
          <w:lang w:val="en-CA"/>
        </w:rPr>
        <w:t>depicted as H2BGFP in green and the PI/H2B-GFP double positive cells in pink</w:t>
      </w:r>
      <w:r w:rsidRPr="00943CB6">
        <w:rPr>
          <w:lang w:val="en-CA"/>
        </w:rPr>
        <w:t>)</w:t>
      </w:r>
      <w:r>
        <w:rPr>
          <w:lang w:val="en-CA"/>
        </w:rPr>
        <w:t xml:space="preserve"> </w:t>
      </w:r>
      <w:r w:rsidRPr="00452296">
        <w:rPr>
          <w:lang w:val="en-CA"/>
        </w:rPr>
        <w:t>occurring 24 hours after the application of senolytic treatments. The senolytic drugs employed include ABT-263, a Bcl2/</w:t>
      </w:r>
      <w:proofErr w:type="spellStart"/>
      <w:r w:rsidRPr="00452296">
        <w:rPr>
          <w:lang w:val="en-CA"/>
        </w:rPr>
        <w:t>Bcl</w:t>
      </w:r>
      <w:proofErr w:type="spellEnd"/>
      <w:r w:rsidRPr="00452296">
        <w:rPr>
          <w:lang w:val="en-CA"/>
        </w:rPr>
        <w:t xml:space="preserve">-XL inhibitor; ABT-199, a Bcl2 inhibitor; A-115, a </w:t>
      </w:r>
      <w:proofErr w:type="spellStart"/>
      <w:r w:rsidRPr="00452296">
        <w:rPr>
          <w:lang w:val="en-CA"/>
        </w:rPr>
        <w:t>Bcl</w:t>
      </w:r>
      <w:proofErr w:type="spellEnd"/>
      <w:r w:rsidRPr="00452296">
        <w:rPr>
          <w:lang w:val="en-CA"/>
        </w:rPr>
        <w:t>-XL inhibitor; and PPL, an antioxidant</w:t>
      </w:r>
      <w:r w:rsidRPr="00B9311C">
        <w:rPr>
          <w:lang w:val="en-CA"/>
        </w:rPr>
        <w:t>.</w:t>
      </w:r>
      <w:r w:rsidR="00D62810">
        <w:rPr>
          <w:lang w:val="en-CA"/>
        </w:rPr>
        <w:t xml:space="preserve"> </w:t>
      </w:r>
      <w:r w:rsidR="00D62810" w:rsidRPr="00D62810">
        <w:rPr>
          <w:lang w:val="en-CA"/>
        </w:rPr>
        <w:t>Data are representative of 3 independent experiments.</w:t>
      </w:r>
    </w:p>
    <w:p w14:paraId="7212429A" w14:textId="17C2B1C5" w:rsidR="00D62810" w:rsidRPr="00D40802" w:rsidRDefault="00D62810" w:rsidP="00D62810">
      <w:pPr>
        <w:pStyle w:val="Heading1"/>
        <w:numPr>
          <w:ilvl w:val="0"/>
          <w:numId w:val="0"/>
        </w:numPr>
        <w:spacing w:line="480" w:lineRule="auto"/>
        <w:rPr>
          <w:sz w:val="28"/>
          <w:lang w:val="en-CA"/>
        </w:rPr>
      </w:pPr>
      <w:r w:rsidRPr="00D40802">
        <w:rPr>
          <w:sz w:val="28"/>
          <w:lang w:val="en-CA"/>
        </w:rPr>
        <w:t>Supplementary inform</w:t>
      </w:r>
      <w:r w:rsidR="00EB16ED" w:rsidRPr="00EB16ED">
        <w:rPr>
          <w:sz w:val="28"/>
          <w:lang w:val="en-CA"/>
        </w:rPr>
        <w:t>ation 4</w:t>
      </w:r>
      <w:r w:rsidRPr="00D40802">
        <w:rPr>
          <w:sz w:val="28"/>
          <w:lang w:val="en-CA"/>
        </w:rPr>
        <w:t>: Therapy-induced senescence in melanoma cells include activation of the p21 pathway.</w:t>
      </w:r>
    </w:p>
    <w:p w14:paraId="744267F8" w14:textId="77777777" w:rsidR="00480AD0" w:rsidRDefault="00D62810" w:rsidP="00480AD0">
      <w:pPr>
        <w:spacing w:line="480" w:lineRule="auto"/>
        <w:rPr>
          <w:lang w:val="en-CA"/>
        </w:rPr>
      </w:pPr>
      <w:r w:rsidRPr="00480AD0">
        <w:rPr>
          <w:lang w:val="en-CA"/>
        </w:rPr>
        <w:t>A)</w:t>
      </w:r>
      <w:r w:rsidRPr="00D40802">
        <w:rPr>
          <w:lang w:val="en-CA"/>
        </w:rPr>
        <w:t xml:space="preserve"> </w:t>
      </w:r>
      <w:r w:rsidRPr="00480AD0">
        <w:rPr>
          <w:lang w:val="en-CA"/>
        </w:rPr>
        <w:t xml:space="preserve">Western blot analysis and B) corresponding quantification </w:t>
      </w:r>
      <w:r w:rsidR="005D3944" w:rsidRPr="00480AD0">
        <w:rPr>
          <w:lang w:val="en-CA"/>
        </w:rPr>
        <w:t xml:space="preserve">normalized to stain free (SF) blot </w:t>
      </w:r>
      <w:r w:rsidRPr="00480AD0">
        <w:rPr>
          <w:lang w:val="en-CA"/>
        </w:rPr>
        <w:t xml:space="preserve">showing the expression levels of p53, p21, </w:t>
      </w:r>
      <w:proofErr w:type="spellStart"/>
      <w:r w:rsidRPr="00480AD0">
        <w:rPr>
          <w:lang w:val="en-CA"/>
        </w:rPr>
        <w:t>Bcl</w:t>
      </w:r>
      <w:proofErr w:type="spellEnd"/>
      <w:r w:rsidRPr="00480AD0">
        <w:rPr>
          <w:lang w:val="en-CA"/>
        </w:rPr>
        <w:t xml:space="preserve">-XL and Bcl-2 at various time points in different melanoma cell lines when exposed to either CP or </w:t>
      </w:r>
      <w:proofErr w:type="spellStart"/>
      <w:r w:rsidRPr="00480AD0">
        <w:rPr>
          <w:lang w:val="en-CA"/>
        </w:rPr>
        <w:t>BMi</w:t>
      </w:r>
      <w:proofErr w:type="spellEnd"/>
      <w:r w:rsidRPr="00480AD0">
        <w:rPr>
          <w:lang w:val="en-CA"/>
        </w:rPr>
        <w:t xml:space="preserve">. </w:t>
      </w:r>
      <w:r w:rsidR="00EB16ED" w:rsidRPr="00480AD0">
        <w:rPr>
          <w:lang w:val="en-CA"/>
        </w:rPr>
        <w:t xml:space="preserve">Data are representative of two independent experiments. Bcl-2 and </w:t>
      </w:r>
      <w:proofErr w:type="spellStart"/>
      <w:r w:rsidR="00EB16ED" w:rsidRPr="00480AD0">
        <w:rPr>
          <w:lang w:val="en-CA"/>
        </w:rPr>
        <w:t>Bcl</w:t>
      </w:r>
      <w:proofErr w:type="spellEnd"/>
      <w:r w:rsidR="00EB16ED" w:rsidRPr="00480AD0">
        <w:rPr>
          <w:lang w:val="en-CA"/>
        </w:rPr>
        <w:t>-XL were detected in one experiment</w:t>
      </w:r>
      <w:r w:rsidR="00EB16ED">
        <w:rPr>
          <w:lang w:val="en-CA"/>
        </w:rPr>
        <w:t>.</w:t>
      </w:r>
    </w:p>
    <w:p w14:paraId="50C3F400" w14:textId="329B8BDB" w:rsidR="00EB73B7" w:rsidRPr="005C29B5" w:rsidRDefault="00EB73B7" w:rsidP="00EB73B7">
      <w:pPr>
        <w:pStyle w:val="Heading1"/>
        <w:numPr>
          <w:ilvl w:val="0"/>
          <w:numId w:val="0"/>
        </w:numPr>
        <w:spacing w:line="480" w:lineRule="auto"/>
        <w:rPr>
          <w:sz w:val="28"/>
          <w:lang w:val="en-CA"/>
        </w:rPr>
      </w:pPr>
      <w:r>
        <w:rPr>
          <w:sz w:val="28"/>
          <w:lang w:val="en-CA"/>
        </w:rPr>
        <w:t>Graphical abstract</w:t>
      </w:r>
      <w:r w:rsidRPr="003F0324">
        <w:rPr>
          <w:sz w:val="28"/>
          <w:lang w:val="en-CA"/>
        </w:rPr>
        <w:t>:</w:t>
      </w:r>
    </w:p>
    <w:p w14:paraId="08748A22" w14:textId="7CD8AE33" w:rsidR="00EB73B7" w:rsidRPr="00BC4FB3" w:rsidRDefault="00084562" w:rsidP="00BC4FB3">
      <w:pPr>
        <w:spacing w:line="480" w:lineRule="auto"/>
        <w:rPr>
          <w:lang w:val="en-CA"/>
        </w:rPr>
      </w:pPr>
      <w:r>
        <w:rPr>
          <w:lang w:val="en-CA"/>
        </w:rPr>
        <w:t>Illustration of</w:t>
      </w:r>
      <w:r w:rsidR="00EB73B7" w:rsidRPr="00BC4FB3">
        <w:rPr>
          <w:lang w:val="en-CA"/>
        </w:rPr>
        <w:t xml:space="preserve"> the differential response of melanoma cells to various treatments and the potential for senolytic drugs to selectively induce death in senescent </w:t>
      </w:r>
      <w:r w:rsidR="00366B83">
        <w:rPr>
          <w:lang w:val="en-CA"/>
        </w:rPr>
        <w:t xml:space="preserve">melanoma </w:t>
      </w:r>
      <w:r w:rsidR="00EB73B7" w:rsidRPr="00BC4FB3">
        <w:rPr>
          <w:lang w:val="en-CA"/>
        </w:rPr>
        <w:t>cells. In brief, proliferating melanoma cells (left) are subjected to some form of therapy that causes</w:t>
      </w:r>
      <w:r w:rsidR="001E1B7A">
        <w:rPr>
          <w:lang w:val="en-CA"/>
        </w:rPr>
        <w:t xml:space="preserve"> diverse cell responses (blue and green arrows)</w:t>
      </w:r>
      <w:r w:rsidR="00E26249">
        <w:rPr>
          <w:lang w:val="en-CA"/>
        </w:rPr>
        <w:t>.</w:t>
      </w:r>
      <w:r w:rsidR="00EB73B7" w:rsidRPr="00BC4FB3">
        <w:rPr>
          <w:lang w:val="en-CA"/>
        </w:rPr>
        <w:t xml:space="preserve"> </w:t>
      </w:r>
      <w:r w:rsidR="00010FA1">
        <w:rPr>
          <w:lang w:val="en-CA"/>
        </w:rPr>
        <w:t>C</w:t>
      </w:r>
      <w:r w:rsidR="003A0B1C">
        <w:rPr>
          <w:lang w:val="en-CA"/>
        </w:rPr>
        <w:t>ells could</w:t>
      </w:r>
      <w:r w:rsidR="00EB73B7" w:rsidRPr="00BC4FB3">
        <w:rPr>
          <w:lang w:val="en-CA"/>
        </w:rPr>
        <w:t xml:space="preserve"> enter a state of senescence </w:t>
      </w:r>
      <w:r w:rsidR="00B95CE0">
        <w:rPr>
          <w:lang w:val="en-CA"/>
        </w:rPr>
        <w:t xml:space="preserve">or </w:t>
      </w:r>
      <w:r w:rsidR="00EA3E7F">
        <w:rPr>
          <w:lang w:val="en-CA"/>
        </w:rPr>
        <w:t xml:space="preserve">therapy induced </w:t>
      </w:r>
      <w:proofErr w:type="spellStart"/>
      <w:r w:rsidR="00433B96">
        <w:rPr>
          <w:lang w:val="en-CA"/>
        </w:rPr>
        <w:t>persister</w:t>
      </w:r>
      <w:proofErr w:type="spellEnd"/>
      <w:r w:rsidR="00433B96">
        <w:rPr>
          <w:lang w:val="en-CA"/>
        </w:rPr>
        <w:t xml:space="preserve"> cells and senescence-like phenotypes</w:t>
      </w:r>
      <w:r w:rsidR="00EA3E7F">
        <w:rPr>
          <w:lang w:val="en-CA"/>
        </w:rPr>
        <w:t xml:space="preserve"> </w:t>
      </w:r>
      <w:r w:rsidR="00EA3E7F" w:rsidRPr="00BC4FB3">
        <w:rPr>
          <w:lang w:val="en-CA"/>
        </w:rPr>
        <w:t>(middle)</w:t>
      </w:r>
      <w:r w:rsidR="00EB73B7" w:rsidRPr="00BC4FB3">
        <w:rPr>
          <w:lang w:val="en-CA"/>
        </w:rPr>
        <w:t xml:space="preserve">. On the top (left), genotoxic </w:t>
      </w:r>
      <w:r w:rsidR="00433B96">
        <w:rPr>
          <w:lang w:val="en-CA"/>
        </w:rPr>
        <w:t>stresses</w:t>
      </w:r>
      <w:r w:rsidR="00433B96" w:rsidRPr="00BC4FB3">
        <w:rPr>
          <w:lang w:val="en-CA"/>
        </w:rPr>
        <w:t xml:space="preserve"> </w:t>
      </w:r>
      <w:r w:rsidR="00433B96">
        <w:rPr>
          <w:lang w:val="en-CA"/>
        </w:rPr>
        <w:t>triggers</w:t>
      </w:r>
      <w:r w:rsidR="00EB73B7" w:rsidRPr="00BC4FB3">
        <w:rPr>
          <w:lang w:val="en-CA"/>
        </w:rPr>
        <w:t xml:space="preserve"> a senescent state, characterized by DDR (DNA Damage Response) and SASP (Senescence-Associated Secretory </w:t>
      </w:r>
      <w:r w:rsidR="00EB73B7" w:rsidRPr="00BC4FB3">
        <w:rPr>
          <w:lang w:val="en-CA"/>
        </w:rPr>
        <w:lastRenderedPageBreak/>
        <w:t xml:space="preserve">Phenotype) as well as SA-β-Gal. </w:t>
      </w:r>
      <w:r w:rsidR="00F21E54" w:rsidRPr="00BC4FB3">
        <w:rPr>
          <w:lang w:val="en-CA"/>
        </w:rPr>
        <w:t>On</w:t>
      </w:r>
      <w:r w:rsidR="00EB73B7" w:rsidRPr="00BC4FB3">
        <w:rPr>
          <w:lang w:val="en-CA"/>
        </w:rPr>
        <w:t xml:space="preserve"> the bottom</w:t>
      </w:r>
      <w:r w:rsidR="00F21E54" w:rsidRPr="00BC4FB3">
        <w:rPr>
          <w:lang w:val="en-CA"/>
        </w:rPr>
        <w:t xml:space="preserve"> (left)</w:t>
      </w:r>
      <w:r w:rsidR="00EB73B7" w:rsidRPr="00BC4FB3">
        <w:rPr>
          <w:lang w:val="en-CA"/>
        </w:rPr>
        <w:t>, BRAF and MEK inhibitors</w:t>
      </w:r>
      <w:r w:rsidR="00F21E54" w:rsidRPr="00BC4FB3">
        <w:rPr>
          <w:lang w:val="en-CA"/>
        </w:rPr>
        <w:t xml:space="preserve"> (</w:t>
      </w:r>
      <w:proofErr w:type="spellStart"/>
      <w:r w:rsidR="00F21E54" w:rsidRPr="00BC4FB3">
        <w:rPr>
          <w:lang w:val="en-CA"/>
        </w:rPr>
        <w:t>BMi</w:t>
      </w:r>
      <w:proofErr w:type="spellEnd"/>
      <w:r w:rsidR="00F21E54" w:rsidRPr="00BC4FB3">
        <w:rPr>
          <w:lang w:val="en-CA"/>
        </w:rPr>
        <w:t>)</w:t>
      </w:r>
      <w:r w:rsidR="00EB73B7" w:rsidRPr="00BC4FB3">
        <w:rPr>
          <w:lang w:val="en-CA"/>
        </w:rPr>
        <w:t xml:space="preserve"> triggers a</w:t>
      </w:r>
      <w:r w:rsidR="00F21E54" w:rsidRPr="00BC4FB3">
        <w:rPr>
          <w:lang w:val="en-CA"/>
        </w:rPr>
        <w:t xml:space="preserve"> </w:t>
      </w:r>
      <w:proofErr w:type="spellStart"/>
      <w:r w:rsidR="00433B96" w:rsidRPr="00433B96">
        <w:rPr>
          <w:lang w:val="en-CA"/>
        </w:rPr>
        <w:t>persister</w:t>
      </w:r>
      <w:proofErr w:type="spellEnd"/>
      <w:r w:rsidR="00433B96" w:rsidRPr="00433B96">
        <w:rPr>
          <w:lang w:val="en-CA"/>
        </w:rPr>
        <w:t xml:space="preserve"> state </w:t>
      </w:r>
      <w:r w:rsidR="00433B96">
        <w:rPr>
          <w:lang w:val="en-CA"/>
        </w:rPr>
        <w:t xml:space="preserve">(reversible, </w:t>
      </w:r>
      <w:r w:rsidR="00433B96" w:rsidRPr="00433B96">
        <w:rPr>
          <w:lang w:val="en-CA"/>
        </w:rPr>
        <w:t>dotted green arrow)</w:t>
      </w:r>
      <w:r w:rsidR="00433B96">
        <w:rPr>
          <w:lang w:val="en-CA"/>
        </w:rPr>
        <w:t xml:space="preserve"> </w:t>
      </w:r>
      <w:r w:rsidR="00433B96" w:rsidRPr="00433B96">
        <w:rPr>
          <w:lang w:val="en-CA"/>
        </w:rPr>
        <w:t xml:space="preserve">and </w:t>
      </w:r>
      <w:r w:rsidR="00F21E54" w:rsidRPr="00BC4FB3">
        <w:rPr>
          <w:lang w:val="en-CA"/>
        </w:rPr>
        <w:t xml:space="preserve">senescence like state </w:t>
      </w:r>
      <w:r w:rsidR="00842295">
        <w:rPr>
          <w:lang w:val="en-CA"/>
        </w:rPr>
        <w:t>(</w:t>
      </w:r>
      <w:r w:rsidR="00010FA1">
        <w:rPr>
          <w:lang w:val="en-CA"/>
        </w:rPr>
        <w:t xml:space="preserve">in </w:t>
      </w:r>
      <w:r w:rsidR="00F21E54" w:rsidRPr="00BC4FB3">
        <w:rPr>
          <w:lang w:val="en-CA"/>
        </w:rPr>
        <w:t>BRAF mutated cells</w:t>
      </w:r>
      <w:r w:rsidR="00842295">
        <w:rPr>
          <w:lang w:val="en-CA"/>
        </w:rPr>
        <w:t>)</w:t>
      </w:r>
      <w:r w:rsidR="00EB73B7" w:rsidRPr="00BC4FB3">
        <w:rPr>
          <w:lang w:val="en-CA"/>
        </w:rPr>
        <w:t xml:space="preserve">. </w:t>
      </w:r>
    </w:p>
    <w:p w14:paraId="530E8C15" w14:textId="3CCAD182" w:rsidR="0088513A" w:rsidRPr="000C7FA4" w:rsidRDefault="00EB73B7" w:rsidP="000C7FA4">
      <w:pPr>
        <w:spacing w:line="480" w:lineRule="auto"/>
        <w:rPr>
          <w:lang w:val="en-CA"/>
        </w:rPr>
      </w:pPr>
      <w:r w:rsidRPr="00BC4FB3">
        <w:rPr>
          <w:lang w:val="en-CA"/>
        </w:rPr>
        <w:t xml:space="preserve">On the right side, we see two </w:t>
      </w:r>
      <w:r w:rsidR="007D249B" w:rsidRPr="00BC4FB3">
        <w:rPr>
          <w:lang w:val="en-CA"/>
        </w:rPr>
        <w:t xml:space="preserve">distinct </w:t>
      </w:r>
      <w:r w:rsidRPr="00BC4FB3">
        <w:rPr>
          <w:lang w:val="en-CA"/>
        </w:rPr>
        <w:t xml:space="preserve">outcomes: </w:t>
      </w:r>
      <w:r w:rsidR="007D249B" w:rsidRPr="00BC4FB3">
        <w:rPr>
          <w:lang w:val="en-CA"/>
        </w:rPr>
        <w:t>cells rendered senescent by genotoxic stress</w:t>
      </w:r>
      <w:r w:rsidR="00433B96">
        <w:rPr>
          <w:lang w:val="en-CA"/>
        </w:rPr>
        <w:t>es</w:t>
      </w:r>
      <w:r w:rsidR="007D249B" w:rsidRPr="00BC4FB3">
        <w:rPr>
          <w:lang w:val="en-CA"/>
        </w:rPr>
        <w:t xml:space="preserve"> respond to Bcl2/</w:t>
      </w:r>
      <w:proofErr w:type="spellStart"/>
      <w:r w:rsidR="007D249B" w:rsidRPr="00BC4FB3">
        <w:rPr>
          <w:lang w:val="en-CA"/>
        </w:rPr>
        <w:t>Bcl</w:t>
      </w:r>
      <w:proofErr w:type="spellEnd"/>
      <w:r w:rsidR="007D249B" w:rsidRPr="00BC4FB3">
        <w:rPr>
          <w:lang w:val="en-CA"/>
        </w:rPr>
        <w:t xml:space="preserve">-XL inhibitors, resulting in cell death (top right). Conversely, cells undergoing </w:t>
      </w:r>
      <w:proofErr w:type="spellStart"/>
      <w:r w:rsidR="00433B96" w:rsidRPr="00433B96">
        <w:rPr>
          <w:lang w:val="en-CA"/>
        </w:rPr>
        <w:t>BMi</w:t>
      </w:r>
      <w:proofErr w:type="spellEnd"/>
      <w:r w:rsidR="00433B96" w:rsidRPr="00433B96">
        <w:rPr>
          <w:lang w:val="en-CA"/>
        </w:rPr>
        <w:t xml:space="preserve"> </w:t>
      </w:r>
      <w:r w:rsidR="007D249B" w:rsidRPr="00BC4FB3">
        <w:rPr>
          <w:lang w:val="en-CA"/>
        </w:rPr>
        <w:t xml:space="preserve">-induced </w:t>
      </w:r>
      <w:proofErr w:type="spellStart"/>
      <w:r w:rsidR="00433B96">
        <w:rPr>
          <w:lang w:val="en-CA"/>
        </w:rPr>
        <w:t>persister</w:t>
      </w:r>
      <w:proofErr w:type="spellEnd"/>
      <w:r w:rsidR="00433B96">
        <w:rPr>
          <w:lang w:val="en-CA"/>
        </w:rPr>
        <w:t xml:space="preserve"> or senescence-like phenotypes</w:t>
      </w:r>
      <w:r w:rsidR="007D249B" w:rsidRPr="00BC4FB3">
        <w:rPr>
          <w:lang w:val="en-CA"/>
        </w:rPr>
        <w:t xml:space="preserve"> show no response to Bcl2/</w:t>
      </w:r>
      <w:proofErr w:type="spellStart"/>
      <w:r w:rsidR="007D249B" w:rsidRPr="00BC4FB3">
        <w:rPr>
          <w:lang w:val="en-CA"/>
        </w:rPr>
        <w:t>Bcl</w:t>
      </w:r>
      <w:proofErr w:type="spellEnd"/>
      <w:r w:rsidR="007D249B" w:rsidRPr="00BC4FB3">
        <w:rPr>
          <w:lang w:val="en-CA"/>
        </w:rPr>
        <w:t xml:space="preserve">-XL inhibitors and remain unresponsive (bottom right). However, these cells can be induced to die by a concurrent combination of </w:t>
      </w:r>
      <w:proofErr w:type="spellStart"/>
      <w:r w:rsidR="007D249B" w:rsidRPr="00BC4FB3">
        <w:rPr>
          <w:lang w:val="en-CA"/>
        </w:rPr>
        <w:t>BMi</w:t>
      </w:r>
      <w:proofErr w:type="spellEnd"/>
      <w:r w:rsidR="007D249B" w:rsidRPr="00BC4FB3">
        <w:rPr>
          <w:lang w:val="en-CA"/>
        </w:rPr>
        <w:t xml:space="preserve"> and Bcl2/</w:t>
      </w:r>
      <w:proofErr w:type="spellStart"/>
      <w:r w:rsidR="007D249B" w:rsidRPr="00BC4FB3">
        <w:rPr>
          <w:lang w:val="en-CA"/>
        </w:rPr>
        <w:t>Bcl</w:t>
      </w:r>
      <w:proofErr w:type="spellEnd"/>
      <w:r w:rsidR="007D249B" w:rsidRPr="00BC4FB3">
        <w:rPr>
          <w:lang w:val="en-CA"/>
        </w:rPr>
        <w:t>-XL inhibitors</w:t>
      </w:r>
      <w:r w:rsidR="00D22DFB">
        <w:rPr>
          <w:lang w:val="en-CA"/>
        </w:rPr>
        <w:t xml:space="preserve"> (red arrow)</w:t>
      </w:r>
      <w:r w:rsidR="000C7FA4">
        <w:rPr>
          <w:lang w:val="en-CA"/>
        </w:rPr>
        <w:t>.</w:t>
      </w:r>
    </w:p>
    <w:sectPr w:rsidR="0088513A" w:rsidRPr="000C7FA4" w:rsidSect="00C23D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F25D" w14:textId="77777777" w:rsidR="00053AD1" w:rsidRDefault="00053AD1" w:rsidP="00117666">
      <w:pPr>
        <w:spacing w:after="0"/>
      </w:pPr>
      <w:r>
        <w:separator/>
      </w:r>
    </w:p>
  </w:endnote>
  <w:endnote w:type="continuationSeparator" w:id="0">
    <w:p w14:paraId="4B998E58" w14:textId="77777777" w:rsidR="00053AD1" w:rsidRDefault="00053AD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CB79" w14:textId="2A6ACE40" w:rsidR="00686C9D" w:rsidRPr="00577C4C" w:rsidRDefault="00C52A7B">
    <w:pPr>
      <w:pStyle w:val="Footer"/>
      <w:rPr>
        <w:color w:val="C00000"/>
        <w:szCs w:val="24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5E773D7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24FC9" w:rsidRPr="00524FC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Pieddepag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24FC9" w:rsidRPr="00524FC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60F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24FC9" w:rsidRPr="00524FC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Pieddepag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24FC9" w:rsidRPr="00524FC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EF1A" w14:textId="77777777" w:rsidR="00053AD1" w:rsidRDefault="00053AD1" w:rsidP="00117666">
      <w:pPr>
        <w:spacing w:after="0"/>
      </w:pPr>
      <w:r>
        <w:separator/>
      </w:r>
    </w:p>
  </w:footnote>
  <w:footnote w:type="continuationSeparator" w:id="0">
    <w:p w14:paraId="188F274C" w14:textId="77777777" w:rsidR="00053AD1" w:rsidRDefault="00053AD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D7FB" w14:textId="60AEE313" w:rsidR="009B7529" w:rsidRDefault="009B7529" w:rsidP="009B752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65ED" w14:textId="4F2282A6" w:rsidR="009B7529" w:rsidRDefault="009B7529" w:rsidP="009B752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DC69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fr-CA" w:eastAsia="fr-CA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649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AEF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6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10A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720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661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ECB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8E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64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8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56766E"/>
    <w:multiLevelType w:val="hybridMultilevel"/>
    <w:tmpl w:val="70862900"/>
    <w:lvl w:ilvl="0" w:tplc="E7121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C318A"/>
    <w:multiLevelType w:val="hybridMultilevel"/>
    <w:tmpl w:val="2BA82DEE"/>
    <w:lvl w:ilvl="0" w:tplc="650CEA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D913EB"/>
    <w:multiLevelType w:val="hybridMultilevel"/>
    <w:tmpl w:val="034CD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A7CAC"/>
    <w:multiLevelType w:val="multilevel"/>
    <w:tmpl w:val="C6A8CCEA"/>
    <w:numStyleLink w:val="Headings"/>
  </w:abstractNum>
  <w:abstractNum w:abstractNumId="19" w15:restartNumberingAfterBreak="0">
    <w:nsid w:val="32E83329"/>
    <w:multiLevelType w:val="hybridMultilevel"/>
    <w:tmpl w:val="E0884CB4"/>
    <w:lvl w:ilvl="0" w:tplc="612C530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404E8"/>
    <w:multiLevelType w:val="hybridMultilevel"/>
    <w:tmpl w:val="034CD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3F7B"/>
    <w:multiLevelType w:val="hybridMultilevel"/>
    <w:tmpl w:val="CB8411F2"/>
    <w:lvl w:ilvl="0" w:tplc="C0CCD6E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5C52B0"/>
    <w:multiLevelType w:val="hybridMultilevel"/>
    <w:tmpl w:val="034CD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501BB"/>
    <w:multiLevelType w:val="hybridMultilevel"/>
    <w:tmpl w:val="D39CA2AE"/>
    <w:lvl w:ilvl="0" w:tplc="AFACD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C5009"/>
    <w:multiLevelType w:val="hybridMultilevel"/>
    <w:tmpl w:val="F294C2D4"/>
    <w:lvl w:ilvl="0" w:tplc="7432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F4605"/>
    <w:multiLevelType w:val="hybridMultilevel"/>
    <w:tmpl w:val="373A1AC8"/>
    <w:lvl w:ilvl="0" w:tplc="497A32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D0AFD"/>
    <w:multiLevelType w:val="hybridMultilevel"/>
    <w:tmpl w:val="45D2E022"/>
    <w:lvl w:ilvl="0" w:tplc="4B926E7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F07A3"/>
    <w:multiLevelType w:val="hybridMultilevel"/>
    <w:tmpl w:val="5EBCD1C4"/>
    <w:lvl w:ilvl="0" w:tplc="E0466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C6F29"/>
    <w:multiLevelType w:val="multilevel"/>
    <w:tmpl w:val="C6A8CCEA"/>
    <w:numStyleLink w:val="Headings"/>
  </w:abstractNum>
  <w:abstractNum w:abstractNumId="39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91948002">
    <w:abstractNumId w:val="10"/>
  </w:num>
  <w:num w:numId="2" w16cid:durableId="1829712691">
    <w:abstractNumId w:val="30"/>
  </w:num>
  <w:num w:numId="3" w16cid:durableId="708456304">
    <w:abstractNumId w:val="12"/>
  </w:num>
  <w:num w:numId="4" w16cid:durableId="1254511602">
    <w:abstractNumId w:val="35"/>
  </w:num>
  <w:num w:numId="5" w16cid:durableId="73942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622828">
    <w:abstractNumId w:val="24"/>
  </w:num>
  <w:num w:numId="7" w16cid:durableId="1276981787">
    <w:abstractNumId w:val="22"/>
  </w:num>
  <w:num w:numId="8" w16cid:durableId="1195272372">
    <w:abstractNumId w:val="20"/>
  </w:num>
  <w:num w:numId="9" w16cid:durableId="2030138679">
    <w:abstractNumId w:val="23"/>
  </w:num>
  <w:num w:numId="10" w16cid:durableId="448663713">
    <w:abstractNumId w:val="21"/>
  </w:num>
  <w:num w:numId="11" w16cid:durableId="1130712900">
    <w:abstractNumId w:val="14"/>
  </w:num>
  <w:num w:numId="12" w16cid:durableId="1053963579">
    <w:abstractNumId w:val="39"/>
  </w:num>
  <w:num w:numId="13" w16cid:durableId="492718537">
    <w:abstractNumId w:val="28"/>
  </w:num>
  <w:num w:numId="14" w16cid:durableId="1241868231">
    <w:abstractNumId w:val="16"/>
  </w:num>
  <w:num w:numId="15" w16cid:durableId="893390850">
    <w:abstractNumId w:val="26"/>
  </w:num>
  <w:num w:numId="16" w16cid:durableId="1319457911">
    <w:abstractNumId w:val="34"/>
  </w:num>
  <w:num w:numId="17" w16cid:durableId="595675681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994643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127936">
    <w:abstractNumId w:val="18"/>
  </w:num>
  <w:num w:numId="20" w16cid:durableId="1781559772">
    <w:abstractNumId w:val="38"/>
  </w:num>
  <w:num w:numId="21" w16cid:durableId="1024209768">
    <w:abstractNumId w:val="15"/>
  </w:num>
  <w:num w:numId="22" w16cid:durableId="852959619">
    <w:abstractNumId w:val="1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237665816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836"/>
          </w:tabs>
          <w:ind w:left="2836" w:hanging="567"/>
        </w:pPr>
        <w:rPr>
          <w:rFonts w:hint="default"/>
        </w:rPr>
      </w:lvl>
    </w:lvlOverride>
  </w:num>
  <w:num w:numId="24" w16cid:durableId="1938294162">
    <w:abstractNumId w:val="13"/>
  </w:num>
  <w:num w:numId="25" w16cid:durableId="1634362868">
    <w:abstractNumId w:val="37"/>
  </w:num>
  <w:num w:numId="26" w16cid:durableId="276496649">
    <w:abstractNumId w:val="8"/>
  </w:num>
  <w:num w:numId="27" w16cid:durableId="122698822">
    <w:abstractNumId w:val="3"/>
  </w:num>
  <w:num w:numId="28" w16cid:durableId="1445152679">
    <w:abstractNumId w:val="2"/>
  </w:num>
  <w:num w:numId="29" w16cid:durableId="254214178">
    <w:abstractNumId w:val="1"/>
  </w:num>
  <w:num w:numId="30" w16cid:durableId="1401826365">
    <w:abstractNumId w:val="0"/>
  </w:num>
  <w:num w:numId="31" w16cid:durableId="594754971">
    <w:abstractNumId w:val="9"/>
  </w:num>
  <w:num w:numId="32" w16cid:durableId="1416826609">
    <w:abstractNumId w:val="7"/>
  </w:num>
  <w:num w:numId="33" w16cid:durableId="1358241224">
    <w:abstractNumId w:val="6"/>
  </w:num>
  <w:num w:numId="34" w16cid:durableId="1287009290">
    <w:abstractNumId w:val="5"/>
  </w:num>
  <w:num w:numId="35" w16cid:durableId="1574313051">
    <w:abstractNumId w:val="4"/>
  </w:num>
  <w:num w:numId="36" w16cid:durableId="1011448948">
    <w:abstractNumId w:val="17"/>
  </w:num>
  <w:num w:numId="37" w16cid:durableId="69275770">
    <w:abstractNumId w:val="25"/>
  </w:num>
  <w:num w:numId="38" w16cid:durableId="471555335">
    <w:abstractNumId w:val="29"/>
  </w:num>
  <w:num w:numId="39" w16cid:durableId="1730568248">
    <w:abstractNumId w:val="33"/>
  </w:num>
  <w:num w:numId="40" w16cid:durableId="1651515403">
    <w:abstractNumId w:val="32"/>
  </w:num>
  <w:num w:numId="41" w16cid:durableId="229538171">
    <w:abstractNumId w:val="31"/>
  </w:num>
  <w:num w:numId="42" w16cid:durableId="1568686146">
    <w:abstractNumId w:val="11"/>
  </w:num>
  <w:num w:numId="43" w16cid:durableId="1365205900">
    <w:abstractNumId w:val="19"/>
  </w:num>
  <w:num w:numId="44" w16cid:durableId="833452820">
    <w:abstractNumId w:val="27"/>
  </w:num>
  <w:num w:numId="45" w16cid:durableId="1654870309">
    <w:abstractNumId w:val="36"/>
  </w:num>
  <w:num w:numId="46" w16cid:durableId="1085759955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20"/>
    <w:rsid w:val="000001BE"/>
    <w:rsid w:val="0000398B"/>
    <w:rsid w:val="00010FA1"/>
    <w:rsid w:val="00015D7B"/>
    <w:rsid w:val="0002273A"/>
    <w:rsid w:val="00034304"/>
    <w:rsid w:val="00035434"/>
    <w:rsid w:val="00036D0A"/>
    <w:rsid w:val="00045678"/>
    <w:rsid w:val="000458E4"/>
    <w:rsid w:val="0005028A"/>
    <w:rsid w:val="00053AD1"/>
    <w:rsid w:val="00063D84"/>
    <w:rsid w:val="0006636D"/>
    <w:rsid w:val="00077D53"/>
    <w:rsid w:val="00081394"/>
    <w:rsid w:val="00083E02"/>
    <w:rsid w:val="00084562"/>
    <w:rsid w:val="000B34BD"/>
    <w:rsid w:val="000C7E2A"/>
    <w:rsid w:val="000C7FA4"/>
    <w:rsid w:val="000D0FFA"/>
    <w:rsid w:val="000F4CFB"/>
    <w:rsid w:val="00117666"/>
    <w:rsid w:val="001223A7"/>
    <w:rsid w:val="00134256"/>
    <w:rsid w:val="00147395"/>
    <w:rsid w:val="00152161"/>
    <w:rsid w:val="001552C9"/>
    <w:rsid w:val="00177D84"/>
    <w:rsid w:val="001964EF"/>
    <w:rsid w:val="001B1A2C"/>
    <w:rsid w:val="001D0986"/>
    <w:rsid w:val="001D5C23"/>
    <w:rsid w:val="001E1B7A"/>
    <w:rsid w:val="001E4F08"/>
    <w:rsid w:val="001F4C07"/>
    <w:rsid w:val="00206322"/>
    <w:rsid w:val="00217BA1"/>
    <w:rsid w:val="00220AEA"/>
    <w:rsid w:val="00226954"/>
    <w:rsid w:val="002368CB"/>
    <w:rsid w:val="002629A3"/>
    <w:rsid w:val="00265660"/>
    <w:rsid w:val="002662E7"/>
    <w:rsid w:val="002677A0"/>
    <w:rsid w:val="00267D18"/>
    <w:rsid w:val="002868E2"/>
    <w:rsid w:val="002869C3"/>
    <w:rsid w:val="002936E4"/>
    <w:rsid w:val="00296B88"/>
    <w:rsid w:val="002A260D"/>
    <w:rsid w:val="002A2F80"/>
    <w:rsid w:val="002C74CA"/>
    <w:rsid w:val="002F744D"/>
    <w:rsid w:val="00303DE6"/>
    <w:rsid w:val="00310124"/>
    <w:rsid w:val="00322306"/>
    <w:rsid w:val="003544FB"/>
    <w:rsid w:val="00365D63"/>
    <w:rsid w:val="00366B83"/>
    <w:rsid w:val="0036793B"/>
    <w:rsid w:val="00372682"/>
    <w:rsid w:val="00376CC5"/>
    <w:rsid w:val="0039693B"/>
    <w:rsid w:val="003A0B1C"/>
    <w:rsid w:val="003B3C40"/>
    <w:rsid w:val="003D2F2D"/>
    <w:rsid w:val="00401590"/>
    <w:rsid w:val="00433B96"/>
    <w:rsid w:val="00446E4C"/>
    <w:rsid w:val="00463E3D"/>
    <w:rsid w:val="004645AE"/>
    <w:rsid w:val="00480AD0"/>
    <w:rsid w:val="004C190D"/>
    <w:rsid w:val="004D3E33"/>
    <w:rsid w:val="00510770"/>
    <w:rsid w:val="0052252B"/>
    <w:rsid w:val="00524FC9"/>
    <w:rsid w:val="005250F2"/>
    <w:rsid w:val="005A1D84"/>
    <w:rsid w:val="005A70EA"/>
    <w:rsid w:val="005C3963"/>
    <w:rsid w:val="005D1840"/>
    <w:rsid w:val="005D35E4"/>
    <w:rsid w:val="005D3944"/>
    <w:rsid w:val="005D7910"/>
    <w:rsid w:val="00614C68"/>
    <w:rsid w:val="0062154F"/>
    <w:rsid w:val="0062375A"/>
    <w:rsid w:val="00626026"/>
    <w:rsid w:val="00631A8C"/>
    <w:rsid w:val="00651CA2"/>
    <w:rsid w:val="006523C1"/>
    <w:rsid w:val="00653D60"/>
    <w:rsid w:val="00660D05"/>
    <w:rsid w:val="00671D9A"/>
    <w:rsid w:val="00673952"/>
    <w:rsid w:val="00686C9D"/>
    <w:rsid w:val="006B2D5B"/>
    <w:rsid w:val="006B7061"/>
    <w:rsid w:val="006B7D14"/>
    <w:rsid w:val="006C186D"/>
    <w:rsid w:val="006D5B93"/>
    <w:rsid w:val="006E18DE"/>
    <w:rsid w:val="006E54C5"/>
    <w:rsid w:val="00725A7D"/>
    <w:rsid w:val="00727093"/>
    <w:rsid w:val="0073085C"/>
    <w:rsid w:val="00746505"/>
    <w:rsid w:val="00752FD1"/>
    <w:rsid w:val="00790BB3"/>
    <w:rsid w:val="00792043"/>
    <w:rsid w:val="00797EDD"/>
    <w:rsid w:val="007B0322"/>
    <w:rsid w:val="007C0E3F"/>
    <w:rsid w:val="007C206C"/>
    <w:rsid w:val="007C532A"/>
    <w:rsid w:val="007C5729"/>
    <w:rsid w:val="007D249B"/>
    <w:rsid w:val="008111E4"/>
    <w:rsid w:val="00812C7C"/>
    <w:rsid w:val="0081301C"/>
    <w:rsid w:val="00817DD6"/>
    <w:rsid w:val="00830D7D"/>
    <w:rsid w:val="00837F9E"/>
    <w:rsid w:val="00842295"/>
    <w:rsid w:val="008629A9"/>
    <w:rsid w:val="0088513A"/>
    <w:rsid w:val="00893C19"/>
    <w:rsid w:val="00895308"/>
    <w:rsid w:val="008A0240"/>
    <w:rsid w:val="008C2AD8"/>
    <w:rsid w:val="008D4C1B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B7529"/>
    <w:rsid w:val="009D259D"/>
    <w:rsid w:val="00A00487"/>
    <w:rsid w:val="00A07100"/>
    <w:rsid w:val="00A353B4"/>
    <w:rsid w:val="00A50D9D"/>
    <w:rsid w:val="00A52A92"/>
    <w:rsid w:val="00A53000"/>
    <w:rsid w:val="00A545C6"/>
    <w:rsid w:val="00A75F87"/>
    <w:rsid w:val="00A92BAF"/>
    <w:rsid w:val="00A95D8B"/>
    <w:rsid w:val="00AA106A"/>
    <w:rsid w:val="00AC0270"/>
    <w:rsid w:val="00AC3EA3"/>
    <w:rsid w:val="00AC792D"/>
    <w:rsid w:val="00AE63EF"/>
    <w:rsid w:val="00B36019"/>
    <w:rsid w:val="00B657B8"/>
    <w:rsid w:val="00B84920"/>
    <w:rsid w:val="00B8556A"/>
    <w:rsid w:val="00B95CE0"/>
    <w:rsid w:val="00BB41CE"/>
    <w:rsid w:val="00BB5DD7"/>
    <w:rsid w:val="00BB6949"/>
    <w:rsid w:val="00BC3A18"/>
    <w:rsid w:val="00BC4FB3"/>
    <w:rsid w:val="00BC6D35"/>
    <w:rsid w:val="00C012A3"/>
    <w:rsid w:val="00C16F19"/>
    <w:rsid w:val="00C23D5A"/>
    <w:rsid w:val="00C30EB1"/>
    <w:rsid w:val="00C34729"/>
    <w:rsid w:val="00C52A7B"/>
    <w:rsid w:val="00C6324C"/>
    <w:rsid w:val="00C63574"/>
    <w:rsid w:val="00C679AA"/>
    <w:rsid w:val="00C724CF"/>
    <w:rsid w:val="00C75972"/>
    <w:rsid w:val="00C82792"/>
    <w:rsid w:val="00C948FD"/>
    <w:rsid w:val="00CB20C3"/>
    <w:rsid w:val="00CB2220"/>
    <w:rsid w:val="00CB43D5"/>
    <w:rsid w:val="00CB5A56"/>
    <w:rsid w:val="00CC76F9"/>
    <w:rsid w:val="00CD066B"/>
    <w:rsid w:val="00CD3ECE"/>
    <w:rsid w:val="00CD46E2"/>
    <w:rsid w:val="00D00D0B"/>
    <w:rsid w:val="00D04B69"/>
    <w:rsid w:val="00D17FBC"/>
    <w:rsid w:val="00D22DFB"/>
    <w:rsid w:val="00D40420"/>
    <w:rsid w:val="00D40802"/>
    <w:rsid w:val="00D537FA"/>
    <w:rsid w:val="00D62810"/>
    <w:rsid w:val="00D80D99"/>
    <w:rsid w:val="00D9503C"/>
    <w:rsid w:val="00DA5D46"/>
    <w:rsid w:val="00DD73EF"/>
    <w:rsid w:val="00DE23E8"/>
    <w:rsid w:val="00DF187F"/>
    <w:rsid w:val="00E0128B"/>
    <w:rsid w:val="00E11C78"/>
    <w:rsid w:val="00E26249"/>
    <w:rsid w:val="00E52E01"/>
    <w:rsid w:val="00E64E17"/>
    <w:rsid w:val="00E852EA"/>
    <w:rsid w:val="00EA3D3C"/>
    <w:rsid w:val="00EA3E7F"/>
    <w:rsid w:val="00EB16ED"/>
    <w:rsid w:val="00EB73B7"/>
    <w:rsid w:val="00EC7CC3"/>
    <w:rsid w:val="00F21E54"/>
    <w:rsid w:val="00F254A4"/>
    <w:rsid w:val="00F46494"/>
    <w:rsid w:val="00F558AB"/>
    <w:rsid w:val="00F57871"/>
    <w:rsid w:val="00F61D89"/>
    <w:rsid w:val="00F86ABB"/>
    <w:rsid w:val="00F97039"/>
    <w:rsid w:val="00FD7648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71"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B73B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EB73B7"/>
    <w:rPr>
      <w:color w:val="808080"/>
    </w:rPr>
  </w:style>
  <w:style w:type="paragraph" w:customStyle="1" w:styleId="paragraph">
    <w:name w:val="paragraph"/>
    <w:basedOn w:val="Normal"/>
    <w:rsid w:val="00EB73B7"/>
    <w:pPr>
      <w:spacing w:before="100" w:beforeAutospacing="1" w:after="100" w:afterAutospacing="1"/>
    </w:pPr>
    <w:rPr>
      <w:rFonts w:eastAsia="Times New Roman" w:cs="Times New Roman"/>
      <w:szCs w:val="24"/>
      <w:lang w:val="fr-CA" w:eastAsia="fr-CA"/>
    </w:rPr>
  </w:style>
  <w:style w:type="character" w:customStyle="1" w:styleId="normaltextrun">
    <w:name w:val="normaltextrun"/>
    <w:basedOn w:val="DefaultParagraphFont"/>
    <w:rsid w:val="00EB73B7"/>
  </w:style>
  <w:style w:type="paragraph" w:styleId="BodyText">
    <w:name w:val="Body Text"/>
    <w:basedOn w:val="Normal"/>
    <w:link w:val="BodyTextChar"/>
    <w:rsid w:val="00EB73B7"/>
    <w:pPr>
      <w:spacing w:before="0" w:after="0" w:line="360" w:lineRule="auto"/>
      <w:jc w:val="both"/>
    </w:pPr>
    <w:rPr>
      <w:rFonts w:ascii="Arial" w:eastAsia="Times New Roman" w:hAnsi="Arial" w:cs="Arial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EB73B7"/>
    <w:rPr>
      <w:rFonts w:ascii="Arial" w:eastAsia="Times New Roman" w:hAnsi="Arial" w:cs="Arial"/>
      <w:sz w:val="24"/>
      <w:szCs w:val="24"/>
      <w:lang w:val="en-GB" w:eastAsia="fr-FR"/>
    </w:rPr>
  </w:style>
  <w:style w:type="paragraph" w:styleId="BodyText3">
    <w:name w:val="Body Text 3"/>
    <w:basedOn w:val="Normal"/>
    <w:link w:val="BodyText3Char"/>
    <w:rsid w:val="00EB73B7"/>
    <w:pPr>
      <w:spacing w:before="0" w:after="120" w:line="480" w:lineRule="auto"/>
      <w:jc w:val="both"/>
    </w:pPr>
    <w:rPr>
      <w:rFonts w:eastAsia="Times New Roman" w:cs="Times New Roman"/>
      <w:sz w:val="16"/>
      <w:szCs w:val="16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EB73B7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styleId="PageNumber">
    <w:name w:val="page number"/>
    <w:basedOn w:val="DefaultParagraphFont"/>
    <w:rsid w:val="00EB73B7"/>
  </w:style>
  <w:style w:type="paragraph" w:customStyle="1" w:styleId="ColorfulShading-Accent11">
    <w:name w:val="Colorful Shading - Accent 11"/>
    <w:hidden/>
    <w:uiPriority w:val="99"/>
    <w:semiHidden/>
    <w:rsid w:val="00EB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a24">
    <w:name w:val="Pa24"/>
    <w:basedOn w:val="Normal"/>
    <w:next w:val="Normal"/>
    <w:uiPriority w:val="99"/>
    <w:rsid w:val="00EB73B7"/>
    <w:pPr>
      <w:widowControl w:val="0"/>
      <w:autoSpaceDE w:val="0"/>
      <w:autoSpaceDN w:val="0"/>
      <w:adjustRightInd w:val="0"/>
      <w:spacing w:before="0" w:after="0" w:line="221" w:lineRule="atLeast"/>
    </w:pPr>
    <w:rPr>
      <w:rFonts w:eastAsia="Times New Roman" w:cs="Times New Roman"/>
      <w:szCs w:val="24"/>
    </w:rPr>
  </w:style>
  <w:style w:type="paragraph" w:customStyle="1" w:styleId="Pa16">
    <w:name w:val="Pa16"/>
    <w:basedOn w:val="Normal"/>
    <w:next w:val="Normal"/>
    <w:uiPriority w:val="99"/>
    <w:rsid w:val="00EB73B7"/>
    <w:pPr>
      <w:widowControl w:val="0"/>
      <w:autoSpaceDE w:val="0"/>
      <w:autoSpaceDN w:val="0"/>
      <w:adjustRightInd w:val="0"/>
      <w:spacing w:before="0" w:after="0" w:line="221" w:lineRule="atLeast"/>
    </w:pPr>
    <w:rPr>
      <w:rFonts w:eastAsia="Times New Roman" w:cs="Times New Roman"/>
      <w:szCs w:val="24"/>
    </w:rPr>
  </w:style>
  <w:style w:type="paragraph" w:customStyle="1" w:styleId="EndNoteBibliography">
    <w:name w:val="EndNote Bibliography"/>
    <w:basedOn w:val="Normal"/>
    <w:link w:val="EndNoteBibliographyCar"/>
    <w:rsid w:val="00EB73B7"/>
    <w:pPr>
      <w:spacing w:before="0" w:after="160"/>
      <w:jc w:val="both"/>
    </w:pPr>
    <w:rPr>
      <w:rFonts w:eastAsia="Calibri" w:cs="Times New Roman"/>
      <w:noProof/>
    </w:rPr>
  </w:style>
  <w:style w:type="character" w:customStyle="1" w:styleId="EndNoteBibliographyCar">
    <w:name w:val="EndNote Bibliography Car"/>
    <w:link w:val="EndNoteBibliography"/>
    <w:rsid w:val="00EB73B7"/>
    <w:rPr>
      <w:rFonts w:ascii="Times New Roman" w:eastAsia="Calibri" w:hAnsi="Times New Roman" w:cs="Times New Roman"/>
      <w:noProof/>
      <w:sz w:val="24"/>
    </w:rPr>
  </w:style>
  <w:style w:type="character" w:customStyle="1" w:styleId="ListParagraphChar">
    <w:name w:val="List Paragraph Char"/>
    <w:link w:val="ListParagraph"/>
    <w:uiPriority w:val="34"/>
    <w:locked/>
    <w:rsid w:val="00EB73B7"/>
    <w:rPr>
      <w:rFonts w:ascii="Times New Roman" w:eastAsia="Cambria" w:hAnsi="Times New Roman" w:cs="Times New Roman"/>
      <w:sz w:val="24"/>
      <w:szCs w:val="24"/>
    </w:rPr>
  </w:style>
  <w:style w:type="paragraph" w:customStyle="1" w:styleId="ColorfulShading-Accent110">
    <w:name w:val="Colorful Shading - Accent 110"/>
    <w:hidden/>
    <w:uiPriority w:val="99"/>
    <w:semiHidden/>
    <w:rsid w:val="00EB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ndNoteBibliographyTitle">
    <w:name w:val="EndNote Bibliography Title"/>
    <w:basedOn w:val="Normal"/>
    <w:link w:val="EndNoteBibliographyTitleCar"/>
    <w:rsid w:val="00EB73B7"/>
    <w:pPr>
      <w:spacing w:before="0" w:after="0" w:line="480" w:lineRule="auto"/>
      <w:jc w:val="center"/>
    </w:pPr>
    <w:rPr>
      <w:rFonts w:eastAsia="Times New Roman" w:cs="Times New Roman"/>
      <w:noProof/>
      <w:szCs w:val="24"/>
      <w:lang w:val="fr-FR" w:eastAsia="fr-FR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EB73B7"/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character" w:customStyle="1" w:styleId="Mentionnonrsolue11">
    <w:name w:val="Mention non résolue11"/>
    <w:basedOn w:val="DefaultParagraphFont"/>
    <w:uiPriority w:val="99"/>
    <w:semiHidden/>
    <w:unhideWhenUsed/>
    <w:rsid w:val="00EB73B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EB73B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EB73B7"/>
    <w:rPr>
      <w:color w:val="605E5C"/>
      <w:shd w:val="clear" w:color="auto" w:fill="E1DFDD"/>
    </w:rPr>
  </w:style>
  <w:style w:type="character" w:customStyle="1" w:styleId="html-italic">
    <w:name w:val="html-italic"/>
    <w:basedOn w:val="DefaultParagraphFont"/>
    <w:rsid w:val="00EB73B7"/>
  </w:style>
  <w:style w:type="character" w:customStyle="1" w:styleId="eop">
    <w:name w:val="eop"/>
    <w:basedOn w:val="DefaultParagraphFont"/>
    <w:rsid w:val="00EB73B7"/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EB73B7"/>
    <w:rPr>
      <w:color w:val="605E5C"/>
      <w:shd w:val="clear" w:color="auto" w:fill="E1DFDD"/>
    </w:rPr>
  </w:style>
  <w:style w:type="paragraph" w:customStyle="1" w:styleId="Teaser">
    <w:name w:val="Teaser"/>
    <w:basedOn w:val="Normal"/>
    <w:rsid w:val="00EB73B7"/>
    <w:pPr>
      <w:spacing w:after="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DFAC533-BE0C-401E-ABC5-C713EFD3C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Felicity Bax</cp:lastModifiedBy>
  <cp:revision>2</cp:revision>
  <cp:lastPrinted>2023-12-29T20:00:00Z</cp:lastPrinted>
  <dcterms:created xsi:type="dcterms:W3CDTF">2024-05-27T13:17:00Z</dcterms:created>
  <dcterms:modified xsi:type="dcterms:W3CDTF">2024-05-27T13:17:00Z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