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095F5136" w:rsidR="00654E8F" w:rsidRPr="001549D3" w:rsidRDefault="0064740A" w:rsidP="0001436A">
      <w:pPr>
        <w:pStyle w:val="SupplementaryMaterial"/>
        <w:rPr>
          <w:b w:val="0"/>
        </w:rPr>
      </w:pPr>
      <w:r w:rsidRPr="0001436A">
        <w:t>Supplementary</w:t>
      </w:r>
      <w:r w:rsidRPr="001549D3">
        <w:t xml:space="preserve"> Figures</w:t>
      </w:r>
    </w:p>
    <w:p w14:paraId="11EC8DA1" w14:textId="39552D00" w:rsidR="00994A3D" w:rsidRPr="001549D3" w:rsidRDefault="0064740A" w:rsidP="0064740A">
      <w:pPr>
        <w:pStyle w:val="Heading2"/>
        <w:numPr>
          <w:ilvl w:val="0"/>
          <w:numId w:val="0"/>
        </w:numPr>
        <w:ind w:left="567" w:hanging="567"/>
        <w:jc w:val="center"/>
      </w:pPr>
      <w:r>
        <w:rPr>
          <w:noProof/>
        </w:rPr>
        <w:drawing>
          <wp:inline distT="0" distB="0" distL="0" distR="0" wp14:anchorId="1B385F5D" wp14:editId="5D2B50E3">
            <wp:extent cx="4124499" cy="5157216"/>
            <wp:effectExtent l="0" t="0" r="0" b="5715"/>
            <wp:docPr id="1813485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326" cy="51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AD9FA" w14:textId="32DD6874" w:rsidR="00B21A0B" w:rsidRPr="00EE1B7D" w:rsidRDefault="00B21A0B" w:rsidP="00B21A0B">
      <w:pPr>
        <w:rPr>
          <w:rFonts w:eastAsia="SimSun"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Pr="00544078">
        <w:rPr>
          <w:rFonts w:eastAsia="SimSun" w:cs="Times New Roman"/>
          <w:b/>
          <w:bCs/>
          <w:szCs w:val="24"/>
        </w:rPr>
        <w:t xml:space="preserve"> 1. The recombinant strains of Saccharomyces cerevisiae were constructed using the δ-integration strategy to achieve high copy number of ASFV antigen cocktails. (A)</w:t>
      </w:r>
      <w:r w:rsidRPr="00544078">
        <w:rPr>
          <w:rFonts w:eastAsia="SimSun" w:cs="Times New Roman"/>
          <w:szCs w:val="24"/>
        </w:rPr>
        <w:t>The standard curve of the recombinant plasmid was obtained by a qPCR assay. Of the recombinant plasmid, 10</w:t>
      </w:r>
      <w:r w:rsidRPr="00544078">
        <w:rPr>
          <w:rFonts w:eastAsia="SimSun" w:cs="Times New Roman"/>
          <w:szCs w:val="24"/>
          <w:vertAlign w:val="superscript"/>
        </w:rPr>
        <w:t>8</w:t>
      </w:r>
      <w:r w:rsidRPr="00544078">
        <w:rPr>
          <w:rFonts w:eastAsia="SimSun" w:cs="Times New Roman"/>
          <w:szCs w:val="24"/>
        </w:rPr>
        <w:t>–10</w:t>
      </w:r>
      <w:r w:rsidRPr="00544078">
        <w:rPr>
          <w:rFonts w:eastAsia="SimSun" w:cs="Times New Roman"/>
          <w:szCs w:val="24"/>
          <w:vertAlign w:val="superscript"/>
        </w:rPr>
        <w:t>2</w:t>
      </w:r>
      <w:r w:rsidRPr="00544078">
        <w:rPr>
          <w:rFonts w:eastAsia="SimSun" w:cs="Times New Roman"/>
          <w:szCs w:val="24"/>
        </w:rPr>
        <w:t xml:space="preserve">copies/ml were used as the template for the reaction. A standard curve of the correlation between DNA copy number and qPCR cycle threshold (Ct) value was constructed using GraphPad Prism </w:t>
      </w:r>
      <w:r w:rsidRPr="001C3811">
        <w:rPr>
          <w:rFonts w:eastAsia="SimSun" w:cs="Times New Roman"/>
          <w:szCs w:val="24"/>
        </w:rPr>
        <w:t>version 9.4.1.681</w:t>
      </w:r>
      <w:r w:rsidRPr="00544078">
        <w:rPr>
          <w:rFonts w:eastAsia="SimSun" w:cs="Times New Roman"/>
          <w:szCs w:val="24"/>
        </w:rPr>
        <w:t>. R</w:t>
      </w:r>
      <w:r w:rsidRPr="00544078">
        <w:rPr>
          <w:rFonts w:eastAsia="SimSun" w:cs="Times New Roman"/>
          <w:szCs w:val="24"/>
          <w:vertAlign w:val="superscript"/>
        </w:rPr>
        <w:t>2</w:t>
      </w:r>
      <w:r w:rsidRPr="004755D4">
        <w:rPr>
          <w:rFonts w:eastAsia="SimSun" w:cs="Times New Roman"/>
          <w:szCs w:val="24"/>
        </w:rPr>
        <w:t xml:space="preserve"> </w:t>
      </w:r>
      <w:r w:rsidRPr="00544078">
        <w:rPr>
          <w:rFonts w:eastAsia="SimSun" w:cs="Times New Roman"/>
          <w:szCs w:val="24"/>
        </w:rPr>
        <w:t>represents the degree of fit of the regression line. The slope of the standard curve represents the amplification efficiency (E), through the following formula E =10 (</w:t>
      </w:r>
      <w:r w:rsidRPr="00544078">
        <w:rPr>
          <w:rFonts w:eastAsia="MS Gothic" w:cs="Times New Roman"/>
          <w:szCs w:val="24"/>
        </w:rPr>
        <w:t>‒</w:t>
      </w:r>
      <w:r w:rsidRPr="00544078">
        <w:rPr>
          <w:rFonts w:eastAsia="SimSun" w:cs="Times New Roman"/>
          <w:szCs w:val="24"/>
        </w:rPr>
        <w:t>1/slope).</w:t>
      </w:r>
      <w:r w:rsidRPr="00544078">
        <w:rPr>
          <w:rFonts w:eastAsia="SimSun" w:cs="Times New Roman"/>
          <w:b/>
          <w:bCs/>
          <w:szCs w:val="24"/>
        </w:rPr>
        <w:t xml:space="preserve"> (B)</w:t>
      </w:r>
      <w:r w:rsidRPr="00544078">
        <w:rPr>
          <w:rFonts w:eastAsia="SimSun" w:cs="Times New Roman"/>
          <w:szCs w:val="24"/>
        </w:rPr>
        <w:t xml:space="preserve"> Growth curves of EBY100 and recombinant Saccharomyces cerevisiae strains. Growth progression was monitored by measurement of the optical density at 600 nm (OD 600).</w:t>
      </w:r>
      <w:r w:rsidRPr="001C3811">
        <w:rPr>
          <w:rFonts w:eastAsia="SimSun" w:cs="Times New Roman"/>
          <w:szCs w:val="24"/>
        </w:rPr>
        <w:t xml:space="preserve"> </w:t>
      </w:r>
      <w:r w:rsidRPr="00544078">
        <w:rPr>
          <w:rFonts w:eastAsia="SimSun" w:cs="Times New Roman"/>
          <w:b/>
          <w:bCs/>
          <w:szCs w:val="24"/>
        </w:rPr>
        <w:t xml:space="preserve">(C) </w:t>
      </w:r>
      <w:r w:rsidRPr="00544078">
        <w:rPr>
          <w:rFonts w:eastAsia="SimSun" w:cs="Times New Roman"/>
          <w:szCs w:val="24"/>
        </w:rPr>
        <w:t xml:space="preserve">Genetic identity and genetic stability of the recombinant saccharomyces </w:t>
      </w:r>
      <w:r w:rsidRPr="00EE1B7D">
        <w:rPr>
          <w:rFonts w:eastAsia="SimSun" w:cs="Times New Roman"/>
          <w:szCs w:val="24"/>
        </w:rPr>
        <w:t xml:space="preserve">cerevisiae strains were assessed via polymerase chain reaction (PCR) analysis of the genomic DNA. </w:t>
      </w:r>
      <w:r w:rsidR="005E7D7B" w:rsidRPr="00EE1B7D">
        <w:rPr>
          <w:rFonts w:eastAsia="SimSun" w:cs="Times New Roman"/>
          <w:szCs w:val="24"/>
        </w:rPr>
        <w:t>M is for DNA size marker.</w:t>
      </w:r>
      <w:r w:rsidR="005E7D7B" w:rsidRPr="00EE1B7D">
        <w:rPr>
          <w:rFonts w:eastAsia="SimSun" w:cs="Times New Roman" w:hint="eastAsia"/>
          <w:szCs w:val="24"/>
          <w:lang w:eastAsia="zh-CN"/>
        </w:rPr>
        <w:t xml:space="preserve"> </w:t>
      </w:r>
      <w:r w:rsidR="005E7D7B" w:rsidRPr="00EE1B7D">
        <w:rPr>
          <w:rFonts w:eastAsia="SimSun" w:cs="Times New Roman"/>
          <w:szCs w:val="24"/>
        </w:rPr>
        <w:t>Strains from subcultures 1, 10, 20, 30, 40, and 50 (designated as 1, 2, 3, 4, 5, and 6 respectively) were utilized as seeds for cultivation and subsequent analysis.</w:t>
      </w:r>
    </w:p>
    <w:p w14:paraId="3FD9EDBB" w14:textId="07C0BDFE" w:rsidR="0064740A" w:rsidRPr="00544078" w:rsidRDefault="0064740A" w:rsidP="00B21A0B">
      <w:pPr>
        <w:rPr>
          <w:rFonts w:eastAsia="SimSun" w:cs="Times New Roman"/>
          <w:szCs w:val="24"/>
        </w:rPr>
      </w:pPr>
      <w:r>
        <w:rPr>
          <w:rFonts w:eastAsia="SimSun" w:cs="Times New Roman"/>
          <w:noProof/>
          <w:szCs w:val="24"/>
        </w:rPr>
        <w:lastRenderedPageBreak/>
        <w:drawing>
          <wp:inline distT="0" distB="0" distL="0" distR="0" wp14:anchorId="5E9736FD" wp14:editId="31106624">
            <wp:extent cx="5756910" cy="7198360"/>
            <wp:effectExtent l="0" t="0" r="0" b="2540"/>
            <wp:docPr id="6151203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917CC" w14:textId="3D3E2DB1" w:rsidR="00B21A0B" w:rsidRPr="00544078" w:rsidRDefault="00B21A0B" w:rsidP="00B21A0B">
      <w:pPr>
        <w:rPr>
          <w:rFonts w:eastAsia="SimSun"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Pr="00544078">
        <w:rPr>
          <w:rFonts w:eastAsia="SimSun" w:cs="Times New Roman"/>
          <w:b/>
          <w:bCs/>
          <w:szCs w:val="24"/>
        </w:rPr>
        <w:t xml:space="preserve"> 2. The percentages of CD3 + and CD4 + T lymphocytes in the purified splenocytes were determined by flow cytometry.</w:t>
      </w:r>
    </w:p>
    <w:p w14:paraId="1242EEC8" w14:textId="35071B95" w:rsidR="0064740A" w:rsidRDefault="0064740A" w:rsidP="00B21A0B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5DB681B5" wp14:editId="28BB35EC">
            <wp:extent cx="5756910" cy="7198360"/>
            <wp:effectExtent l="0" t="0" r="0" b="2540"/>
            <wp:docPr id="19486718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CDFE" w14:textId="43D30A67" w:rsidR="00B21A0B" w:rsidRPr="001C3811" w:rsidRDefault="00B21A0B" w:rsidP="00B21A0B">
      <w:pPr>
        <w:rPr>
          <w:rFonts w:eastAsia="SimSun"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Pr="00544078">
        <w:rPr>
          <w:rFonts w:eastAsia="SimSun" w:cs="Times New Roman"/>
          <w:b/>
          <w:bCs/>
          <w:szCs w:val="24"/>
        </w:rPr>
        <w:t xml:space="preserve"> 3. The percentages of CD3 + and CD8 + T lymphocytes in the purified splenocytes were determined by flow cytometry.</w:t>
      </w:r>
    </w:p>
    <w:p w14:paraId="53C7D56E" w14:textId="77777777" w:rsidR="00B21A0B" w:rsidRPr="002B4A57" w:rsidRDefault="00B21A0B" w:rsidP="002B4A57">
      <w:pPr>
        <w:keepNext/>
        <w:rPr>
          <w:rFonts w:cs="Times New Roman"/>
          <w:b/>
          <w:szCs w:val="24"/>
        </w:rPr>
      </w:pP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4D6B9B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3CBA1" w14:textId="77777777" w:rsidR="004D6B9B" w:rsidRDefault="004D6B9B" w:rsidP="00117666">
      <w:pPr>
        <w:spacing w:after="0"/>
      </w:pPr>
      <w:r>
        <w:separator/>
      </w:r>
    </w:p>
  </w:endnote>
  <w:endnote w:type="continuationSeparator" w:id="0">
    <w:p w14:paraId="243BFC8B" w14:textId="77777777" w:rsidR="004D6B9B" w:rsidRDefault="004D6B9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BB5F2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BB5F2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BB5F2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BB5F2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BB5F2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BB5F2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E81BF" w14:textId="77777777" w:rsidR="004D6B9B" w:rsidRDefault="004D6B9B" w:rsidP="00117666">
      <w:pPr>
        <w:spacing w:after="0"/>
      </w:pPr>
      <w:r>
        <w:separator/>
      </w:r>
    </w:p>
  </w:footnote>
  <w:footnote w:type="continuationSeparator" w:id="0">
    <w:p w14:paraId="3EB0FF1F" w14:textId="77777777" w:rsidR="004D6B9B" w:rsidRDefault="004D6B9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BB5F2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BB5F2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46A9C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2F3235"/>
    <w:rsid w:val="003544FB"/>
    <w:rsid w:val="003D2D47"/>
    <w:rsid w:val="003D2F2D"/>
    <w:rsid w:val="00401590"/>
    <w:rsid w:val="00447801"/>
    <w:rsid w:val="00452E9C"/>
    <w:rsid w:val="004735C8"/>
    <w:rsid w:val="004961FF"/>
    <w:rsid w:val="004D6B9B"/>
    <w:rsid w:val="00517A89"/>
    <w:rsid w:val="005250F2"/>
    <w:rsid w:val="00564220"/>
    <w:rsid w:val="00593EEA"/>
    <w:rsid w:val="005A5EEE"/>
    <w:rsid w:val="005B4872"/>
    <w:rsid w:val="005E7D7B"/>
    <w:rsid w:val="006375C7"/>
    <w:rsid w:val="0064740A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07DF7"/>
    <w:rsid w:val="00A174D9"/>
    <w:rsid w:val="00A569CD"/>
    <w:rsid w:val="00AB5EE2"/>
    <w:rsid w:val="00AB6715"/>
    <w:rsid w:val="00B1671E"/>
    <w:rsid w:val="00B21A0B"/>
    <w:rsid w:val="00B25EB8"/>
    <w:rsid w:val="00B354E1"/>
    <w:rsid w:val="00B37F4D"/>
    <w:rsid w:val="00BB5F2A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45270"/>
    <w:rsid w:val="00E52377"/>
    <w:rsid w:val="00E64E17"/>
    <w:rsid w:val="00E66447"/>
    <w:rsid w:val="00E866C9"/>
    <w:rsid w:val="00EA3D3C"/>
    <w:rsid w:val="00EE1B7D"/>
    <w:rsid w:val="00F14AD4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</TotalTime>
  <Pages>3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Megan Bond</cp:lastModifiedBy>
  <cp:revision>7</cp:revision>
  <cp:lastPrinted>2013-10-03T12:51:00Z</cp:lastPrinted>
  <dcterms:created xsi:type="dcterms:W3CDTF">2024-01-20T04:57:00Z</dcterms:created>
  <dcterms:modified xsi:type="dcterms:W3CDTF">2024-04-05T16:01:00Z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