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1"/>
        <w:rPr>
          <w:rFonts w:eastAsiaTheme="minorEastAsia"/>
          <w:i w:val="0"/>
          <w:iCs/>
          <w:lang w:eastAsia="zh-CN"/>
        </w:rPr>
      </w:pPr>
      <w:r>
        <w:rPr>
          <w:i w:val="0"/>
          <w:iCs/>
        </w:rPr>
        <w:t>Supplementary Material</w:t>
      </w:r>
    </w:p>
    <w:p>
      <w:pPr>
        <w:spacing w:line="480" w:lineRule="auto"/>
        <w:jc w:val="center"/>
        <w:rPr>
          <w:sz w:val="20"/>
          <w:szCs w:val="20"/>
        </w:rPr>
      </w:pPr>
      <w:r>
        <w:drawing>
          <wp:inline distT="0" distB="0" distL="0" distR="0">
            <wp:extent cx="4860290" cy="3788410"/>
            <wp:effectExtent l="0" t="0" r="0" b="2540"/>
            <wp:docPr id="1744317923" name="图片 1"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317923" name="图片 1" descr="图形用户界面&#10;&#10;描述已自动生成"/>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4860290" cy="3788410"/>
                    </a:xfrm>
                    <a:prstGeom prst="rect">
                      <a:avLst/>
                    </a:prstGeom>
                    <a:noFill/>
                    <a:ln>
                      <a:noFill/>
                    </a:ln>
                  </pic:spPr>
                </pic:pic>
              </a:graphicData>
            </a:graphic>
          </wp:inline>
        </w:drawing>
      </w:r>
    </w:p>
    <w:p>
      <w:pPr>
        <w:pStyle w:val="4"/>
        <w:rPr>
          <w:rFonts w:ascii="Times New Roman" w:hAnsi="Times New Roman" w:eastAsia="宋体" w:cs="Times New Roman"/>
          <w:b w:val="0"/>
          <w:bCs w:val="0"/>
          <w:iCs/>
          <w:spacing w:val="0"/>
          <w:kern w:val="2"/>
          <w:sz w:val="20"/>
          <w:szCs w:val="20"/>
        </w:rPr>
      </w:pPr>
      <w:r>
        <w:rPr>
          <w:rFonts w:hint="eastAsia" w:ascii="Times New Roman" w:hAnsi="Times New Roman" w:eastAsia="宋体" w:cs="Times New Roman"/>
          <w:b/>
          <w:bCs/>
          <w:iCs/>
          <w:spacing w:val="0"/>
          <w:kern w:val="2"/>
          <w:sz w:val="20"/>
          <w:szCs w:val="20"/>
        </w:rPr>
        <w:t xml:space="preserve">Supplementary Figure 1. </w:t>
      </w:r>
      <w:r>
        <w:rPr>
          <w:rFonts w:ascii="Times New Roman" w:hAnsi="Times New Roman" w:eastAsia="宋体" w:cs="Times New Roman"/>
          <w:b/>
          <w:bCs/>
          <w:iCs/>
          <w:spacing w:val="0"/>
          <w:kern w:val="2"/>
          <w:sz w:val="20"/>
          <w:szCs w:val="20"/>
        </w:rPr>
        <w:t xml:space="preserve">Tissue-specific GUS activity analysis in transgenic plants of </w:t>
      </w:r>
      <w:r>
        <w:rPr>
          <w:rFonts w:ascii="Times New Roman" w:hAnsi="Times New Roman" w:eastAsia="宋体" w:cs="Times New Roman"/>
          <w:b/>
          <w:bCs/>
          <w:i/>
          <w:iCs w:val="0"/>
          <w:spacing w:val="0"/>
          <w:kern w:val="2"/>
          <w:sz w:val="20"/>
          <w:szCs w:val="20"/>
        </w:rPr>
        <w:t xml:space="preserve">N. </w:t>
      </w:r>
      <w:r>
        <w:rPr>
          <w:rFonts w:hint="eastAsia" w:ascii="Times New Roman" w:hAnsi="Times New Roman" w:eastAsia="宋体" w:cs="Times New Roman"/>
          <w:b/>
          <w:bCs/>
          <w:i/>
          <w:iCs w:val="0"/>
          <w:spacing w:val="0"/>
          <w:kern w:val="2"/>
          <w:sz w:val="20"/>
          <w:szCs w:val="20"/>
          <w:lang w:val="en-US" w:eastAsia="zh-CN"/>
        </w:rPr>
        <w:t>t</w:t>
      </w:r>
      <w:r>
        <w:rPr>
          <w:rFonts w:ascii="Times New Roman" w:hAnsi="Times New Roman" w:eastAsia="宋体" w:cs="Times New Roman"/>
          <w:b/>
          <w:bCs/>
          <w:i/>
          <w:iCs w:val="0"/>
          <w:spacing w:val="0"/>
          <w:kern w:val="2"/>
          <w:sz w:val="20"/>
          <w:szCs w:val="20"/>
        </w:rPr>
        <w:t>abacum</w:t>
      </w:r>
      <w:r>
        <w:rPr>
          <w:rFonts w:ascii="Times New Roman" w:hAnsi="Times New Roman" w:eastAsia="宋体" w:cs="Times New Roman"/>
          <w:b/>
          <w:bCs/>
          <w:iCs/>
          <w:spacing w:val="0"/>
          <w:kern w:val="2"/>
          <w:sz w:val="20"/>
          <w:szCs w:val="20"/>
        </w:rPr>
        <w:t xml:space="preserve"> carrying </w:t>
      </w:r>
      <w:r>
        <w:rPr>
          <w:rFonts w:ascii="Times New Roman" w:hAnsi="Times New Roman" w:eastAsia="宋体" w:cs="Times New Roman"/>
          <w:b/>
          <w:bCs/>
          <w:i/>
          <w:spacing w:val="0"/>
          <w:kern w:val="2"/>
          <w:sz w:val="20"/>
          <w:szCs w:val="20"/>
        </w:rPr>
        <w:t>pBI121-pE::GUS</w:t>
      </w:r>
      <w:r>
        <w:rPr>
          <w:rFonts w:ascii="Times New Roman" w:hAnsi="Times New Roman" w:eastAsia="宋体" w:cs="Times New Roman"/>
          <w:b/>
          <w:bCs/>
          <w:iCs/>
          <w:spacing w:val="0"/>
          <w:kern w:val="2"/>
          <w:sz w:val="20"/>
          <w:szCs w:val="20"/>
        </w:rPr>
        <w:t xml:space="preserve"> vector. </w:t>
      </w:r>
      <w:r>
        <w:rPr>
          <w:rFonts w:ascii="Times New Roman" w:hAnsi="Times New Roman" w:eastAsia="宋体" w:cs="Times New Roman"/>
          <w:b w:val="0"/>
          <w:bCs w:val="0"/>
          <w:iCs/>
          <w:spacing w:val="0"/>
          <w:kern w:val="2"/>
          <w:sz w:val="20"/>
          <w:szCs w:val="20"/>
        </w:rPr>
        <w:t xml:space="preserve">A, schematic structure of </w:t>
      </w:r>
      <w:r>
        <w:rPr>
          <w:rFonts w:ascii="Times New Roman" w:hAnsi="Times New Roman" w:eastAsia="宋体" w:cs="Times New Roman"/>
          <w:b w:val="0"/>
          <w:bCs w:val="0"/>
          <w:i/>
          <w:spacing w:val="0"/>
          <w:kern w:val="2"/>
          <w:sz w:val="20"/>
          <w:szCs w:val="20"/>
        </w:rPr>
        <w:t>pBI121-pE::GUS</w:t>
      </w:r>
      <w:r>
        <w:rPr>
          <w:rFonts w:ascii="Times New Roman" w:hAnsi="Times New Roman" w:eastAsia="宋体" w:cs="Times New Roman"/>
          <w:b w:val="0"/>
          <w:bCs w:val="0"/>
          <w:iCs/>
          <w:spacing w:val="0"/>
          <w:kern w:val="2"/>
          <w:sz w:val="20"/>
          <w:szCs w:val="20"/>
        </w:rPr>
        <w:t xml:space="preserve"> vector. B, histochemical localization of GUS activity was specifically observed in the inner cortex cells and phloem adjacent to the vascular system. </w:t>
      </w:r>
    </w:p>
    <w:p>
      <w:pPr>
        <w:rPr>
          <w:b/>
          <w:bCs/>
          <w:iCs/>
          <w:sz w:val="20"/>
          <w:szCs w:val="20"/>
        </w:rPr>
      </w:pPr>
    </w:p>
    <w:p/>
    <w:p/>
    <w:p/>
    <w:p>
      <w:pPr>
        <w:jc w:val="center"/>
      </w:pPr>
      <w:r>
        <w:drawing>
          <wp:inline distT="0" distB="0" distL="0" distR="0">
            <wp:extent cx="5676900" cy="5268595"/>
            <wp:effectExtent l="0" t="0" r="0" b="8255"/>
            <wp:docPr id="21309014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01435" name="图片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a:off x="0" y="0"/>
                      <a:ext cx="5681581" cy="5273266"/>
                    </a:xfrm>
                    <a:prstGeom prst="rect">
                      <a:avLst/>
                    </a:prstGeom>
                    <a:noFill/>
                    <a:ln>
                      <a:noFill/>
                    </a:ln>
                  </pic:spPr>
                </pic:pic>
              </a:graphicData>
            </a:graphic>
          </wp:inline>
        </w:drawing>
      </w:r>
    </w:p>
    <w:p>
      <w:r>
        <w:rPr>
          <w:rFonts w:hint="eastAsia"/>
          <w:b/>
          <w:bCs/>
          <w:iCs/>
          <w:sz w:val="20"/>
          <w:szCs w:val="20"/>
        </w:rPr>
        <w:t xml:space="preserve">Supplementary Figure 2. </w:t>
      </w:r>
      <w:r>
        <w:rPr>
          <w:b/>
          <w:bCs/>
          <w:iCs/>
          <w:sz w:val="20"/>
          <w:szCs w:val="20"/>
        </w:rPr>
        <w:t>Representative photographs of flowers and leaves isolated from transgenic and wild-type chrysanthemum plants.</w:t>
      </w:r>
    </w:p>
    <w:p>
      <w:pPr>
        <w:jc w:val="center"/>
      </w:pPr>
      <w:r>
        <w:drawing>
          <wp:inline distT="0" distB="0" distL="114300" distR="114300">
            <wp:extent cx="5854065" cy="548195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stretch>
                      <a:fillRect/>
                    </a:stretch>
                  </pic:blipFill>
                  <pic:spPr>
                    <a:xfrm>
                      <a:off x="0" y="0"/>
                      <a:ext cx="5854065" cy="5481955"/>
                    </a:xfrm>
                    <a:prstGeom prst="rect">
                      <a:avLst/>
                    </a:prstGeom>
                    <a:noFill/>
                    <a:ln>
                      <a:noFill/>
                    </a:ln>
                  </pic:spPr>
                </pic:pic>
              </a:graphicData>
            </a:graphic>
          </wp:inline>
        </w:drawing>
      </w:r>
    </w:p>
    <w:p>
      <w:pPr>
        <w:rPr>
          <w:rFonts w:hint="default" w:eastAsia="宋体"/>
          <w:b w:val="0"/>
          <w:bCs w:val="0"/>
          <w:lang w:val="en-US" w:eastAsia="zh-CN"/>
        </w:rPr>
      </w:pPr>
      <w:r>
        <w:rPr>
          <w:rFonts w:hint="eastAsia"/>
          <w:b/>
          <w:bCs/>
          <w:iCs/>
          <w:sz w:val="20"/>
          <w:szCs w:val="20"/>
        </w:rPr>
        <w:t xml:space="preserve">Supplementary Figure 3. Analysis by GC-MS of volatile compounds of chrysanthemum plants. </w:t>
      </w:r>
      <w:bookmarkStart w:id="0" w:name="OLE_LINK1"/>
      <w:r>
        <w:rPr>
          <w:rFonts w:hint="eastAsia"/>
          <w:b w:val="0"/>
          <w:bCs w:val="0"/>
          <w:iCs/>
          <w:sz w:val="20"/>
          <w:szCs w:val="20"/>
          <w:lang w:val="en-US" w:eastAsia="zh-CN"/>
        </w:rPr>
        <w:t>A,</w:t>
      </w:r>
      <w:r>
        <w:rPr>
          <w:rFonts w:hint="eastAsia"/>
          <w:b w:val="0"/>
          <w:bCs w:val="0"/>
          <w:iCs/>
          <w:sz w:val="20"/>
          <w:szCs w:val="20"/>
        </w:rPr>
        <w:t xml:space="preserve"> </w:t>
      </w:r>
      <w:r>
        <w:rPr>
          <w:rFonts w:hint="eastAsia"/>
          <w:b w:val="0"/>
          <w:bCs w:val="0"/>
          <w:iCs/>
          <w:sz w:val="20"/>
          <w:szCs w:val="20"/>
          <w:lang w:val="en-US" w:eastAsia="zh-CN"/>
        </w:rPr>
        <w:t>t</w:t>
      </w:r>
      <w:r>
        <w:rPr>
          <w:rFonts w:hint="eastAsia"/>
          <w:b w:val="0"/>
          <w:bCs w:val="0"/>
          <w:iCs/>
          <w:sz w:val="20"/>
          <w:szCs w:val="20"/>
        </w:rPr>
        <w:t xml:space="preserve">ypical GC-MS chromatograms showing the </w:t>
      </w:r>
      <w:r>
        <w:rPr>
          <w:b w:val="0"/>
          <w:bCs w:val="0"/>
          <w:iCs/>
          <w:sz w:val="20"/>
          <w:szCs w:val="20"/>
        </w:rPr>
        <w:t>hexane extracts of S</w:t>
      </w:r>
      <w:r>
        <w:rPr>
          <w:rFonts w:hint="eastAsia"/>
          <w:b w:val="0"/>
          <w:bCs w:val="0"/>
          <w:iCs/>
          <w:sz w:val="20"/>
          <w:szCs w:val="20"/>
        </w:rPr>
        <w:t>2</w:t>
      </w:r>
      <w:r>
        <w:rPr>
          <w:b w:val="0"/>
          <w:bCs w:val="0"/>
          <w:iCs/>
          <w:sz w:val="20"/>
          <w:szCs w:val="20"/>
        </w:rPr>
        <w:t xml:space="preserve"> flower </w:t>
      </w:r>
      <w:r>
        <w:rPr>
          <w:rFonts w:hint="eastAsia"/>
          <w:b w:val="0"/>
          <w:bCs w:val="0"/>
          <w:iCs/>
          <w:sz w:val="20"/>
          <w:szCs w:val="20"/>
        </w:rPr>
        <w:t>heads</w:t>
      </w:r>
      <w:r>
        <w:rPr>
          <w:rFonts w:hint="eastAsia"/>
          <w:b w:val="0"/>
          <w:bCs w:val="0"/>
          <w:iCs/>
          <w:sz w:val="20"/>
          <w:szCs w:val="20"/>
          <w:lang w:val="en-US" w:eastAsia="zh-CN"/>
        </w:rPr>
        <w:t xml:space="preserve"> </w:t>
      </w:r>
      <w:r>
        <w:rPr>
          <w:rFonts w:hint="eastAsia"/>
          <w:b w:val="0"/>
          <w:bCs w:val="0"/>
          <w:iCs/>
          <w:sz w:val="20"/>
          <w:szCs w:val="20"/>
        </w:rPr>
        <w:t>of intact wild type chrysanthemum plant</w:t>
      </w:r>
      <w:r>
        <w:rPr>
          <w:rFonts w:hint="eastAsia"/>
          <w:b w:val="0"/>
          <w:bCs w:val="0"/>
          <w:iCs/>
          <w:sz w:val="20"/>
          <w:szCs w:val="20"/>
          <w:lang w:val="en-US" w:eastAsia="zh-CN"/>
        </w:rPr>
        <w:t xml:space="preserve"> </w:t>
      </w:r>
      <w:r>
        <w:rPr>
          <w:rFonts w:hint="eastAsia"/>
          <w:b w:val="0"/>
          <w:bCs w:val="0"/>
          <w:iCs/>
          <w:sz w:val="20"/>
          <w:szCs w:val="20"/>
        </w:rPr>
        <w:t>and</w:t>
      </w:r>
      <w:r>
        <w:rPr>
          <w:rFonts w:hint="eastAsia"/>
          <w:b w:val="0"/>
          <w:bCs w:val="0"/>
          <w:iCs/>
          <w:sz w:val="20"/>
          <w:szCs w:val="20"/>
          <w:lang w:val="en-US" w:eastAsia="zh-CN"/>
        </w:rPr>
        <w:t xml:space="preserve"> </w:t>
      </w:r>
      <w:r>
        <w:rPr>
          <w:rFonts w:hint="eastAsia"/>
          <w:b w:val="0"/>
          <w:bCs w:val="0"/>
          <w:iCs/>
          <w:sz w:val="20"/>
          <w:szCs w:val="20"/>
        </w:rPr>
        <w:t>transgenic chrysanthemum plant at RT</w:t>
      </w:r>
      <w:r>
        <w:rPr>
          <w:rFonts w:hint="eastAsia"/>
          <w:b w:val="0"/>
          <w:bCs w:val="0"/>
          <w:iCs/>
          <w:sz w:val="20"/>
          <w:szCs w:val="20"/>
          <w:lang w:val="en-US" w:eastAsia="zh-CN"/>
        </w:rPr>
        <w:t xml:space="preserve"> 5</w:t>
      </w:r>
      <w:r>
        <w:rPr>
          <w:rFonts w:hint="eastAsia"/>
          <w:b w:val="0"/>
          <w:bCs w:val="0"/>
          <w:iCs/>
          <w:sz w:val="20"/>
          <w:szCs w:val="20"/>
        </w:rPr>
        <w:t>.5</w:t>
      </w:r>
      <w:r>
        <w:rPr>
          <w:rFonts w:hint="eastAsia"/>
          <w:b w:val="0"/>
          <w:bCs w:val="0"/>
          <w:iCs/>
          <w:sz w:val="20"/>
          <w:szCs w:val="20"/>
          <w:lang w:val="en-US" w:eastAsia="zh-CN"/>
        </w:rPr>
        <w:t xml:space="preserve"> - 20</w:t>
      </w:r>
      <w:r>
        <w:rPr>
          <w:rFonts w:hint="eastAsia"/>
          <w:b w:val="0"/>
          <w:bCs w:val="0"/>
          <w:iCs/>
          <w:sz w:val="20"/>
          <w:szCs w:val="20"/>
        </w:rPr>
        <w:t xml:space="preserve"> min. </w:t>
      </w:r>
      <w:bookmarkEnd w:id="0"/>
      <w:r>
        <w:rPr>
          <w:rFonts w:hint="eastAsia"/>
          <w:b w:val="0"/>
          <w:bCs w:val="0"/>
          <w:iCs/>
          <w:sz w:val="20"/>
          <w:szCs w:val="20"/>
          <w:lang w:val="en-US" w:eastAsia="zh-CN"/>
        </w:rPr>
        <w:t>B, t</w:t>
      </w:r>
      <w:r>
        <w:rPr>
          <w:rFonts w:hint="eastAsia"/>
          <w:b w:val="0"/>
          <w:bCs w:val="0"/>
          <w:iCs/>
          <w:sz w:val="20"/>
          <w:szCs w:val="20"/>
        </w:rPr>
        <w:t xml:space="preserve">ypical GC-MS chromatograms showing the </w:t>
      </w:r>
      <w:r>
        <w:rPr>
          <w:b w:val="0"/>
          <w:bCs w:val="0"/>
          <w:iCs/>
          <w:sz w:val="20"/>
          <w:szCs w:val="20"/>
        </w:rPr>
        <w:t xml:space="preserve">hexane extracts of flower </w:t>
      </w:r>
      <w:r>
        <w:rPr>
          <w:rFonts w:hint="eastAsia"/>
          <w:b w:val="0"/>
          <w:bCs w:val="0"/>
          <w:iCs/>
          <w:sz w:val="20"/>
          <w:szCs w:val="20"/>
          <w:lang w:val="en-US" w:eastAsia="zh-CN"/>
        </w:rPr>
        <w:t>stem</w:t>
      </w:r>
      <w:r>
        <w:rPr>
          <w:rFonts w:hint="eastAsia"/>
          <w:b w:val="0"/>
          <w:bCs w:val="0"/>
          <w:iCs/>
          <w:sz w:val="20"/>
          <w:szCs w:val="20"/>
        </w:rPr>
        <w:t>s</w:t>
      </w:r>
      <w:r>
        <w:rPr>
          <w:rFonts w:hint="eastAsia"/>
          <w:b w:val="0"/>
          <w:bCs w:val="0"/>
          <w:iCs/>
          <w:sz w:val="20"/>
          <w:szCs w:val="20"/>
          <w:lang w:val="en-US" w:eastAsia="zh-CN"/>
        </w:rPr>
        <w:t xml:space="preserve"> </w:t>
      </w:r>
      <w:r>
        <w:rPr>
          <w:rFonts w:hint="eastAsia"/>
          <w:b w:val="0"/>
          <w:bCs w:val="0"/>
          <w:iCs/>
          <w:sz w:val="20"/>
          <w:szCs w:val="20"/>
        </w:rPr>
        <w:t>of intact wild type chrysanthemum plant</w:t>
      </w:r>
      <w:r>
        <w:rPr>
          <w:rFonts w:hint="eastAsia"/>
          <w:b w:val="0"/>
          <w:bCs w:val="0"/>
          <w:iCs/>
          <w:sz w:val="20"/>
          <w:szCs w:val="20"/>
          <w:lang w:val="en-US" w:eastAsia="zh-CN"/>
        </w:rPr>
        <w:t xml:space="preserve"> </w:t>
      </w:r>
      <w:r>
        <w:rPr>
          <w:rFonts w:hint="eastAsia"/>
          <w:b w:val="0"/>
          <w:bCs w:val="0"/>
          <w:iCs/>
          <w:sz w:val="20"/>
          <w:szCs w:val="20"/>
        </w:rPr>
        <w:t>and</w:t>
      </w:r>
      <w:r>
        <w:rPr>
          <w:rFonts w:hint="eastAsia"/>
          <w:b w:val="0"/>
          <w:bCs w:val="0"/>
          <w:iCs/>
          <w:sz w:val="20"/>
          <w:szCs w:val="20"/>
          <w:lang w:val="en-US" w:eastAsia="zh-CN"/>
        </w:rPr>
        <w:t xml:space="preserve"> </w:t>
      </w:r>
      <w:r>
        <w:rPr>
          <w:rFonts w:hint="eastAsia"/>
          <w:b w:val="0"/>
          <w:bCs w:val="0"/>
          <w:iCs/>
          <w:sz w:val="20"/>
          <w:szCs w:val="20"/>
        </w:rPr>
        <w:t>transgenic chrysanthemum plant at RT</w:t>
      </w:r>
      <w:r>
        <w:rPr>
          <w:rFonts w:hint="eastAsia"/>
          <w:b w:val="0"/>
          <w:bCs w:val="0"/>
          <w:iCs/>
          <w:sz w:val="20"/>
          <w:szCs w:val="20"/>
          <w:lang w:val="en-US" w:eastAsia="zh-CN"/>
        </w:rPr>
        <w:t xml:space="preserve"> 5</w:t>
      </w:r>
      <w:r>
        <w:rPr>
          <w:rFonts w:hint="eastAsia"/>
          <w:b w:val="0"/>
          <w:bCs w:val="0"/>
          <w:iCs/>
          <w:sz w:val="20"/>
          <w:szCs w:val="20"/>
        </w:rPr>
        <w:t>.5</w:t>
      </w:r>
      <w:r>
        <w:rPr>
          <w:rFonts w:hint="eastAsia"/>
          <w:b w:val="0"/>
          <w:bCs w:val="0"/>
          <w:iCs/>
          <w:sz w:val="20"/>
          <w:szCs w:val="20"/>
          <w:lang w:val="en-US" w:eastAsia="zh-CN"/>
        </w:rPr>
        <w:t xml:space="preserve"> - 20</w:t>
      </w:r>
      <w:r>
        <w:rPr>
          <w:rFonts w:hint="eastAsia"/>
          <w:b w:val="0"/>
          <w:bCs w:val="0"/>
          <w:iCs/>
          <w:sz w:val="20"/>
          <w:szCs w:val="20"/>
        </w:rPr>
        <w:t xml:space="preserve"> min.</w:t>
      </w:r>
      <w:r>
        <w:rPr>
          <w:rFonts w:hint="eastAsia"/>
          <w:b w:val="0"/>
          <w:bCs w:val="0"/>
          <w:iCs/>
          <w:sz w:val="20"/>
          <w:szCs w:val="20"/>
          <w:lang w:val="en-US" w:eastAsia="zh-CN"/>
        </w:rPr>
        <w:t xml:space="preserve"> IS, internal standard (methyl laurate). RT, retention time. </w:t>
      </w:r>
    </w:p>
    <w:p/>
    <w:p/>
    <w:p/>
    <w:p/>
    <w:p/>
    <w:p/>
    <w:p/>
    <w:p/>
    <w:p/>
    <w:p/>
    <w:p/>
    <w:p/>
    <w:p/>
    <w:p/>
    <w:p/>
    <w:p/>
    <w:p/>
    <w:p/>
    <w:p/>
    <w:p/>
    <w:p/>
    <w:p/>
    <w:p/>
    <w:p/>
    <w:p/>
    <w:p/>
    <w:p/>
    <w:p/>
    <w:p/>
    <w:p/>
    <w:p/>
    <w:p/>
    <w:p>
      <w:pPr>
        <w:autoSpaceDE w:val="0"/>
        <w:autoSpaceDN w:val="0"/>
        <w:adjustRightInd w:val="0"/>
        <w:spacing w:line="480" w:lineRule="auto"/>
        <w:rPr>
          <w:b/>
          <w:bCs/>
          <w:kern w:val="0"/>
          <w:sz w:val="20"/>
          <w:szCs w:val="20"/>
        </w:rPr>
      </w:pPr>
      <w:r>
        <w:rPr>
          <w:b/>
          <w:bCs/>
          <w:iCs/>
          <w:sz w:val="20"/>
          <w:szCs w:val="20"/>
        </w:rPr>
        <w:t xml:space="preserve">Supplementary table 1. </w:t>
      </w:r>
      <w:r>
        <w:rPr>
          <w:b/>
          <w:bCs/>
          <w:kern w:val="0"/>
          <w:sz w:val="20"/>
          <w:szCs w:val="20"/>
        </w:rPr>
        <w:t>Number of putative cis-acting regulatory elements in promoter region of (</w:t>
      </w:r>
      <w:r>
        <w:rPr>
          <w:b/>
          <w:bCs/>
          <w:i/>
          <w:kern w:val="0"/>
          <w:sz w:val="20"/>
          <w:szCs w:val="20"/>
        </w:rPr>
        <w:t>E</w:t>
      </w:r>
      <w:r>
        <w:rPr>
          <w:b/>
          <w:bCs/>
          <w:kern w:val="0"/>
          <w:sz w:val="20"/>
          <w:szCs w:val="20"/>
        </w:rPr>
        <w:t xml:space="preserve">)-beta-farnesene synthase genes from </w:t>
      </w:r>
      <w:r>
        <w:rPr>
          <w:b/>
          <w:bCs/>
          <w:i/>
          <w:kern w:val="0"/>
          <w:sz w:val="20"/>
          <w:szCs w:val="20"/>
        </w:rPr>
        <w:t>A. annua</w:t>
      </w:r>
      <w:r>
        <w:rPr>
          <w:b/>
          <w:bCs/>
          <w:kern w:val="0"/>
          <w:sz w:val="20"/>
          <w:szCs w:val="20"/>
        </w:rPr>
        <w:t xml:space="preserve"> and </w:t>
      </w:r>
      <w:r>
        <w:rPr>
          <w:b/>
          <w:bCs/>
          <w:i/>
          <w:kern w:val="0"/>
          <w:sz w:val="20"/>
          <w:szCs w:val="20"/>
        </w:rPr>
        <w:t>T. cinerariifolium</w:t>
      </w:r>
      <w:r>
        <w:rPr>
          <w:b/>
          <w:bCs/>
          <w:kern w:val="0"/>
          <w:sz w:val="20"/>
          <w:szCs w:val="20"/>
        </w:rPr>
        <w:t xml:space="preserve">. </w:t>
      </w:r>
    </w:p>
    <w:tbl>
      <w:tblPr>
        <w:tblStyle w:val="5"/>
        <w:tblW w:w="0" w:type="auto"/>
        <w:tblInd w:w="108" w:type="dxa"/>
        <w:tblLayout w:type="fixed"/>
        <w:tblCellMar>
          <w:top w:w="0" w:type="dxa"/>
          <w:left w:w="108" w:type="dxa"/>
          <w:bottom w:w="0" w:type="dxa"/>
          <w:right w:w="108" w:type="dxa"/>
        </w:tblCellMar>
      </w:tblPr>
      <w:tblGrid>
        <w:gridCol w:w="2126"/>
        <w:gridCol w:w="2682"/>
        <w:gridCol w:w="1529"/>
        <w:gridCol w:w="1210"/>
        <w:gridCol w:w="5096"/>
      </w:tblGrid>
      <w:tr>
        <w:tblPrEx>
          <w:tblCellMar>
            <w:top w:w="0" w:type="dxa"/>
            <w:left w:w="108" w:type="dxa"/>
            <w:bottom w:w="0" w:type="dxa"/>
            <w:right w:w="108" w:type="dxa"/>
          </w:tblCellMar>
        </w:tblPrEx>
        <w:trPr>
          <w:trHeight w:val="279" w:hRule="atLeast"/>
        </w:trPr>
        <w:tc>
          <w:tcPr>
            <w:tcW w:w="2126" w:type="dxa"/>
            <w:vMerge w:val="restart"/>
            <w:tcBorders>
              <w:top w:val="single" w:color="auto" w:sz="4" w:space="0"/>
            </w:tcBorders>
            <w:noWrap/>
            <w:vAlign w:val="center"/>
          </w:tcPr>
          <w:p>
            <w:pPr>
              <w:jc w:val="center"/>
              <w:rPr>
                <w:bCs/>
                <w:sz w:val="16"/>
                <w:szCs w:val="16"/>
              </w:rPr>
            </w:pPr>
            <w:r>
              <w:rPr>
                <w:bCs/>
                <w:sz w:val="16"/>
                <w:szCs w:val="16"/>
              </w:rPr>
              <w:t>Cis-acting</w:t>
            </w:r>
          </w:p>
          <w:p>
            <w:pPr>
              <w:jc w:val="center"/>
              <w:rPr>
                <w:bCs/>
                <w:sz w:val="16"/>
                <w:szCs w:val="16"/>
              </w:rPr>
            </w:pPr>
            <w:r>
              <w:rPr>
                <w:bCs/>
                <w:sz w:val="16"/>
                <w:szCs w:val="16"/>
              </w:rPr>
              <w:t>elements</w:t>
            </w:r>
          </w:p>
        </w:tc>
        <w:tc>
          <w:tcPr>
            <w:tcW w:w="2682" w:type="dxa"/>
            <w:vMerge w:val="restart"/>
            <w:tcBorders>
              <w:top w:val="single" w:color="auto" w:sz="4" w:space="0"/>
            </w:tcBorders>
            <w:noWrap/>
            <w:vAlign w:val="center"/>
          </w:tcPr>
          <w:p>
            <w:pPr>
              <w:jc w:val="center"/>
              <w:rPr>
                <w:bCs/>
                <w:sz w:val="16"/>
                <w:szCs w:val="16"/>
              </w:rPr>
            </w:pPr>
            <w:r>
              <w:rPr>
                <w:bCs/>
                <w:sz w:val="16"/>
                <w:szCs w:val="16"/>
              </w:rPr>
              <w:t>Sequences</w:t>
            </w:r>
          </w:p>
        </w:tc>
        <w:tc>
          <w:tcPr>
            <w:tcW w:w="2739" w:type="dxa"/>
            <w:gridSpan w:val="2"/>
            <w:tcBorders>
              <w:top w:val="single" w:color="auto" w:sz="4" w:space="0"/>
              <w:bottom w:val="single" w:color="auto" w:sz="4" w:space="0"/>
            </w:tcBorders>
            <w:noWrap/>
            <w:vAlign w:val="center"/>
          </w:tcPr>
          <w:p>
            <w:pPr>
              <w:jc w:val="center"/>
              <w:rPr>
                <w:bCs/>
                <w:sz w:val="16"/>
                <w:szCs w:val="16"/>
              </w:rPr>
            </w:pPr>
            <w:r>
              <w:rPr>
                <w:bCs/>
                <w:sz w:val="16"/>
                <w:szCs w:val="16"/>
              </w:rPr>
              <w:t>Promoter</w:t>
            </w:r>
          </w:p>
        </w:tc>
        <w:tc>
          <w:tcPr>
            <w:tcW w:w="5096" w:type="dxa"/>
            <w:vMerge w:val="restart"/>
            <w:tcBorders>
              <w:top w:val="single" w:color="auto" w:sz="4" w:space="0"/>
              <w:bottom w:val="single" w:color="auto" w:sz="4" w:space="0"/>
            </w:tcBorders>
            <w:noWrap/>
            <w:vAlign w:val="center"/>
          </w:tcPr>
          <w:p>
            <w:pPr>
              <w:jc w:val="center"/>
              <w:rPr>
                <w:bCs/>
                <w:sz w:val="16"/>
                <w:szCs w:val="16"/>
              </w:rPr>
            </w:pPr>
            <w:r>
              <w:rPr>
                <w:bCs/>
                <w:sz w:val="16"/>
                <w:szCs w:val="16"/>
              </w:rPr>
              <w:t>Description</w:t>
            </w:r>
          </w:p>
        </w:tc>
      </w:tr>
      <w:tr>
        <w:tblPrEx>
          <w:tblCellMar>
            <w:top w:w="0" w:type="dxa"/>
            <w:left w:w="108" w:type="dxa"/>
            <w:bottom w:w="0" w:type="dxa"/>
            <w:right w:w="108" w:type="dxa"/>
          </w:tblCellMar>
        </w:tblPrEx>
        <w:trPr>
          <w:trHeight w:val="279" w:hRule="atLeast"/>
        </w:trPr>
        <w:tc>
          <w:tcPr>
            <w:tcW w:w="2126" w:type="dxa"/>
            <w:vMerge w:val="continue"/>
            <w:tcBorders>
              <w:bottom w:val="single" w:color="auto" w:sz="4" w:space="0"/>
            </w:tcBorders>
            <w:noWrap/>
            <w:vAlign w:val="center"/>
          </w:tcPr>
          <w:p>
            <w:pPr>
              <w:jc w:val="center"/>
              <w:rPr>
                <w:bCs/>
                <w:sz w:val="16"/>
                <w:szCs w:val="16"/>
              </w:rPr>
            </w:pPr>
          </w:p>
        </w:tc>
        <w:tc>
          <w:tcPr>
            <w:tcW w:w="2682" w:type="dxa"/>
            <w:vMerge w:val="continue"/>
            <w:tcBorders>
              <w:bottom w:val="single" w:color="auto" w:sz="4" w:space="0"/>
            </w:tcBorders>
            <w:noWrap/>
            <w:vAlign w:val="center"/>
          </w:tcPr>
          <w:p>
            <w:pPr>
              <w:jc w:val="center"/>
              <w:rPr>
                <w:bCs/>
                <w:sz w:val="16"/>
                <w:szCs w:val="16"/>
              </w:rPr>
            </w:pPr>
          </w:p>
        </w:tc>
        <w:tc>
          <w:tcPr>
            <w:tcW w:w="1529" w:type="dxa"/>
            <w:tcBorders>
              <w:top w:val="single" w:color="auto" w:sz="4" w:space="0"/>
              <w:bottom w:val="single" w:color="auto" w:sz="4" w:space="0"/>
            </w:tcBorders>
            <w:noWrap/>
            <w:vAlign w:val="center"/>
          </w:tcPr>
          <w:p>
            <w:pPr>
              <w:jc w:val="center"/>
              <w:rPr>
                <w:bCs/>
                <w:sz w:val="16"/>
                <w:szCs w:val="16"/>
              </w:rPr>
            </w:pPr>
            <w:r>
              <w:rPr>
                <w:bCs/>
                <w:sz w:val="16"/>
                <w:szCs w:val="16"/>
              </w:rPr>
              <w:t>Artemisia</w:t>
            </w:r>
          </w:p>
        </w:tc>
        <w:tc>
          <w:tcPr>
            <w:tcW w:w="1210" w:type="dxa"/>
            <w:tcBorders>
              <w:top w:val="single" w:color="auto" w:sz="4" w:space="0"/>
              <w:bottom w:val="single" w:color="auto" w:sz="4" w:space="0"/>
            </w:tcBorders>
            <w:noWrap/>
            <w:vAlign w:val="center"/>
          </w:tcPr>
          <w:p>
            <w:pPr>
              <w:jc w:val="center"/>
              <w:rPr>
                <w:bCs/>
                <w:sz w:val="16"/>
                <w:szCs w:val="16"/>
              </w:rPr>
            </w:pPr>
            <w:r>
              <w:rPr>
                <w:bCs/>
                <w:sz w:val="16"/>
                <w:szCs w:val="16"/>
              </w:rPr>
              <w:t>Pyrethrum</w:t>
            </w:r>
          </w:p>
        </w:tc>
        <w:tc>
          <w:tcPr>
            <w:tcW w:w="5096" w:type="dxa"/>
            <w:vMerge w:val="continue"/>
            <w:tcBorders>
              <w:bottom w:val="single" w:color="auto" w:sz="4" w:space="0"/>
            </w:tcBorders>
            <w:noWrap/>
            <w:vAlign w:val="center"/>
          </w:tcPr>
          <w:p>
            <w:pPr>
              <w:jc w:val="center"/>
              <w:rPr>
                <w:bCs/>
                <w:sz w:val="16"/>
                <w:szCs w:val="16"/>
              </w:rPr>
            </w:pPr>
          </w:p>
        </w:tc>
      </w:tr>
      <w:tr>
        <w:tblPrEx>
          <w:tblCellMar>
            <w:top w:w="0" w:type="dxa"/>
            <w:left w:w="108" w:type="dxa"/>
            <w:bottom w:w="0" w:type="dxa"/>
            <w:right w:w="108" w:type="dxa"/>
          </w:tblCellMar>
        </w:tblPrEx>
        <w:trPr>
          <w:trHeight w:val="279" w:hRule="atLeast"/>
        </w:trPr>
        <w:tc>
          <w:tcPr>
            <w:tcW w:w="2126" w:type="dxa"/>
            <w:tcBorders>
              <w:top w:val="single" w:color="auto" w:sz="4" w:space="0"/>
            </w:tcBorders>
            <w:noWrap/>
            <w:vAlign w:val="center"/>
          </w:tcPr>
          <w:p>
            <w:pPr>
              <w:jc w:val="center"/>
              <w:rPr>
                <w:bCs/>
                <w:sz w:val="16"/>
                <w:szCs w:val="16"/>
              </w:rPr>
            </w:pPr>
            <w:r>
              <w:rPr>
                <w:bCs/>
                <w:sz w:val="16"/>
                <w:szCs w:val="16"/>
              </w:rPr>
              <w:t>ABRE</w:t>
            </w:r>
          </w:p>
        </w:tc>
        <w:tc>
          <w:tcPr>
            <w:tcW w:w="2682" w:type="dxa"/>
            <w:tcBorders>
              <w:top w:val="single" w:color="auto" w:sz="4" w:space="0"/>
            </w:tcBorders>
            <w:noWrap/>
            <w:vAlign w:val="center"/>
          </w:tcPr>
          <w:p>
            <w:pPr>
              <w:jc w:val="center"/>
              <w:rPr>
                <w:bCs/>
                <w:sz w:val="16"/>
                <w:szCs w:val="16"/>
              </w:rPr>
            </w:pPr>
            <w:r>
              <w:rPr>
                <w:bCs/>
                <w:sz w:val="16"/>
                <w:szCs w:val="16"/>
              </w:rPr>
              <w:t>ACGTG</w:t>
            </w:r>
          </w:p>
        </w:tc>
        <w:tc>
          <w:tcPr>
            <w:tcW w:w="1529" w:type="dxa"/>
            <w:tcBorders>
              <w:top w:val="single" w:color="auto" w:sz="4" w:space="0"/>
            </w:tcBorders>
            <w:noWrap/>
            <w:vAlign w:val="center"/>
          </w:tcPr>
          <w:p>
            <w:pPr>
              <w:jc w:val="center"/>
              <w:rPr>
                <w:bCs/>
                <w:sz w:val="16"/>
                <w:szCs w:val="16"/>
              </w:rPr>
            </w:pPr>
            <w:r>
              <w:rPr>
                <w:bCs/>
                <w:sz w:val="16"/>
                <w:szCs w:val="16"/>
              </w:rPr>
              <w:t>0</w:t>
            </w:r>
          </w:p>
        </w:tc>
        <w:tc>
          <w:tcPr>
            <w:tcW w:w="1210" w:type="dxa"/>
            <w:tcBorders>
              <w:top w:val="single" w:color="auto" w:sz="4" w:space="0"/>
            </w:tcBorders>
            <w:noWrap/>
            <w:vAlign w:val="center"/>
          </w:tcPr>
          <w:p>
            <w:pPr>
              <w:jc w:val="center"/>
              <w:rPr>
                <w:bCs/>
                <w:sz w:val="16"/>
                <w:szCs w:val="16"/>
              </w:rPr>
            </w:pPr>
            <w:r>
              <w:rPr>
                <w:bCs/>
                <w:sz w:val="16"/>
                <w:szCs w:val="16"/>
              </w:rPr>
              <w:t>5</w:t>
            </w:r>
          </w:p>
        </w:tc>
        <w:tc>
          <w:tcPr>
            <w:tcW w:w="5096" w:type="dxa"/>
            <w:tcBorders>
              <w:top w:val="single" w:color="auto" w:sz="4" w:space="0"/>
            </w:tcBorders>
            <w:noWrap/>
            <w:vAlign w:val="center"/>
          </w:tcPr>
          <w:p>
            <w:pPr>
              <w:jc w:val="center"/>
              <w:rPr>
                <w:bCs/>
                <w:sz w:val="16"/>
                <w:szCs w:val="16"/>
              </w:rPr>
            </w:pPr>
            <w:r>
              <w:rPr>
                <w:bCs/>
                <w:sz w:val="16"/>
                <w:szCs w:val="16"/>
              </w:rPr>
              <w:t>Cis-acting element involved in the abscisic acid responsiveness</w:t>
            </w:r>
          </w:p>
        </w:tc>
      </w:tr>
      <w:tr>
        <w:tblPrEx>
          <w:tblCellMar>
            <w:top w:w="0" w:type="dxa"/>
            <w:left w:w="108" w:type="dxa"/>
            <w:bottom w:w="0" w:type="dxa"/>
            <w:right w:w="108" w:type="dxa"/>
          </w:tblCellMar>
        </w:tblPrEx>
        <w:trPr>
          <w:trHeight w:val="279" w:hRule="atLeast"/>
        </w:trPr>
        <w:tc>
          <w:tcPr>
            <w:tcW w:w="2126" w:type="dxa"/>
            <w:shd w:val="clear" w:color="auto" w:fill="D9D9D9"/>
            <w:noWrap/>
            <w:vAlign w:val="center"/>
          </w:tcPr>
          <w:p>
            <w:pPr>
              <w:jc w:val="center"/>
              <w:rPr>
                <w:bCs/>
                <w:sz w:val="16"/>
                <w:szCs w:val="16"/>
              </w:rPr>
            </w:pPr>
            <w:r>
              <w:rPr>
                <w:bCs/>
                <w:sz w:val="16"/>
                <w:szCs w:val="16"/>
              </w:rPr>
              <w:t>ACE</w:t>
            </w:r>
          </w:p>
        </w:tc>
        <w:tc>
          <w:tcPr>
            <w:tcW w:w="2682" w:type="dxa"/>
            <w:shd w:val="clear" w:color="auto" w:fill="D9D9D9"/>
            <w:noWrap/>
            <w:vAlign w:val="center"/>
          </w:tcPr>
          <w:p>
            <w:pPr>
              <w:jc w:val="center"/>
              <w:rPr>
                <w:bCs/>
                <w:sz w:val="16"/>
                <w:szCs w:val="16"/>
              </w:rPr>
            </w:pPr>
            <w:r>
              <w:rPr>
                <w:bCs/>
                <w:sz w:val="16"/>
                <w:szCs w:val="16"/>
              </w:rPr>
              <w:t>AAACCGGTTA</w:t>
            </w:r>
          </w:p>
        </w:tc>
        <w:tc>
          <w:tcPr>
            <w:tcW w:w="1529" w:type="dxa"/>
            <w:shd w:val="clear" w:color="auto" w:fill="D9D9D9"/>
            <w:noWrap/>
            <w:vAlign w:val="center"/>
          </w:tcPr>
          <w:p>
            <w:pPr>
              <w:jc w:val="center"/>
              <w:rPr>
                <w:bCs/>
                <w:sz w:val="16"/>
                <w:szCs w:val="16"/>
              </w:rPr>
            </w:pPr>
            <w:r>
              <w:rPr>
                <w:bCs/>
                <w:sz w:val="16"/>
                <w:szCs w:val="16"/>
              </w:rPr>
              <w:t>1</w:t>
            </w:r>
          </w:p>
        </w:tc>
        <w:tc>
          <w:tcPr>
            <w:tcW w:w="1210" w:type="dxa"/>
            <w:shd w:val="clear" w:color="auto" w:fill="D9D9D9"/>
            <w:noWrap/>
            <w:vAlign w:val="center"/>
          </w:tcPr>
          <w:p>
            <w:pPr>
              <w:jc w:val="center"/>
              <w:rPr>
                <w:bCs/>
                <w:sz w:val="16"/>
                <w:szCs w:val="16"/>
              </w:rPr>
            </w:pPr>
            <w:r>
              <w:rPr>
                <w:bCs/>
                <w:sz w:val="16"/>
                <w:szCs w:val="16"/>
              </w:rPr>
              <w:t>0</w:t>
            </w:r>
          </w:p>
        </w:tc>
        <w:tc>
          <w:tcPr>
            <w:tcW w:w="5096" w:type="dxa"/>
            <w:shd w:val="clear" w:color="auto" w:fill="D9D9D9"/>
            <w:noWrap/>
            <w:vAlign w:val="center"/>
          </w:tcPr>
          <w:p>
            <w:pPr>
              <w:jc w:val="center"/>
              <w:rPr>
                <w:bCs/>
                <w:sz w:val="16"/>
                <w:szCs w:val="16"/>
              </w:rPr>
            </w:pPr>
            <w:r>
              <w:rPr>
                <w:bCs/>
                <w:sz w:val="16"/>
                <w:szCs w:val="16"/>
              </w:rPr>
              <w:t>Cis-acting element involved in light responsiveness</w:t>
            </w:r>
          </w:p>
        </w:tc>
      </w:tr>
      <w:tr>
        <w:tblPrEx>
          <w:tblCellMar>
            <w:top w:w="0" w:type="dxa"/>
            <w:left w:w="108" w:type="dxa"/>
            <w:bottom w:w="0" w:type="dxa"/>
            <w:right w:w="108" w:type="dxa"/>
          </w:tblCellMar>
        </w:tblPrEx>
        <w:trPr>
          <w:trHeight w:val="279" w:hRule="atLeast"/>
        </w:trPr>
        <w:tc>
          <w:tcPr>
            <w:tcW w:w="2126" w:type="dxa"/>
            <w:noWrap/>
            <w:vAlign w:val="center"/>
          </w:tcPr>
          <w:p>
            <w:pPr>
              <w:jc w:val="center"/>
              <w:rPr>
                <w:bCs/>
                <w:sz w:val="16"/>
                <w:szCs w:val="16"/>
              </w:rPr>
            </w:pPr>
            <w:r>
              <w:rPr>
                <w:bCs/>
                <w:sz w:val="16"/>
                <w:szCs w:val="16"/>
              </w:rPr>
              <w:t>ARE</w:t>
            </w:r>
          </w:p>
        </w:tc>
        <w:tc>
          <w:tcPr>
            <w:tcW w:w="2682" w:type="dxa"/>
            <w:noWrap/>
            <w:vAlign w:val="center"/>
          </w:tcPr>
          <w:p>
            <w:pPr>
              <w:jc w:val="center"/>
              <w:rPr>
                <w:bCs/>
                <w:sz w:val="16"/>
                <w:szCs w:val="16"/>
              </w:rPr>
            </w:pPr>
            <w:r>
              <w:rPr>
                <w:bCs/>
                <w:sz w:val="16"/>
                <w:szCs w:val="16"/>
              </w:rPr>
              <w:t>AAACCA</w:t>
            </w:r>
          </w:p>
        </w:tc>
        <w:tc>
          <w:tcPr>
            <w:tcW w:w="1529" w:type="dxa"/>
            <w:noWrap/>
            <w:vAlign w:val="center"/>
          </w:tcPr>
          <w:p>
            <w:pPr>
              <w:jc w:val="center"/>
              <w:rPr>
                <w:bCs/>
                <w:sz w:val="16"/>
                <w:szCs w:val="16"/>
              </w:rPr>
            </w:pPr>
            <w:r>
              <w:rPr>
                <w:bCs/>
                <w:sz w:val="16"/>
                <w:szCs w:val="16"/>
              </w:rPr>
              <w:t>3</w:t>
            </w:r>
          </w:p>
        </w:tc>
        <w:tc>
          <w:tcPr>
            <w:tcW w:w="1210" w:type="dxa"/>
            <w:noWrap/>
            <w:vAlign w:val="center"/>
          </w:tcPr>
          <w:p>
            <w:pPr>
              <w:jc w:val="center"/>
              <w:rPr>
                <w:bCs/>
                <w:sz w:val="16"/>
                <w:szCs w:val="16"/>
              </w:rPr>
            </w:pPr>
            <w:r>
              <w:rPr>
                <w:bCs/>
                <w:sz w:val="16"/>
                <w:szCs w:val="16"/>
              </w:rPr>
              <w:t>1</w:t>
            </w:r>
          </w:p>
        </w:tc>
        <w:tc>
          <w:tcPr>
            <w:tcW w:w="5096" w:type="dxa"/>
            <w:noWrap/>
            <w:vAlign w:val="center"/>
          </w:tcPr>
          <w:p>
            <w:pPr>
              <w:jc w:val="center"/>
              <w:rPr>
                <w:bCs/>
                <w:sz w:val="16"/>
                <w:szCs w:val="16"/>
              </w:rPr>
            </w:pPr>
            <w:r>
              <w:rPr>
                <w:bCs/>
                <w:sz w:val="16"/>
                <w:szCs w:val="16"/>
              </w:rPr>
              <w:t>Cis-acting regulatory element essential for the anaerobic induction</w:t>
            </w:r>
          </w:p>
        </w:tc>
      </w:tr>
      <w:tr>
        <w:tblPrEx>
          <w:tblCellMar>
            <w:top w:w="0" w:type="dxa"/>
            <w:left w:w="108" w:type="dxa"/>
            <w:bottom w:w="0" w:type="dxa"/>
            <w:right w:w="108" w:type="dxa"/>
          </w:tblCellMar>
        </w:tblPrEx>
        <w:trPr>
          <w:trHeight w:val="310" w:hRule="atLeast"/>
        </w:trPr>
        <w:tc>
          <w:tcPr>
            <w:tcW w:w="2126" w:type="dxa"/>
            <w:shd w:val="clear" w:color="auto" w:fill="D9D9D9"/>
            <w:noWrap/>
            <w:vAlign w:val="center"/>
          </w:tcPr>
          <w:p>
            <w:pPr>
              <w:jc w:val="center"/>
              <w:rPr>
                <w:bCs/>
                <w:sz w:val="16"/>
                <w:szCs w:val="16"/>
              </w:rPr>
            </w:pPr>
            <w:r>
              <w:rPr>
                <w:bCs/>
                <w:sz w:val="16"/>
                <w:szCs w:val="16"/>
              </w:rPr>
              <w:t>Box I</w:t>
            </w:r>
          </w:p>
        </w:tc>
        <w:tc>
          <w:tcPr>
            <w:tcW w:w="2682" w:type="dxa"/>
            <w:shd w:val="clear" w:color="auto" w:fill="D9D9D9"/>
            <w:noWrap/>
            <w:vAlign w:val="center"/>
          </w:tcPr>
          <w:p>
            <w:pPr>
              <w:jc w:val="center"/>
              <w:rPr>
                <w:bCs/>
                <w:sz w:val="16"/>
                <w:szCs w:val="16"/>
              </w:rPr>
            </w:pPr>
            <w:r>
              <w:rPr>
                <w:bCs/>
                <w:sz w:val="16"/>
                <w:szCs w:val="16"/>
              </w:rPr>
              <w:t>TTTCAAA</w:t>
            </w:r>
          </w:p>
        </w:tc>
        <w:tc>
          <w:tcPr>
            <w:tcW w:w="1529" w:type="dxa"/>
            <w:shd w:val="clear" w:color="auto" w:fill="D9D9D9"/>
            <w:noWrap/>
            <w:vAlign w:val="center"/>
          </w:tcPr>
          <w:p>
            <w:pPr>
              <w:jc w:val="center"/>
              <w:rPr>
                <w:bCs/>
                <w:sz w:val="16"/>
                <w:szCs w:val="16"/>
              </w:rPr>
            </w:pPr>
            <w:r>
              <w:rPr>
                <w:bCs/>
                <w:sz w:val="16"/>
                <w:szCs w:val="16"/>
              </w:rPr>
              <w:t>4</w:t>
            </w:r>
          </w:p>
        </w:tc>
        <w:tc>
          <w:tcPr>
            <w:tcW w:w="1210" w:type="dxa"/>
            <w:shd w:val="clear" w:color="auto" w:fill="D9D9D9"/>
            <w:noWrap/>
            <w:vAlign w:val="center"/>
          </w:tcPr>
          <w:p>
            <w:pPr>
              <w:jc w:val="center"/>
              <w:rPr>
                <w:bCs/>
                <w:sz w:val="16"/>
                <w:szCs w:val="16"/>
              </w:rPr>
            </w:pPr>
            <w:r>
              <w:rPr>
                <w:bCs/>
                <w:sz w:val="16"/>
                <w:szCs w:val="16"/>
              </w:rPr>
              <w:t>1</w:t>
            </w:r>
          </w:p>
        </w:tc>
        <w:tc>
          <w:tcPr>
            <w:tcW w:w="5096" w:type="dxa"/>
            <w:shd w:val="clear" w:color="auto" w:fill="D9D9D9"/>
            <w:noWrap/>
            <w:vAlign w:val="center"/>
          </w:tcPr>
          <w:p>
            <w:pPr>
              <w:jc w:val="center"/>
              <w:rPr>
                <w:bCs/>
                <w:sz w:val="16"/>
                <w:szCs w:val="16"/>
              </w:rPr>
            </w:pPr>
            <w:r>
              <w:rPr>
                <w:bCs/>
                <w:sz w:val="16"/>
                <w:szCs w:val="16"/>
              </w:rPr>
              <w:t>Light responsive element</w:t>
            </w:r>
          </w:p>
        </w:tc>
      </w:tr>
      <w:tr>
        <w:tblPrEx>
          <w:tblCellMar>
            <w:top w:w="0" w:type="dxa"/>
            <w:left w:w="108" w:type="dxa"/>
            <w:bottom w:w="0" w:type="dxa"/>
            <w:right w:w="108" w:type="dxa"/>
          </w:tblCellMar>
        </w:tblPrEx>
        <w:trPr>
          <w:trHeight w:val="310" w:hRule="atLeast"/>
        </w:trPr>
        <w:tc>
          <w:tcPr>
            <w:tcW w:w="2126" w:type="dxa"/>
            <w:noWrap/>
            <w:vAlign w:val="center"/>
          </w:tcPr>
          <w:p>
            <w:pPr>
              <w:jc w:val="center"/>
              <w:rPr>
                <w:bCs/>
                <w:sz w:val="16"/>
                <w:szCs w:val="16"/>
              </w:rPr>
            </w:pPr>
            <w:r>
              <w:rPr>
                <w:bCs/>
                <w:sz w:val="16"/>
                <w:szCs w:val="16"/>
              </w:rPr>
              <w:t>Box 4</w:t>
            </w:r>
          </w:p>
        </w:tc>
        <w:tc>
          <w:tcPr>
            <w:tcW w:w="2682" w:type="dxa"/>
            <w:noWrap/>
            <w:vAlign w:val="center"/>
          </w:tcPr>
          <w:p>
            <w:pPr>
              <w:jc w:val="center"/>
              <w:rPr>
                <w:bCs/>
                <w:sz w:val="16"/>
                <w:szCs w:val="16"/>
              </w:rPr>
            </w:pPr>
            <w:r>
              <w:rPr>
                <w:bCs/>
                <w:sz w:val="16"/>
                <w:szCs w:val="16"/>
              </w:rPr>
              <w:t>ATTAAT</w:t>
            </w:r>
          </w:p>
        </w:tc>
        <w:tc>
          <w:tcPr>
            <w:tcW w:w="1529" w:type="dxa"/>
            <w:noWrap/>
            <w:vAlign w:val="center"/>
          </w:tcPr>
          <w:p>
            <w:pPr>
              <w:jc w:val="center"/>
              <w:rPr>
                <w:bCs/>
                <w:sz w:val="16"/>
                <w:szCs w:val="16"/>
              </w:rPr>
            </w:pPr>
            <w:r>
              <w:rPr>
                <w:bCs/>
                <w:sz w:val="16"/>
                <w:szCs w:val="16"/>
              </w:rPr>
              <w:t>3</w:t>
            </w:r>
          </w:p>
        </w:tc>
        <w:tc>
          <w:tcPr>
            <w:tcW w:w="1210" w:type="dxa"/>
            <w:noWrap/>
            <w:vAlign w:val="center"/>
          </w:tcPr>
          <w:p>
            <w:pPr>
              <w:jc w:val="center"/>
              <w:rPr>
                <w:bCs/>
                <w:sz w:val="16"/>
                <w:szCs w:val="16"/>
              </w:rPr>
            </w:pPr>
            <w:r>
              <w:rPr>
                <w:bCs/>
                <w:sz w:val="16"/>
                <w:szCs w:val="16"/>
              </w:rPr>
              <w:t>3</w:t>
            </w:r>
          </w:p>
        </w:tc>
        <w:tc>
          <w:tcPr>
            <w:tcW w:w="5096" w:type="dxa"/>
            <w:noWrap/>
            <w:vAlign w:val="center"/>
          </w:tcPr>
          <w:p>
            <w:pPr>
              <w:jc w:val="center"/>
              <w:rPr>
                <w:bCs/>
                <w:sz w:val="16"/>
                <w:szCs w:val="16"/>
              </w:rPr>
            </w:pPr>
            <w:r>
              <w:rPr>
                <w:bCs/>
                <w:sz w:val="16"/>
                <w:szCs w:val="16"/>
              </w:rPr>
              <w:t>Part of a conserved DNA module involved in light responsiveness</w:t>
            </w:r>
          </w:p>
        </w:tc>
      </w:tr>
      <w:tr>
        <w:tblPrEx>
          <w:tblCellMar>
            <w:top w:w="0" w:type="dxa"/>
            <w:left w:w="108" w:type="dxa"/>
            <w:bottom w:w="0" w:type="dxa"/>
            <w:right w:w="108" w:type="dxa"/>
          </w:tblCellMar>
        </w:tblPrEx>
        <w:trPr>
          <w:trHeight w:val="310" w:hRule="atLeast"/>
        </w:trPr>
        <w:tc>
          <w:tcPr>
            <w:tcW w:w="2126" w:type="dxa"/>
            <w:shd w:val="clear" w:color="auto" w:fill="D9D9D9"/>
            <w:noWrap/>
            <w:vAlign w:val="center"/>
          </w:tcPr>
          <w:p>
            <w:pPr>
              <w:jc w:val="center"/>
              <w:rPr>
                <w:bCs/>
                <w:sz w:val="16"/>
                <w:szCs w:val="16"/>
              </w:rPr>
            </w:pPr>
            <w:r>
              <w:rPr>
                <w:bCs/>
                <w:sz w:val="16"/>
                <w:szCs w:val="16"/>
              </w:rPr>
              <w:t>CAT-box</w:t>
            </w:r>
          </w:p>
        </w:tc>
        <w:tc>
          <w:tcPr>
            <w:tcW w:w="2682" w:type="dxa"/>
            <w:shd w:val="clear" w:color="auto" w:fill="D9D9D9"/>
            <w:noWrap/>
            <w:vAlign w:val="center"/>
          </w:tcPr>
          <w:p>
            <w:pPr>
              <w:jc w:val="center"/>
              <w:rPr>
                <w:bCs/>
                <w:sz w:val="16"/>
                <w:szCs w:val="16"/>
              </w:rPr>
            </w:pPr>
            <w:r>
              <w:rPr>
                <w:bCs/>
                <w:sz w:val="16"/>
                <w:szCs w:val="16"/>
              </w:rPr>
              <w:t>GCCACT</w:t>
            </w:r>
          </w:p>
        </w:tc>
        <w:tc>
          <w:tcPr>
            <w:tcW w:w="1529" w:type="dxa"/>
            <w:shd w:val="clear" w:color="auto" w:fill="D9D9D9"/>
            <w:noWrap/>
            <w:vAlign w:val="center"/>
          </w:tcPr>
          <w:p>
            <w:pPr>
              <w:jc w:val="center"/>
              <w:rPr>
                <w:bCs/>
                <w:sz w:val="16"/>
                <w:szCs w:val="16"/>
              </w:rPr>
            </w:pPr>
            <w:r>
              <w:rPr>
                <w:bCs/>
                <w:sz w:val="16"/>
                <w:szCs w:val="16"/>
              </w:rPr>
              <w:t>1</w:t>
            </w:r>
          </w:p>
        </w:tc>
        <w:tc>
          <w:tcPr>
            <w:tcW w:w="1210" w:type="dxa"/>
            <w:shd w:val="clear" w:color="auto" w:fill="D9D9D9"/>
            <w:noWrap/>
            <w:vAlign w:val="center"/>
          </w:tcPr>
          <w:p>
            <w:pPr>
              <w:jc w:val="center"/>
              <w:rPr>
                <w:bCs/>
                <w:sz w:val="16"/>
                <w:szCs w:val="16"/>
              </w:rPr>
            </w:pPr>
            <w:r>
              <w:rPr>
                <w:bCs/>
                <w:sz w:val="16"/>
                <w:szCs w:val="16"/>
              </w:rPr>
              <w:t>1</w:t>
            </w:r>
          </w:p>
        </w:tc>
        <w:tc>
          <w:tcPr>
            <w:tcW w:w="5096" w:type="dxa"/>
            <w:shd w:val="clear" w:color="auto" w:fill="D9D9D9"/>
            <w:noWrap/>
            <w:vAlign w:val="center"/>
          </w:tcPr>
          <w:p>
            <w:pPr>
              <w:jc w:val="center"/>
              <w:rPr>
                <w:bCs/>
                <w:sz w:val="16"/>
                <w:szCs w:val="16"/>
              </w:rPr>
            </w:pPr>
            <w:r>
              <w:rPr>
                <w:bCs/>
                <w:sz w:val="16"/>
                <w:szCs w:val="16"/>
              </w:rPr>
              <w:t>Cis-acting regulatory element related to meristem expression</w:t>
            </w:r>
          </w:p>
        </w:tc>
      </w:tr>
      <w:tr>
        <w:tblPrEx>
          <w:tblCellMar>
            <w:top w:w="0" w:type="dxa"/>
            <w:left w:w="108" w:type="dxa"/>
            <w:bottom w:w="0" w:type="dxa"/>
            <w:right w:w="108" w:type="dxa"/>
          </w:tblCellMar>
        </w:tblPrEx>
        <w:trPr>
          <w:trHeight w:val="310" w:hRule="atLeast"/>
        </w:trPr>
        <w:tc>
          <w:tcPr>
            <w:tcW w:w="2126" w:type="dxa"/>
            <w:noWrap/>
            <w:vAlign w:val="center"/>
          </w:tcPr>
          <w:p>
            <w:pPr>
              <w:jc w:val="center"/>
              <w:rPr>
                <w:bCs/>
                <w:sz w:val="16"/>
                <w:szCs w:val="16"/>
              </w:rPr>
            </w:pPr>
            <w:r>
              <w:rPr>
                <w:bCs/>
                <w:sz w:val="16"/>
                <w:szCs w:val="16"/>
              </w:rPr>
              <w:t>CGTCA-motif</w:t>
            </w:r>
          </w:p>
        </w:tc>
        <w:tc>
          <w:tcPr>
            <w:tcW w:w="2682" w:type="dxa"/>
            <w:noWrap/>
            <w:vAlign w:val="center"/>
          </w:tcPr>
          <w:p>
            <w:pPr>
              <w:jc w:val="center"/>
              <w:rPr>
                <w:bCs/>
                <w:sz w:val="16"/>
                <w:szCs w:val="16"/>
              </w:rPr>
            </w:pPr>
            <w:r>
              <w:rPr>
                <w:bCs/>
                <w:sz w:val="16"/>
                <w:szCs w:val="16"/>
              </w:rPr>
              <w:t>CGTCA</w:t>
            </w:r>
          </w:p>
        </w:tc>
        <w:tc>
          <w:tcPr>
            <w:tcW w:w="1529" w:type="dxa"/>
            <w:noWrap/>
            <w:vAlign w:val="center"/>
          </w:tcPr>
          <w:p>
            <w:pPr>
              <w:jc w:val="center"/>
              <w:rPr>
                <w:bCs/>
                <w:sz w:val="16"/>
                <w:szCs w:val="16"/>
              </w:rPr>
            </w:pPr>
            <w:r>
              <w:rPr>
                <w:bCs/>
                <w:sz w:val="16"/>
                <w:szCs w:val="16"/>
              </w:rPr>
              <w:t>0</w:t>
            </w:r>
          </w:p>
        </w:tc>
        <w:tc>
          <w:tcPr>
            <w:tcW w:w="1210" w:type="dxa"/>
            <w:noWrap/>
            <w:vAlign w:val="center"/>
          </w:tcPr>
          <w:p>
            <w:pPr>
              <w:jc w:val="center"/>
              <w:rPr>
                <w:bCs/>
                <w:sz w:val="16"/>
                <w:szCs w:val="16"/>
              </w:rPr>
            </w:pPr>
            <w:r>
              <w:rPr>
                <w:bCs/>
                <w:sz w:val="16"/>
                <w:szCs w:val="16"/>
              </w:rPr>
              <w:t>5</w:t>
            </w:r>
          </w:p>
        </w:tc>
        <w:tc>
          <w:tcPr>
            <w:tcW w:w="5096" w:type="dxa"/>
            <w:noWrap/>
            <w:vAlign w:val="center"/>
          </w:tcPr>
          <w:p>
            <w:pPr>
              <w:jc w:val="center"/>
              <w:rPr>
                <w:bCs/>
                <w:sz w:val="16"/>
                <w:szCs w:val="16"/>
              </w:rPr>
            </w:pPr>
            <w:r>
              <w:rPr>
                <w:bCs/>
                <w:sz w:val="16"/>
                <w:szCs w:val="16"/>
              </w:rPr>
              <w:t>Cis-acting regulatory element involved in the MeJA-responsiveness</w:t>
            </w:r>
          </w:p>
        </w:tc>
      </w:tr>
      <w:tr>
        <w:tblPrEx>
          <w:tblCellMar>
            <w:top w:w="0" w:type="dxa"/>
            <w:left w:w="108" w:type="dxa"/>
            <w:bottom w:w="0" w:type="dxa"/>
            <w:right w:w="108" w:type="dxa"/>
          </w:tblCellMar>
        </w:tblPrEx>
        <w:trPr>
          <w:trHeight w:val="279" w:hRule="atLeast"/>
        </w:trPr>
        <w:tc>
          <w:tcPr>
            <w:tcW w:w="2126" w:type="dxa"/>
            <w:shd w:val="clear" w:color="auto" w:fill="D9D9D9"/>
            <w:noWrap/>
            <w:vAlign w:val="center"/>
          </w:tcPr>
          <w:p>
            <w:pPr>
              <w:jc w:val="center"/>
              <w:rPr>
                <w:bCs/>
                <w:sz w:val="16"/>
                <w:szCs w:val="16"/>
              </w:rPr>
            </w:pPr>
            <w:r>
              <w:rPr>
                <w:bCs/>
                <w:sz w:val="16"/>
                <w:szCs w:val="16"/>
              </w:rPr>
              <w:t>ERE</w:t>
            </w:r>
          </w:p>
        </w:tc>
        <w:tc>
          <w:tcPr>
            <w:tcW w:w="2682" w:type="dxa"/>
            <w:shd w:val="clear" w:color="auto" w:fill="D9D9D9"/>
            <w:vAlign w:val="center"/>
          </w:tcPr>
          <w:p>
            <w:pPr>
              <w:jc w:val="center"/>
              <w:rPr>
                <w:bCs/>
                <w:sz w:val="16"/>
                <w:szCs w:val="16"/>
              </w:rPr>
            </w:pPr>
            <w:r>
              <w:rPr>
                <w:bCs/>
                <w:sz w:val="16"/>
                <w:szCs w:val="16"/>
              </w:rPr>
              <w:t>ATTTTAAA</w:t>
            </w:r>
          </w:p>
        </w:tc>
        <w:tc>
          <w:tcPr>
            <w:tcW w:w="1529" w:type="dxa"/>
            <w:shd w:val="clear" w:color="auto" w:fill="D9D9D9"/>
            <w:noWrap/>
            <w:vAlign w:val="center"/>
          </w:tcPr>
          <w:p>
            <w:pPr>
              <w:jc w:val="center"/>
              <w:rPr>
                <w:bCs/>
                <w:sz w:val="16"/>
                <w:szCs w:val="16"/>
              </w:rPr>
            </w:pPr>
            <w:r>
              <w:rPr>
                <w:bCs/>
                <w:sz w:val="16"/>
                <w:szCs w:val="16"/>
              </w:rPr>
              <w:t>0</w:t>
            </w:r>
          </w:p>
        </w:tc>
        <w:tc>
          <w:tcPr>
            <w:tcW w:w="1210" w:type="dxa"/>
            <w:shd w:val="clear" w:color="auto" w:fill="D9D9D9"/>
            <w:noWrap/>
            <w:vAlign w:val="center"/>
          </w:tcPr>
          <w:p>
            <w:pPr>
              <w:jc w:val="center"/>
              <w:rPr>
                <w:bCs/>
                <w:sz w:val="16"/>
                <w:szCs w:val="16"/>
              </w:rPr>
            </w:pPr>
            <w:r>
              <w:rPr>
                <w:bCs/>
                <w:sz w:val="16"/>
                <w:szCs w:val="16"/>
              </w:rPr>
              <w:t>1</w:t>
            </w:r>
          </w:p>
        </w:tc>
        <w:tc>
          <w:tcPr>
            <w:tcW w:w="5096" w:type="dxa"/>
            <w:shd w:val="clear" w:color="auto" w:fill="D9D9D9"/>
            <w:noWrap/>
            <w:vAlign w:val="center"/>
          </w:tcPr>
          <w:p>
            <w:pPr>
              <w:jc w:val="center"/>
              <w:rPr>
                <w:bCs/>
                <w:sz w:val="16"/>
                <w:szCs w:val="16"/>
              </w:rPr>
            </w:pPr>
            <w:r>
              <w:rPr>
                <w:bCs/>
                <w:sz w:val="16"/>
                <w:szCs w:val="16"/>
              </w:rPr>
              <w:t>Ethylene-responsive element</w:t>
            </w:r>
          </w:p>
        </w:tc>
      </w:tr>
      <w:tr>
        <w:tblPrEx>
          <w:tblCellMar>
            <w:top w:w="0" w:type="dxa"/>
            <w:left w:w="108" w:type="dxa"/>
            <w:bottom w:w="0" w:type="dxa"/>
            <w:right w:w="108" w:type="dxa"/>
          </w:tblCellMar>
        </w:tblPrEx>
        <w:trPr>
          <w:trHeight w:val="310" w:hRule="atLeast"/>
        </w:trPr>
        <w:tc>
          <w:tcPr>
            <w:tcW w:w="2126" w:type="dxa"/>
            <w:noWrap/>
            <w:vAlign w:val="center"/>
          </w:tcPr>
          <w:p>
            <w:pPr>
              <w:jc w:val="center"/>
              <w:rPr>
                <w:bCs/>
                <w:sz w:val="16"/>
                <w:szCs w:val="16"/>
              </w:rPr>
            </w:pPr>
            <w:r>
              <w:rPr>
                <w:bCs/>
                <w:sz w:val="16"/>
                <w:szCs w:val="16"/>
              </w:rPr>
              <w:t>G-box</w:t>
            </w:r>
          </w:p>
        </w:tc>
        <w:tc>
          <w:tcPr>
            <w:tcW w:w="2682" w:type="dxa"/>
            <w:noWrap/>
            <w:vAlign w:val="center"/>
          </w:tcPr>
          <w:p>
            <w:pPr>
              <w:jc w:val="center"/>
              <w:rPr>
                <w:bCs/>
                <w:sz w:val="16"/>
                <w:szCs w:val="16"/>
              </w:rPr>
            </w:pPr>
            <w:r>
              <w:rPr>
                <w:bCs/>
                <w:sz w:val="16"/>
                <w:szCs w:val="16"/>
              </w:rPr>
              <w:t>CAC(G)GTC</w:t>
            </w:r>
          </w:p>
        </w:tc>
        <w:tc>
          <w:tcPr>
            <w:tcW w:w="1529" w:type="dxa"/>
            <w:noWrap/>
            <w:vAlign w:val="center"/>
          </w:tcPr>
          <w:p>
            <w:pPr>
              <w:jc w:val="center"/>
              <w:rPr>
                <w:bCs/>
                <w:sz w:val="16"/>
                <w:szCs w:val="16"/>
              </w:rPr>
            </w:pPr>
            <w:r>
              <w:rPr>
                <w:bCs/>
                <w:sz w:val="16"/>
                <w:szCs w:val="16"/>
              </w:rPr>
              <w:t>3</w:t>
            </w:r>
          </w:p>
        </w:tc>
        <w:tc>
          <w:tcPr>
            <w:tcW w:w="1210" w:type="dxa"/>
            <w:noWrap/>
            <w:vAlign w:val="center"/>
          </w:tcPr>
          <w:p>
            <w:pPr>
              <w:jc w:val="center"/>
              <w:rPr>
                <w:bCs/>
                <w:sz w:val="16"/>
                <w:szCs w:val="16"/>
              </w:rPr>
            </w:pPr>
            <w:r>
              <w:rPr>
                <w:bCs/>
                <w:sz w:val="16"/>
                <w:szCs w:val="16"/>
              </w:rPr>
              <w:t>5</w:t>
            </w:r>
          </w:p>
        </w:tc>
        <w:tc>
          <w:tcPr>
            <w:tcW w:w="5096" w:type="dxa"/>
            <w:noWrap/>
            <w:vAlign w:val="center"/>
          </w:tcPr>
          <w:p>
            <w:pPr>
              <w:jc w:val="center"/>
              <w:rPr>
                <w:bCs/>
                <w:sz w:val="16"/>
                <w:szCs w:val="16"/>
              </w:rPr>
            </w:pPr>
            <w:r>
              <w:rPr>
                <w:bCs/>
                <w:sz w:val="16"/>
                <w:szCs w:val="16"/>
              </w:rPr>
              <w:t>Cis-acting regulatory element involved in light responsiveness</w:t>
            </w:r>
          </w:p>
        </w:tc>
      </w:tr>
      <w:tr>
        <w:tblPrEx>
          <w:tblCellMar>
            <w:top w:w="0" w:type="dxa"/>
            <w:left w:w="108" w:type="dxa"/>
            <w:bottom w:w="0" w:type="dxa"/>
            <w:right w:w="108" w:type="dxa"/>
          </w:tblCellMar>
        </w:tblPrEx>
        <w:trPr>
          <w:trHeight w:val="310" w:hRule="atLeast"/>
        </w:trPr>
        <w:tc>
          <w:tcPr>
            <w:tcW w:w="2126" w:type="dxa"/>
            <w:shd w:val="clear" w:color="auto" w:fill="D9D9D9"/>
            <w:noWrap/>
            <w:vAlign w:val="center"/>
          </w:tcPr>
          <w:p>
            <w:pPr>
              <w:jc w:val="center"/>
              <w:rPr>
                <w:bCs/>
                <w:sz w:val="16"/>
                <w:szCs w:val="16"/>
              </w:rPr>
            </w:pPr>
            <w:r>
              <w:rPr>
                <w:bCs/>
                <w:sz w:val="16"/>
                <w:szCs w:val="16"/>
              </w:rPr>
              <w:t>GCN4-motif</w:t>
            </w:r>
          </w:p>
        </w:tc>
        <w:tc>
          <w:tcPr>
            <w:tcW w:w="2682" w:type="dxa"/>
            <w:shd w:val="clear" w:color="auto" w:fill="D9D9D9"/>
            <w:vAlign w:val="center"/>
          </w:tcPr>
          <w:p>
            <w:pPr>
              <w:jc w:val="center"/>
              <w:rPr>
                <w:bCs/>
                <w:sz w:val="16"/>
                <w:szCs w:val="16"/>
              </w:rPr>
            </w:pPr>
            <w:r>
              <w:rPr>
                <w:bCs/>
                <w:sz w:val="16"/>
                <w:szCs w:val="16"/>
              </w:rPr>
              <w:t>TGAGTCA</w:t>
            </w:r>
          </w:p>
        </w:tc>
        <w:tc>
          <w:tcPr>
            <w:tcW w:w="1529" w:type="dxa"/>
            <w:shd w:val="clear" w:color="auto" w:fill="D9D9D9"/>
            <w:noWrap/>
            <w:vAlign w:val="center"/>
          </w:tcPr>
          <w:p>
            <w:pPr>
              <w:jc w:val="center"/>
              <w:rPr>
                <w:bCs/>
                <w:sz w:val="16"/>
                <w:szCs w:val="16"/>
              </w:rPr>
            </w:pPr>
            <w:r>
              <w:rPr>
                <w:bCs/>
                <w:sz w:val="16"/>
                <w:szCs w:val="16"/>
              </w:rPr>
              <w:t>1</w:t>
            </w:r>
          </w:p>
        </w:tc>
        <w:tc>
          <w:tcPr>
            <w:tcW w:w="1210" w:type="dxa"/>
            <w:shd w:val="clear" w:color="auto" w:fill="D9D9D9"/>
            <w:noWrap/>
            <w:vAlign w:val="center"/>
          </w:tcPr>
          <w:p>
            <w:pPr>
              <w:jc w:val="center"/>
              <w:rPr>
                <w:bCs/>
                <w:sz w:val="16"/>
                <w:szCs w:val="16"/>
              </w:rPr>
            </w:pPr>
            <w:r>
              <w:rPr>
                <w:bCs/>
                <w:sz w:val="16"/>
                <w:szCs w:val="16"/>
              </w:rPr>
              <w:t>1</w:t>
            </w:r>
          </w:p>
        </w:tc>
        <w:tc>
          <w:tcPr>
            <w:tcW w:w="5096" w:type="dxa"/>
            <w:shd w:val="clear" w:color="auto" w:fill="D9D9D9"/>
            <w:noWrap/>
            <w:vAlign w:val="center"/>
          </w:tcPr>
          <w:p>
            <w:pPr>
              <w:jc w:val="center"/>
              <w:rPr>
                <w:bCs/>
                <w:sz w:val="16"/>
                <w:szCs w:val="16"/>
              </w:rPr>
            </w:pPr>
            <w:r>
              <w:rPr>
                <w:bCs/>
                <w:sz w:val="16"/>
                <w:szCs w:val="16"/>
              </w:rPr>
              <w:t>Cis-regulatory element involved in endosperm expression</w:t>
            </w:r>
          </w:p>
        </w:tc>
      </w:tr>
      <w:tr>
        <w:tblPrEx>
          <w:tblCellMar>
            <w:top w:w="0" w:type="dxa"/>
            <w:left w:w="108" w:type="dxa"/>
            <w:bottom w:w="0" w:type="dxa"/>
            <w:right w:w="108" w:type="dxa"/>
          </w:tblCellMar>
        </w:tblPrEx>
        <w:trPr>
          <w:trHeight w:val="310" w:hRule="atLeast"/>
        </w:trPr>
        <w:tc>
          <w:tcPr>
            <w:tcW w:w="2126" w:type="dxa"/>
            <w:noWrap/>
            <w:vAlign w:val="center"/>
          </w:tcPr>
          <w:p>
            <w:pPr>
              <w:jc w:val="center"/>
              <w:rPr>
                <w:bCs/>
                <w:sz w:val="16"/>
                <w:szCs w:val="16"/>
              </w:rPr>
            </w:pPr>
            <w:r>
              <w:rPr>
                <w:bCs/>
                <w:sz w:val="16"/>
                <w:szCs w:val="16"/>
              </w:rPr>
              <w:t>LTR</w:t>
            </w:r>
          </w:p>
        </w:tc>
        <w:tc>
          <w:tcPr>
            <w:tcW w:w="2682" w:type="dxa"/>
            <w:vAlign w:val="center"/>
          </w:tcPr>
          <w:p>
            <w:pPr>
              <w:jc w:val="center"/>
              <w:rPr>
                <w:bCs/>
                <w:sz w:val="16"/>
                <w:szCs w:val="16"/>
              </w:rPr>
            </w:pPr>
            <w:r>
              <w:rPr>
                <w:bCs/>
                <w:sz w:val="16"/>
                <w:szCs w:val="16"/>
              </w:rPr>
              <w:t>CCGAAA</w:t>
            </w:r>
          </w:p>
        </w:tc>
        <w:tc>
          <w:tcPr>
            <w:tcW w:w="1529" w:type="dxa"/>
            <w:noWrap/>
            <w:vAlign w:val="center"/>
          </w:tcPr>
          <w:p>
            <w:pPr>
              <w:jc w:val="center"/>
              <w:rPr>
                <w:bCs/>
                <w:sz w:val="16"/>
                <w:szCs w:val="16"/>
              </w:rPr>
            </w:pPr>
            <w:r>
              <w:rPr>
                <w:bCs/>
                <w:sz w:val="16"/>
                <w:szCs w:val="16"/>
              </w:rPr>
              <w:t>0</w:t>
            </w:r>
          </w:p>
        </w:tc>
        <w:tc>
          <w:tcPr>
            <w:tcW w:w="1210" w:type="dxa"/>
            <w:noWrap/>
            <w:vAlign w:val="center"/>
          </w:tcPr>
          <w:p>
            <w:pPr>
              <w:jc w:val="center"/>
              <w:rPr>
                <w:bCs/>
                <w:sz w:val="16"/>
                <w:szCs w:val="16"/>
              </w:rPr>
            </w:pPr>
            <w:r>
              <w:rPr>
                <w:bCs/>
                <w:sz w:val="16"/>
                <w:szCs w:val="16"/>
              </w:rPr>
              <w:t>3</w:t>
            </w:r>
          </w:p>
        </w:tc>
        <w:tc>
          <w:tcPr>
            <w:tcW w:w="5096" w:type="dxa"/>
            <w:noWrap/>
            <w:vAlign w:val="center"/>
          </w:tcPr>
          <w:p>
            <w:pPr>
              <w:jc w:val="center"/>
              <w:rPr>
                <w:bCs/>
                <w:sz w:val="16"/>
                <w:szCs w:val="16"/>
              </w:rPr>
            </w:pPr>
            <w:r>
              <w:rPr>
                <w:bCs/>
                <w:sz w:val="16"/>
                <w:szCs w:val="16"/>
              </w:rPr>
              <w:t>Cis-acting element involved in low-temperature responsiveness</w:t>
            </w:r>
          </w:p>
        </w:tc>
      </w:tr>
      <w:tr>
        <w:tblPrEx>
          <w:tblCellMar>
            <w:top w:w="0" w:type="dxa"/>
            <w:left w:w="108" w:type="dxa"/>
            <w:bottom w:w="0" w:type="dxa"/>
            <w:right w:w="108" w:type="dxa"/>
          </w:tblCellMar>
        </w:tblPrEx>
        <w:trPr>
          <w:trHeight w:val="310" w:hRule="atLeast"/>
        </w:trPr>
        <w:tc>
          <w:tcPr>
            <w:tcW w:w="2126" w:type="dxa"/>
            <w:shd w:val="clear" w:color="auto" w:fill="D9D9D9"/>
            <w:noWrap/>
            <w:vAlign w:val="center"/>
          </w:tcPr>
          <w:p>
            <w:pPr>
              <w:jc w:val="center"/>
              <w:rPr>
                <w:bCs/>
                <w:sz w:val="16"/>
                <w:szCs w:val="16"/>
              </w:rPr>
            </w:pPr>
            <w:r>
              <w:rPr>
                <w:bCs/>
                <w:sz w:val="16"/>
                <w:szCs w:val="16"/>
              </w:rPr>
              <w:t>O</w:t>
            </w:r>
            <w:r>
              <w:rPr>
                <w:bCs/>
                <w:sz w:val="16"/>
                <w:szCs w:val="16"/>
                <w:vertAlign w:val="subscript"/>
              </w:rPr>
              <w:t>2</w:t>
            </w:r>
            <w:r>
              <w:rPr>
                <w:bCs/>
                <w:sz w:val="16"/>
                <w:szCs w:val="16"/>
              </w:rPr>
              <w:t>-site</w:t>
            </w:r>
          </w:p>
        </w:tc>
        <w:tc>
          <w:tcPr>
            <w:tcW w:w="2682" w:type="dxa"/>
            <w:shd w:val="clear" w:color="auto" w:fill="D9D9D9"/>
            <w:vAlign w:val="center"/>
          </w:tcPr>
          <w:p>
            <w:pPr>
              <w:jc w:val="center"/>
              <w:rPr>
                <w:bCs/>
                <w:sz w:val="16"/>
                <w:szCs w:val="16"/>
              </w:rPr>
            </w:pPr>
            <w:r>
              <w:rPr>
                <w:bCs/>
                <w:sz w:val="16"/>
                <w:szCs w:val="16"/>
              </w:rPr>
              <w:t>GATGACATGG/GTTGACGTGA</w:t>
            </w:r>
          </w:p>
        </w:tc>
        <w:tc>
          <w:tcPr>
            <w:tcW w:w="1529" w:type="dxa"/>
            <w:shd w:val="clear" w:color="auto" w:fill="D9D9D9"/>
            <w:noWrap/>
            <w:vAlign w:val="center"/>
          </w:tcPr>
          <w:p>
            <w:pPr>
              <w:jc w:val="center"/>
              <w:rPr>
                <w:bCs/>
                <w:sz w:val="16"/>
                <w:szCs w:val="16"/>
              </w:rPr>
            </w:pPr>
            <w:r>
              <w:rPr>
                <w:bCs/>
                <w:sz w:val="16"/>
                <w:szCs w:val="16"/>
              </w:rPr>
              <w:t>0</w:t>
            </w:r>
          </w:p>
        </w:tc>
        <w:tc>
          <w:tcPr>
            <w:tcW w:w="1210" w:type="dxa"/>
            <w:shd w:val="clear" w:color="auto" w:fill="D9D9D9"/>
            <w:noWrap/>
            <w:vAlign w:val="center"/>
          </w:tcPr>
          <w:p>
            <w:pPr>
              <w:jc w:val="center"/>
              <w:rPr>
                <w:bCs/>
                <w:sz w:val="16"/>
                <w:szCs w:val="16"/>
              </w:rPr>
            </w:pPr>
            <w:r>
              <w:rPr>
                <w:bCs/>
                <w:sz w:val="16"/>
                <w:szCs w:val="16"/>
              </w:rPr>
              <w:t>2</w:t>
            </w:r>
          </w:p>
        </w:tc>
        <w:tc>
          <w:tcPr>
            <w:tcW w:w="5096" w:type="dxa"/>
            <w:shd w:val="clear" w:color="auto" w:fill="D9D9D9"/>
            <w:noWrap/>
            <w:vAlign w:val="center"/>
          </w:tcPr>
          <w:p>
            <w:pPr>
              <w:jc w:val="center"/>
              <w:rPr>
                <w:bCs/>
                <w:sz w:val="16"/>
                <w:szCs w:val="16"/>
              </w:rPr>
            </w:pPr>
            <w:r>
              <w:rPr>
                <w:bCs/>
                <w:sz w:val="16"/>
                <w:szCs w:val="16"/>
              </w:rPr>
              <w:t>Cis-acting regulatory element involved in zein metabolism regulation</w:t>
            </w:r>
          </w:p>
        </w:tc>
      </w:tr>
      <w:tr>
        <w:tblPrEx>
          <w:tblCellMar>
            <w:top w:w="0" w:type="dxa"/>
            <w:left w:w="108" w:type="dxa"/>
            <w:bottom w:w="0" w:type="dxa"/>
            <w:right w:w="108" w:type="dxa"/>
          </w:tblCellMar>
        </w:tblPrEx>
        <w:trPr>
          <w:trHeight w:val="310" w:hRule="atLeast"/>
        </w:trPr>
        <w:tc>
          <w:tcPr>
            <w:tcW w:w="2126" w:type="dxa"/>
            <w:noWrap/>
            <w:vAlign w:val="center"/>
          </w:tcPr>
          <w:p>
            <w:pPr>
              <w:jc w:val="center"/>
              <w:rPr>
                <w:bCs/>
                <w:sz w:val="16"/>
                <w:szCs w:val="16"/>
              </w:rPr>
            </w:pPr>
            <w:r>
              <w:rPr>
                <w:bCs/>
                <w:sz w:val="16"/>
                <w:szCs w:val="16"/>
              </w:rPr>
              <w:t>TATC-box</w:t>
            </w:r>
          </w:p>
        </w:tc>
        <w:tc>
          <w:tcPr>
            <w:tcW w:w="2682" w:type="dxa"/>
            <w:noWrap/>
            <w:vAlign w:val="center"/>
          </w:tcPr>
          <w:p>
            <w:pPr>
              <w:jc w:val="center"/>
              <w:rPr>
                <w:bCs/>
                <w:sz w:val="16"/>
                <w:szCs w:val="16"/>
              </w:rPr>
            </w:pPr>
            <w:r>
              <w:rPr>
                <w:bCs/>
                <w:sz w:val="16"/>
                <w:szCs w:val="16"/>
              </w:rPr>
              <w:t>TATCCCA</w:t>
            </w:r>
          </w:p>
        </w:tc>
        <w:tc>
          <w:tcPr>
            <w:tcW w:w="1529" w:type="dxa"/>
            <w:noWrap/>
            <w:vAlign w:val="center"/>
          </w:tcPr>
          <w:p>
            <w:pPr>
              <w:jc w:val="center"/>
              <w:rPr>
                <w:bCs/>
                <w:sz w:val="16"/>
                <w:szCs w:val="16"/>
              </w:rPr>
            </w:pPr>
            <w:r>
              <w:rPr>
                <w:bCs/>
                <w:sz w:val="16"/>
                <w:szCs w:val="16"/>
              </w:rPr>
              <w:t>0</w:t>
            </w:r>
          </w:p>
        </w:tc>
        <w:tc>
          <w:tcPr>
            <w:tcW w:w="1210" w:type="dxa"/>
            <w:noWrap/>
            <w:vAlign w:val="center"/>
          </w:tcPr>
          <w:p>
            <w:pPr>
              <w:jc w:val="center"/>
              <w:rPr>
                <w:bCs/>
                <w:sz w:val="16"/>
                <w:szCs w:val="16"/>
              </w:rPr>
            </w:pPr>
            <w:r>
              <w:rPr>
                <w:bCs/>
                <w:sz w:val="16"/>
                <w:szCs w:val="16"/>
              </w:rPr>
              <w:t>1</w:t>
            </w:r>
          </w:p>
        </w:tc>
        <w:tc>
          <w:tcPr>
            <w:tcW w:w="5096" w:type="dxa"/>
            <w:noWrap/>
            <w:vAlign w:val="center"/>
          </w:tcPr>
          <w:p>
            <w:pPr>
              <w:jc w:val="center"/>
              <w:rPr>
                <w:bCs/>
                <w:sz w:val="16"/>
                <w:szCs w:val="16"/>
              </w:rPr>
            </w:pPr>
            <w:r>
              <w:rPr>
                <w:bCs/>
                <w:sz w:val="16"/>
                <w:szCs w:val="16"/>
              </w:rPr>
              <w:t>Cis-acting element involved in gibberellin-responsiveness</w:t>
            </w:r>
          </w:p>
        </w:tc>
      </w:tr>
      <w:tr>
        <w:tblPrEx>
          <w:tblCellMar>
            <w:top w:w="0" w:type="dxa"/>
            <w:left w:w="108" w:type="dxa"/>
            <w:bottom w:w="0" w:type="dxa"/>
            <w:right w:w="108" w:type="dxa"/>
          </w:tblCellMar>
        </w:tblPrEx>
        <w:trPr>
          <w:trHeight w:val="310" w:hRule="atLeast"/>
        </w:trPr>
        <w:tc>
          <w:tcPr>
            <w:tcW w:w="2126" w:type="dxa"/>
            <w:shd w:val="clear" w:color="auto" w:fill="D9D9D9"/>
            <w:noWrap/>
            <w:vAlign w:val="center"/>
          </w:tcPr>
          <w:p>
            <w:pPr>
              <w:jc w:val="center"/>
              <w:rPr>
                <w:bCs/>
                <w:sz w:val="16"/>
                <w:szCs w:val="16"/>
              </w:rPr>
            </w:pPr>
            <w:r>
              <w:rPr>
                <w:bCs/>
                <w:sz w:val="16"/>
                <w:szCs w:val="16"/>
              </w:rPr>
              <w:t>TC-rich repeats</w:t>
            </w:r>
          </w:p>
        </w:tc>
        <w:tc>
          <w:tcPr>
            <w:tcW w:w="2682" w:type="dxa"/>
            <w:shd w:val="clear" w:color="auto" w:fill="D9D9D9"/>
            <w:vAlign w:val="center"/>
          </w:tcPr>
          <w:p>
            <w:pPr>
              <w:jc w:val="center"/>
              <w:rPr>
                <w:bCs/>
                <w:sz w:val="16"/>
                <w:szCs w:val="16"/>
              </w:rPr>
            </w:pPr>
            <w:r>
              <w:rPr>
                <w:bCs/>
                <w:sz w:val="16"/>
                <w:szCs w:val="16"/>
              </w:rPr>
              <w:t>GTTTTCTTAC/ATTCTCTAAC</w:t>
            </w:r>
          </w:p>
        </w:tc>
        <w:tc>
          <w:tcPr>
            <w:tcW w:w="1529" w:type="dxa"/>
            <w:shd w:val="clear" w:color="auto" w:fill="D9D9D9"/>
            <w:noWrap/>
            <w:vAlign w:val="center"/>
          </w:tcPr>
          <w:p>
            <w:pPr>
              <w:jc w:val="center"/>
              <w:rPr>
                <w:bCs/>
                <w:sz w:val="16"/>
                <w:szCs w:val="16"/>
              </w:rPr>
            </w:pPr>
            <w:r>
              <w:rPr>
                <w:bCs/>
                <w:sz w:val="16"/>
                <w:szCs w:val="16"/>
              </w:rPr>
              <w:t>3</w:t>
            </w:r>
          </w:p>
        </w:tc>
        <w:tc>
          <w:tcPr>
            <w:tcW w:w="1210" w:type="dxa"/>
            <w:shd w:val="clear" w:color="auto" w:fill="D9D9D9"/>
            <w:noWrap/>
            <w:vAlign w:val="center"/>
          </w:tcPr>
          <w:p>
            <w:pPr>
              <w:jc w:val="center"/>
              <w:rPr>
                <w:bCs/>
                <w:sz w:val="16"/>
                <w:szCs w:val="16"/>
              </w:rPr>
            </w:pPr>
            <w:r>
              <w:rPr>
                <w:bCs/>
                <w:sz w:val="16"/>
                <w:szCs w:val="16"/>
              </w:rPr>
              <w:t>2</w:t>
            </w:r>
          </w:p>
        </w:tc>
        <w:tc>
          <w:tcPr>
            <w:tcW w:w="5096" w:type="dxa"/>
            <w:shd w:val="clear" w:color="auto" w:fill="D9D9D9"/>
            <w:noWrap/>
            <w:vAlign w:val="center"/>
          </w:tcPr>
          <w:p>
            <w:pPr>
              <w:jc w:val="center"/>
              <w:rPr>
                <w:bCs/>
                <w:sz w:val="16"/>
                <w:szCs w:val="16"/>
              </w:rPr>
            </w:pPr>
            <w:r>
              <w:rPr>
                <w:bCs/>
                <w:sz w:val="16"/>
                <w:szCs w:val="16"/>
              </w:rPr>
              <w:t>Cis-acting element involved in defense and stress responsiveness</w:t>
            </w:r>
          </w:p>
        </w:tc>
      </w:tr>
      <w:tr>
        <w:tblPrEx>
          <w:tblCellMar>
            <w:top w:w="0" w:type="dxa"/>
            <w:left w:w="108" w:type="dxa"/>
            <w:bottom w:w="0" w:type="dxa"/>
            <w:right w:w="108" w:type="dxa"/>
          </w:tblCellMar>
        </w:tblPrEx>
        <w:trPr>
          <w:trHeight w:val="310" w:hRule="atLeast"/>
        </w:trPr>
        <w:tc>
          <w:tcPr>
            <w:tcW w:w="2126" w:type="dxa"/>
            <w:noWrap/>
            <w:vAlign w:val="center"/>
          </w:tcPr>
          <w:p>
            <w:pPr>
              <w:jc w:val="center"/>
              <w:rPr>
                <w:bCs/>
                <w:sz w:val="16"/>
                <w:szCs w:val="16"/>
              </w:rPr>
            </w:pPr>
            <w:r>
              <w:rPr>
                <w:bCs/>
                <w:sz w:val="16"/>
                <w:szCs w:val="16"/>
              </w:rPr>
              <w:t>TCA-element</w:t>
            </w:r>
          </w:p>
        </w:tc>
        <w:tc>
          <w:tcPr>
            <w:tcW w:w="2682" w:type="dxa"/>
            <w:vAlign w:val="center"/>
          </w:tcPr>
          <w:p>
            <w:pPr>
              <w:jc w:val="center"/>
              <w:rPr>
                <w:bCs/>
                <w:sz w:val="16"/>
                <w:szCs w:val="16"/>
              </w:rPr>
            </w:pPr>
            <w:r>
              <w:rPr>
                <w:bCs/>
                <w:sz w:val="16"/>
                <w:szCs w:val="16"/>
              </w:rPr>
              <w:t>CCATCTTTTT</w:t>
            </w:r>
          </w:p>
        </w:tc>
        <w:tc>
          <w:tcPr>
            <w:tcW w:w="1529" w:type="dxa"/>
            <w:noWrap/>
            <w:vAlign w:val="center"/>
          </w:tcPr>
          <w:p>
            <w:pPr>
              <w:jc w:val="center"/>
              <w:rPr>
                <w:bCs/>
                <w:sz w:val="16"/>
                <w:szCs w:val="16"/>
              </w:rPr>
            </w:pPr>
            <w:r>
              <w:rPr>
                <w:bCs/>
                <w:sz w:val="16"/>
                <w:szCs w:val="16"/>
              </w:rPr>
              <w:t>0</w:t>
            </w:r>
          </w:p>
        </w:tc>
        <w:tc>
          <w:tcPr>
            <w:tcW w:w="1210" w:type="dxa"/>
            <w:noWrap/>
            <w:vAlign w:val="center"/>
          </w:tcPr>
          <w:p>
            <w:pPr>
              <w:jc w:val="center"/>
              <w:rPr>
                <w:bCs/>
                <w:sz w:val="16"/>
                <w:szCs w:val="16"/>
              </w:rPr>
            </w:pPr>
            <w:r>
              <w:rPr>
                <w:bCs/>
                <w:sz w:val="16"/>
                <w:szCs w:val="16"/>
              </w:rPr>
              <w:t>1</w:t>
            </w:r>
          </w:p>
        </w:tc>
        <w:tc>
          <w:tcPr>
            <w:tcW w:w="5096" w:type="dxa"/>
            <w:noWrap/>
            <w:vAlign w:val="center"/>
          </w:tcPr>
          <w:p>
            <w:pPr>
              <w:jc w:val="center"/>
              <w:rPr>
                <w:bCs/>
                <w:sz w:val="16"/>
                <w:szCs w:val="16"/>
              </w:rPr>
            </w:pPr>
            <w:r>
              <w:rPr>
                <w:bCs/>
                <w:sz w:val="16"/>
                <w:szCs w:val="16"/>
              </w:rPr>
              <w:t>Cis-acting element involved in salicylic acid responsiveness</w:t>
            </w:r>
          </w:p>
        </w:tc>
      </w:tr>
      <w:tr>
        <w:tblPrEx>
          <w:tblCellMar>
            <w:top w:w="0" w:type="dxa"/>
            <w:left w:w="108" w:type="dxa"/>
            <w:bottom w:w="0" w:type="dxa"/>
            <w:right w:w="108" w:type="dxa"/>
          </w:tblCellMar>
        </w:tblPrEx>
        <w:trPr>
          <w:trHeight w:val="310" w:hRule="atLeast"/>
        </w:trPr>
        <w:tc>
          <w:tcPr>
            <w:tcW w:w="2126" w:type="dxa"/>
            <w:shd w:val="clear" w:color="auto" w:fill="D9D9D9"/>
            <w:noWrap/>
            <w:vAlign w:val="center"/>
          </w:tcPr>
          <w:p>
            <w:pPr>
              <w:jc w:val="center"/>
              <w:rPr>
                <w:bCs/>
                <w:sz w:val="16"/>
                <w:szCs w:val="16"/>
              </w:rPr>
            </w:pPr>
            <w:r>
              <w:rPr>
                <w:bCs/>
                <w:sz w:val="16"/>
                <w:szCs w:val="16"/>
              </w:rPr>
              <w:t>TGA-element</w:t>
            </w:r>
          </w:p>
        </w:tc>
        <w:tc>
          <w:tcPr>
            <w:tcW w:w="2682" w:type="dxa"/>
            <w:shd w:val="clear" w:color="auto" w:fill="D9D9D9"/>
            <w:noWrap/>
            <w:vAlign w:val="center"/>
          </w:tcPr>
          <w:p>
            <w:pPr>
              <w:jc w:val="center"/>
              <w:rPr>
                <w:bCs/>
                <w:sz w:val="16"/>
                <w:szCs w:val="16"/>
              </w:rPr>
            </w:pPr>
            <w:r>
              <w:rPr>
                <w:bCs/>
                <w:sz w:val="16"/>
                <w:szCs w:val="16"/>
              </w:rPr>
              <w:t>AACGAC</w:t>
            </w:r>
          </w:p>
        </w:tc>
        <w:tc>
          <w:tcPr>
            <w:tcW w:w="1529" w:type="dxa"/>
            <w:shd w:val="clear" w:color="auto" w:fill="D9D9D9"/>
            <w:noWrap/>
            <w:vAlign w:val="center"/>
          </w:tcPr>
          <w:p>
            <w:pPr>
              <w:jc w:val="center"/>
              <w:rPr>
                <w:bCs/>
                <w:sz w:val="16"/>
                <w:szCs w:val="16"/>
              </w:rPr>
            </w:pPr>
            <w:r>
              <w:rPr>
                <w:bCs/>
                <w:sz w:val="16"/>
                <w:szCs w:val="16"/>
              </w:rPr>
              <w:t>0</w:t>
            </w:r>
          </w:p>
        </w:tc>
        <w:tc>
          <w:tcPr>
            <w:tcW w:w="1210" w:type="dxa"/>
            <w:shd w:val="clear" w:color="auto" w:fill="D9D9D9"/>
            <w:noWrap/>
            <w:vAlign w:val="center"/>
          </w:tcPr>
          <w:p>
            <w:pPr>
              <w:jc w:val="center"/>
              <w:rPr>
                <w:bCs/>
                <w:sz w:val="16"/>
                <w:szCs w:val="16"/>
              </w:rPr>
            </w:pPr>
            <w:r>
              <w:rPr>
                <w:bCs/>
                <w:sz w:val="16"/>
                <w:szCs w:val="16"/>
              </w:rPr>
              <w:t>1</w:t>
            </w:r>
          </w:p>
        </w:tc>
        <w:tc>
          <w:tcPr>
            <w:tcW w:w="5096" w:type="dxa"/>
            <w:shd w:val="clear" w:color="auto" w:fill="D9D9D9"/>
            <w:noWrap/>
            <w:vAlign w:val="center"/>
          </w:tcPr>
          <w:p>
            <w:pPr>
              <w:jc w:val="center"/>
              <w:rPr>
                <w:bCs/>
                <w:sz w:val="16"/>
                <w:szCs w:val="16"/>
              </w:rPr>
            </w:pPr>
            <w:r>
              <w:rPr>
                <w:bCs/>
                <w:sz w:val="16"/>
                <w:szCs w:val="16"/>
              </w:rPr>
              <w:t>Auxin-responsive element</w:t>
            </w:r>
          </w:p>
        </w:tc>
      </w:tr>
      <w:tr>
        <w:tblPrEx>
          <w:tblCellMar>
            <w:top w:w="0" w:type="dxa"/>
            <w:left w:w="108" w:type="dxa"/>
            <w:bottom w:w="0" w:type="dxa"/>
            <w:right w:w="108" w:type="dxa"/>
          </w:tblCellMar>
        </w:tblPrEx>
        <w:trPr>
          <w:trHeight w:val="310" w:hRule="atLeast"/>
        </w:trPr>
        <w:tc>
          <w:tcPr>
            <w:tcW w:w="2126" w:type="dxa"/>
            <w:shd w:val="clear" w:color="auto" w:fill="FFFFFF"/>
            <w:noWrap/>
            <w:vAlign w:val="center"/>
          </w:tcPr>
          <w:p>
            <w:pPr>
              <w:jc w:val="center"/>
              <w:rPr>
                <w:bCs/>
                <w:sz w:val="16"/>
                <w:szCs w:val="16"/>
              </w:rPr>
            </w:pPr>
            <w:r>
              <w:rPr>
                <w:bCs/>
                <w:sz w:val="16"/>
                <w:szCs w:val="16"/>
              </w:rPr>
              <w:t>chs-CMA2a</w:t>
            </w:r>
          </w:p>
        </w:tc>
        <w:tc>
          <w:tcPr>
            <w:tcW w:w="2682" w:type="dxa"/>
            <w:shd w:val="clear" w:color="auto" w:fill="FFFFFF"/>
            <w:noWrap/>
            <w:vAlign w:val="center"/>
          </w:tcPr>
          <w:p>
            <w:pPr>
              <w:jc w:val="center"/>
              <w:rPr>
                <w:bCs/>
                <w:sz w:val="16"/>
                <w:szCs w:val="16"/>
              </w:rPr>
            </w:pPr>
            <w:r>
              <w:rPr>
                <w:bCs/>
                <w:sz w:val="16"/>
                <w:szCs w:val="16"/>
              </w:rPr>
              <w:t>TCACTTGA</w:t>
            </w:r>
          </w:p>
        </w:tc>
        <w:tc>
          <w:tcPr>
            <w:tcW w:w="1529" w:type="dxa"/>
            <w:shd w:val="clear" w:color="auto" w:fill="FFFFFF"/>
            <w:noWrap/>
            <w:vAlign w:val="center"/>
          </w:tcPr>
          <w:p>
            <w:pPr>
              <w:jc w:val="center"/>
              <w:rPr>
                <w:bCs/>
                <w:sz w:val="16"/>
                <w:szCs w:val="16"/>
              </w:rPr>
            </w:pPr>
            <w:r>
              <w:rPr>
                <w:bCs/>
                <w:sz w:val="16"/>
                <w:szCs w:val="16"/>
              </w:rPr>
              <w:t>0</w:t>
            </w:r>
          </w:p>
        </w:tc>
        <w:tc>
          <w:tcPr>
            <w:tcW w:w="1210" w:type="dxa"/>
            <w:shd w:val="clear" w:color="auto" w:fill="FFFFFF"/>
            <w:noWrap/>
            <w:vAlign w:val="center"/>
          </w:tcPr>
          <w:p>
            <w:pPr>
              <w:jc w:val="center"/>
              <w:rPr>
                <w:bCs/>
                <w:sz w:val="16"/>
                <w:szCs w:val="16"/>
              </w:rPr>
            </w:pPr>
            <w:r>
              <w:rPr>
                <w:bCs/>
                <w:sz w:val="16"/>
                <w:szCs w:val="16"/>
              </w:rPr>
              <w:t>1</w:t>
            </w:r>
          </w:p>
        </w:tc>
        <w:tc>
          <w:tcPr>
            <w:tcW w:w="5096" w:type="dxa"/>
            <w:shd w:val="clear" w:color="auto" w:fill="FFFFFF"/>
            <w:noWrap/>
            <w:vAlign w:val="center"/>
          </w:tcPr>
          <w:p>
            <w:pPr>
              <w:jc w:val="center"/>
              <w:rPr>
                <w:bCs/>
                <w:sz w:val="16"/>
                <w:szCs w:val="16"/>
              </w:rPr>
            </w:pPr>
            <w:r>
              <w:rPr>
                <w:bCs/>
                <w:sz w:val="16"/>
                <w:szCs w:val="16"/>
              </w:rPr>
              <w:t>Part of a light responsive element</w:t>
            </w:r>
          </w:p>
        </w:tc>
      </w:tr>
      <w:tr>
        <w:tblPrEx>
          <w:tblCellMar>
            <w:top w:w="0" w:type="dxa"/>
            <w:left w:w="108" w:type="dxa"/>
            <w:bottom w:w="0" w:type="dxa"/>
            <w:right w:w="108" w:type="dxa"/>
          </w:tblCellMar>
        </w:tblPrEx>
        <w:trPr>
          <w:trHeight w:val="310" w:hRule="atLeast"/>
        </w:trPr>
        <w:tc>
          <w:tcPr>
            <w:tcW w:w="2126" w:type="dxa"/>
            <w:shd w:val="clear" w:color="auto" w:fill="D9D9D9"/>
            <w:noWrap/>
            <w:vAlign w:val="center"/>
          </w:tcPr>
          <w:p>
            <w:pPr>
              <w:jc w:val="center"/>
              <w:rPr>
                <w:bCs/>
                <w:sz w:val="16"/>
                <w:szCs w:val="16"/>
              </w:rPr>
            </w:pPr>
            <w:r>
              <w:rPr>
                <w:bCs/>
                <w:sz w:val="16"/>
                <w:szCs w:val="16"/>
              </w:rPr>
              <w:t>chs-CMA1a</w:t>
            </w:r>
          </w:p>
        </w:tc>
        <w:tc>
          <w:tcPr>
            <w:tcW w:w="2682" w:type="dxa"/>
            <w:shd w:val="clear" w:color="auto" w:fill="D9D9D9"/>
            <w:noWrap/>
            <w:vAlign w:val="center"/>
          </w:tcPr>
          <w:p>
            <w:pPr>
              <w:jc w:val="center"/>
              <w:rPr>
                <w:bCs/>
                <w:sz w:val="16"/>
                <w:szCs w:val="16"/>
              </w:rPr>
            </w:pPr>
            <w:r>
              <w:rPr>
                <w:bCs/>
                <w:sz w:val="16"/>
                <w:szCs w:val="16"/>
              </w:rPr>
              <w:t>TTACTTAA</w:t>
            </w:r>
          </w:p>
        </w:tc>
        <w:tc>
          <w:tcPr>
            <w:tcW w:w="1529" w:type="dxa"/>
            <w:shd w:val="clear" w:color="auto" w:fill="D9D9D9"/>
            <w:noWrap/>
            <w:vAlign w:val="center"/>
          </w:tcPr>
          <w:p>
            <w:pPr>
              <w:jc w:val="center"/>
              <w:rPr>
                <w:bCs/>
                <w:sz w:val="16"/>
                <w:szCs w:val="16"/>
              </w:rPr>
            </w:pPr>
            <w:r>
              <w:rPr>
                <w:bCs/>
                <w:sz w:val="16"/>
                <w:szCs w:val="16"/>
              </w:rPr>
              <w:t>1</w:t>
            </w:r>
          </w:p>
        </w:tc>
        <w:tc>
          <w:tcPr>
            <w:tcW w:w="1210" w:type="dxa"/>
            <w:shd w:val="clear" w:color="auto" w:fill="D9D9D9"/>
            <w:noWrap/>
            <w:vAlign w:val="center"/>
          </w:tcPr>
          <w:p>
            <w:pPr>
              <w:jc w:val="center"/>
              <w:rPr>
                <w:bCs/>
                <w:sz w:val="16"/>
                <w:szCs w:val="16"/>
              </w:rPr>
            </w:pPr>
            <w:r>
              <w:rPr>
                <w:bCs/>
                <w:sz w:val="16"/>
                <w:szCs w:val="16"/>
              </w:rPr>
              <w:t>0</w:t>
            </w:r>
          </w:p>
        </w:tc>
        <w:tc>
          <w:tcPr>
            <w:tcW w:w="5096" w:type="dxa"/>
            <w:shd w:val="clear" w:color="auto" w:fill="D9D9D9"/>
            <w:noWrap/>
            <w:vAlign w:val="center"/>
          </w:tcPr>
          <w:p>
            <w:pPr>
              <w:jc w:val="center"/>
              <w:rPr>
                <w:bCs/>
                <w:sz w:val="16"/>
                <w:szCs w:val="16"/>
              </w:rPr>
            </w:pPr>
            <w:r>
              <w:rPr>
                <w:bCs/>
                <w:sz w:val="16"/>
                <w:szCs w:val="16"/>
              </w:rPr>
              <w:t>Part of a light responsive element</w:t>
            </w:r>
          </w:p>
        </w:tc>
      </w:tr>
      <w:tr>
        <w:tblPrEx>
          <w:tblCellMar>
            <w:top w:w="0" w:type="dxa"/>
            <w:left w:w="108" w:type="dxa"/>
            <w:bottom w:w="0" w:type="dxa"/>
            <w:right w:w="108" w:type="dxa"/>
          </w:tblCellMar>
        </w:tblPrEx>
        <w:trPr>
          <w:trHeight w:val="310" w:hRule="atLeast"/>
        </w:trPr>
        <w:tc>
          <w:tcPr>
            <w:tcW w:w="2126" w:type="dxa"/>
            <w:shd w:val="clear" w:color="auto" w:fill="FFFFFF"/>
            <w:noWrap/>
            <w:vAlign w:val="center"/>
          </w:tcPr>
          <w:p>
            <w:pPr>
              <w:jc w:val="center"/>
              <w:rPr>
                <w:bCs/>
                <w:sz w:val="16"/>
                <w:szCs w:val="16"/>
              </w:rPr>
            </w:pPr>
            <w:r>
              <w:rPr>
                <w:bCs/>
                <w:sz w:val="16"/>
                <w:szCs w:val="16"/>
              </w:rPr>
              <w:t>Skn-1-motif</w:t>
            </w:r>
          </w:p>
        </w:tc>
        <w:tc>
          <w:tcPr>
            <w:tcW w:w="2682" w:type="dxa"/>
            <w:shd w:val="clear" w:color="auto" w:fill="FFFFFF"/>
            <w:noWrap/>
            <w:vAlign w:val="center"/>
          </w:tcPr>
          <w:p>
            <w:pPr>
              <w:jc w:val="center"/>
              <w:rPr>
                <w:bCs/>
                <w:sz w:val="16"/>
                <w:szCs w:val="16"/>
              </w:rPr>
            </w:pPr>
            <w:r>
              <w:rPr>
                <w:bCs/>
                <w:sz w:val="16"/>
                <w:szCs w:val="16"/>
              </w:rPr>
              <w:t>GTCAT</w:t>
            </w:r>
          </w:p>
        </w:tc>
        <w:tc>
          <w:tcPr>
            <w:tcW w:w="1529" w:type="dxa"/>
            <w:shd w:val="clear" w:color="auto" w:fill="FFFFFF"/>
            <w:noWrap/>
            <w:vAlign w:val="center"/>
          </w:tcPr>
          <w:p>
            <w:pPr>
              <w:jc w:val="center"/>
              <w:rPr>
                <w:bCs/>
                <w:sz w:val="16"/>
                <w:szCs w:val="16"/>
              </w:rPr>
            </w:pPr>
            <w:r>
              <w:rPr>
                <w:bCs/>
                <w:sz w:val="16"/>
                <w:szCs w:val="16"/>
              </w:rPr>
              <w:t>3</w:t>
            </w:r>
          </w:p>
        </w:tc>
        <w:tc>
          <w:tcPr>
            <w:tcW w:w="1210" w:type="dxa"/>
            <w:shd w:val="clear" w:color="auto" w:fill="FFFFFF"/>
            <w:noWrap/>
            <w:vAlign w:val="center"/>
          </w:tcPr>
          <w:p>
            <w:pPr>
              <w:jc w:val="center"/>
              <w:rPr>
                <w:bCs/>
                <w:sz w:val="16"/>
                <w:szCs w:val="16"/>
              </w:rPr>
            </w:pPr>
            <w:r>
              <w:rPr>
                <w:bCs/>
                <w:sz w:val="16"/>
                <w:szCs w:val="16"/>
              </w:rPr>
              <w:t>7</w:t>
            </w:r>
          </w:p>
        </w:tc>
        <w:tc>
          <w:tcPr>
            <w:tcW w:w="5096" w:type="dxa"/>
            <w:shd w:val="clear" w:color="auto" w:fill="FFFFFF"/>
            <w:noWrap/>
            <w:vAlign w:val="center"/>
          </w:tcPr>
          <w:p>
            <w:pPr>
              <w:jc w:val="center"/>
              <w:rPr>
                <w:bCs/>
                <w:sz w:val="16"/>
                <w:szCs w:val="16"/>
              </w:rPr>
            </w:pPr>
            <w:r>
              <w:rPr>
                <w:bCs/>
                <w:sz w:val="16"/>
                <w:szCs w:val="16"/>
              </w:rPr>
              <w:t>Cis-acting regulatory element required for endosperm expression</w:t>
            </w:r>
          </w:p>
        </w:tc>
      </w:tr>
      <w:tr>
        <w:tblPrEx>
          <w:tblCellMar>
            <w:top w:w="0" w:type="dxa"/>
            <w:left w:w="108" w:type="dxa"/>
            <w:bottom w:w="0" w:type="dxa"/>
            <w:right w:w="108" w:type="dxa"/>
          </w:tblCellMar>
        </w:tblPrEx>
        <w:trPr>
          <w:trHeight w:val="279" w:hRule="atLeast"/>
        </w:trPr>
        <w:tc>
          <w:tcPr>
            <w:tcW w:w="2126" w:type="dxa"/>
            <w:tcBorders>
              <w:bottom w:val="single" w:color="auto" w:sz="4" w:space="0"/>
            </w:tcBorders>
            <w:shd w:val="clear" w:color="auto" w:fill="D9D9D9"/>
            <w:noWrap/>
            <w:vAlign w:val="center"/>
          </w:tcPr>
          <w:p>
            <w:pPr>
              <w:jc w:val="center"/>
              <w:rPr>
                <w:bCs/>
                <w:sz w:val="16"/>
                <w:szCs w:val="16"/>
              </w:rPr>
            </w:pPr>
            <w:r>
              <w:rPr>
                <w:bCs/>
                <w:sz w:val="16"/>
                <w:szCs w:val="16"/>
              </w:rPr>
              <w:t>Circadian</w:t>
            </w:r>
          </w:p>
        </w:tc>
        <w:tc>
          <w:tcPr>
            <w:tcW w:w="2682" w:type="dxa"/>
            <w:tcBorders>
              <w:bottom w:val="single" w:color="auto" w:sz="4" w:space="0"/>
            </w:tcBorders>
            <w:shd w:val="clear" w:color="auto" w:fill="D9D9D9"/>
            <w:noWrap/>
            <w:vAlign w:val="center"/>
          </w:tcPr>
          <w:p>
            <w:pPr>
              <w:jc w:val="center"/>
              <w:rPr>
                <w:bCs/>
                <w:sz w:val="16"/>
                <w:szCs w:val="16"/>
              </w:rPr>
            </w:pPr>
            <w:r>
              <w:rPr>
                <w:bCs/>
                <w:sz w:val="16"/>
                <w:szCs w:val="16"/>
              </w:rPr>
              <w:t>CAANNNNATC</w:t>
            </w:r>
          </w:p>
        </w:tc>
        <w:tc>
          <w:tcPr>
            <w:tcW w:w="1529" w:type="dxa"/>
            <w:tcBorders>
              <w:bottom w:val="single" w:color="auto" w:sz="4" w:space="0"/>
            </w:tcBorders>
            <w:shd w:val="clear" w:color="auto" w:fill="D9D9D9"/>
            <w:noWrap/>
            <w:vAlign w:val="center"/>
          </w:tcPr>
          <w:p>
            <w:pPr>
              <w:jc w:val="center"/>
              <w:rPr>
                <w:bCs/>
                <w:sz w:val="16"/>
                <w:szCs w:val="16"/>
              </w:rPr>
            </w:pPr>
            <w:r>
              <w:rPr>
                <w:bCs/>
                <w:sz w:val="16"/>
                <w:szCs w:val="16"/>
              </w:rPr>
              <w:t>0</w:t>
            </w:r>
          </w:p>
        </w:tc>
        <w:tc>
          <w:tcPr>
            <w:tcW w:w="1210" w:type="dxa"/>
            <w:tcBorders>
              <w:bottom w:val="single" w:color="auto" w:sz="4" w:space="0"/>
            </w:tcBorders>
            <w:shd w:val="clear" w:color="auto" w:fill="D9D9D9"/>
            <w:noWrap/>
            <w:vAlign w:val="center"/>
          </w:tcPr>
          <w:p>
            <w:pPr>
              <w:jc w:val="center"/>
              <w:rPr>
                <w:bCs/>
                <w:sz w:val="16"/>
                <w:szCs w:val="16"/>
              </w:rPr>
            </w:pPr>
            <w:r>
              <w:rPr>
                <w:bCs/>
                <w:sz w:val="16"/>
                <w:szCs w:val="16"/>
              </w:rPr>
              <w:t>1</w:t>
            </w:r>
          </w:p>
        </w:tc>
        <w:tc>
          <w:tcPr>
            <w:tcW w:w="5096" w:type="dxa"/>
            <w:tcBorders>
              <w:bottom w:val="single" w:color="auto" w:sz="4" w:space="0"/>
            </w:tcBorders>
            <w:shd w:val="clear" w:color="auto" w:fill="D9D9D9"/>
            <w:noWrap/>
            <w:vAlign w:val="center"/>
          </w:tcPr>
          <w:p>
            <w:pPr>
              <w:jc w:val="center"/>
              <w:rPr>
                <w:bCs/>
                <w:sz w:val="16"/>
                <w:szCs w:val="16"/>
              </w:rPr>
            </w:pPr>
            <w:r>
              <w:rPr>
                <w:bCs/>
                <w:sz w:val="16"/>
                <w:szCs w:val="16"/>
              </w:rPr>
              <w:t>Cis-acting regulatory element involved in circadian control</w:t>
            </w:r>
          </w:p>
        </w:tc>
      </w:tr>
    </w:tbl>
    <w:p>
      <w:pPr>
        <w:pStyle w:val="11"/>
        <w:jc w:val="both"/>
        <w:rPr>
          <w:i w:val="0"/>
          <w:iCs/>
          <w:sz w:val="20"/>
          <w:szCs w:val="20"/>
        </w:rPr>
      </w:pPr>
      <w:bookmarkStart w:id="1" w:name="_Hlk161408606"/>
    </w:p>
    <w:p>
      <w:pPr>
        <w:pStyle w:val="11"/>
        <w:jc w:val="both"/>
        <w:rPr>
          <w:b w:val="0"/>
          <w:i w:val="0"/>
          <w:iCs/>
        </w:rPr>
      </w:pPr>
      <w:bookmarkStart w:id="2" w:name="_GoBack"/>
      <w:bookmarkEnd w:id="2"/>
      <w:r>
        <w:rPr>
          <w:i w:val="0"/>
          <w:iCs/>
          <w:sz w:val="20"/>
          <w:szCs w:val="20"/>
        </w:rPr>
        <w:t>Supp</w:t>
      </w:r>
      <w:r>
        <w:rPr>
          <w:rFonts w:hint="eastAsia" w:eastAsiaTheme="minorEastAsia"/>
          <w:i w:val="0"/>
          <w:iCs/>
          <w:sz w:val="20"/>
          <w:szCs w:val="20"/>
          <w:lang w:eastAsia="zh-CN"/>
        </w:rPr>
        <w:t>l</w:t>
      </w:r>
      <w:r>
        <w:rPr>
          <w:i w:val="0"/>
          <w:iCs/>
          <w:sz w:val="20"/>
          <w:szCs w:val="20"/>
        </w:rPr>
        <w:t>ementary table 2. FP primers (no hair pin structure), universal primers and specific primers used for cloning of the EbFS gene promoter. Primers used for the vector constructs were shown in the table.</w:t>
      </w:r>
    </w:p>
    <w:bookmarkEnd w:id="1"/>
    <w:tbl>
      <w:tblPr>
        <w:tblStyle w:val="5"/>
        <w:tblW w:w="133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75"/>
        <w:gridCol w:w="6816"/>
        <w:gridCol w:w="31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3375" w:type="dxa"/>
            <w:tcBorders>
              <w:top w:val="single" w:color="auto" w:sz="12" w:space="0"/>
              <w:left w:val="nil"/>
              <w:bottom w:val="single" w:color="auto" w:sz="4" w:space="0"/>
              <w:right w:val="nil"/>
            </w:tcBorders>
            <w:shd w:val="clear" w:color="auto" w:fill="auto"/>
            <w:vAlign w:val="center"/>
          </w:tcPr>
          <w:p>
            <w:pPr>
              <w:spacing w:line="360" w:lineRule="auto"/>
              <w:jc w:val="center"/>
              <w:rPr>
                <w:color w:val="000000"/>
                <w:sz w:val="20"/>
                <w:szCs w:val="20"/>
              </w:rPr>
            </w:pPr>
            <w:r>
              <w:rPr>
                <w:kern w:val="0"/>
                <w:sz w:val="20"/>
                <w:szCs w:val="20"/>
              </w:rPr>
              <w:t>Name</w:t>
            </w:r>
          </w:p>
        </w:tc>
        <w:tc>
          <w:tcPr>
            <w:tcW w:w="6816" w:type="dxa"/>
            <w:tcBorders>
              <w:top w:val="single" w:color="auto" w:sz="12" w:space="0"/>
              <w:left w:val="nil"/>
              <w:bottom w:val="single" w:color="auto" w:sz="4" w:space="0"/>
              <w:right w:val="nil"/>
            </w:tcBorders>
            <w:shd w:val="clear" w:color="auto" w:fill="auto"/>
            <w:vAlign w:val="center"/>
          </w:tcPr>
          <w:p>
            <w:pPr>
              <w:spacing w:line="360" w:lineRule="auto"/>
              <w:jc w:val="center"/>
              <w:rPr>
                <w:color w:val="000000"/>
                <w:sz w:val="20"/>
                <w:szCs w:val="20"/>
              </w:rPr>
            </w:pPr>
            <w:r>
              <w:rPr>
                <w:kern w:val="0"/>
                <w:sz w:val="20"/>
                <w:szCs w:val="20"/>
              </w:rPr>
              <w:t>Primer sequence 5’-3’</w:t>
            </w:r>
          </w:p>
        </w:tc>
        <w:tc>
          <w:tcPr>
            <w:tcW w:w="3123" w:type="dxa"/>
            <w:tcBorders>
              <w:top w:val="single" w:color="auto" w:sz="12" w:space="0"/>
              <w:left w:val="nil"/>
              <w:bottom w:val="single" w:color="auto" w:sz="4" w:space="0"/>
              <w:right w:val="nil"/>
            </w:tcBorders>
            <w:shd w:val="clear" w:color="auto" w:fill="auto"/>
            <w:vAlign w:val="center"/>
          </w:tcPr>
          <w:p>
            <w:pPr>
              <w:spacing w:line="360" w:lineRule="auto"/>
              <w:jc w:val="center"/>
              <w:rPr>
                <w:color w:val="000000"/>
                <w:sz w:val="20"/>
                <w:szCs w:val="20"/>
              </w:rPr>
            </w:pPr>
            <w:r>
              <w:rPr>
                <w:kern w:val="0"/>
                <w:sz w:val="20"/>
                <w:szCs w:val="20"/>
              </w:rPr>
              <w:t>Primer use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3375" w:type="dxa"/>
            <w:tcBorders>
              <w:top w:val="nil"/>
              <w:left w:val="nil"/>
              <w:bottom w:val="nil"/>
              <w:right w:val="nil"/>
            </w:tcBorders>
            <w:shd w:val="clear" w:color="auto" w:fill="auto"/>
            <w:vAlign w:val="center"/>
          </w:tcPr>
          <w:p>
            <w:pPr>
              <w:spacing w:line="360" w:lineRule="auto"/>
              <w:jc w:val="center"/>
              <w:rPr>
                <w:color w:val="000000"/>
                <w:sz w:val="20"/>
                <w:szCs w:val="20"/>
              </w:rPr>
            </w:pPr>
            <w:r>
              <w:rPr>
                <w:sz w:val="20"/>
                <w:szCs w:val="20"/>
              </w:rPr>
              <w:t>pro</w:t>
            </w:r>
            <w:r>
              <w:rPr>
                <w:i/>
                <w:sz w:val="20"/>
                <w:szCs w:val="20"/>
              </w:rPr>
              <w:t>EbFS</w:t>
            </w:r>
            <w:r>
              <w:rPr>
                <w:sz w:val="20"/>
                <w:szCs w:val="20"/>
              </w:rPr>
              <w:t>-121-F</w:t>
            </w:r>
          </w:p>
        </w:tc>
        <w:tc>
          <w:tcPr>
            <w:tcW w:w="6816" w:type="dxa"/>
            <w:tcBorders>
              <w:top w:val="nil"/>
              <w:left w:val="nil"/>
              <w:bottom w:val="nil"/>
              <w:right w:val="nil"/>
            </w:tcBorders>
            <w:shd w:val="clear" w:color="auto" w:fill="auto"/>
            <w:vAlign w:val="center"/>
          </w:tcPr>
          <w:p>
            <w:pPr>
              <w:spacing w:line="360" w:lineRule="auto"/>
              <w:jc w:val="center"/>
              <w:rPr>
                <w:color w:val="000000"/>
                <w:sz w:val="20"/>
                <w:szCs w:val="20"/>
              </w:rPr>
            </w:pPr>
            <w:r>
              <w:rPr>
                <w:sz w:val="20"/>
                <w:szCs w:val="20"/>
              </w:rPr>
              <w:t>GACCATGATTACGCC</w:t>
            </w:r>
            <w:r>
              <w:rPr>
                <w:sz w:val="20"/>
                <w:szCs w:val="20"/>
                <w:u w:val="single"/>
              </w:rPr>
              <w:t>AAGCTT</w:t>
            </w:r>
            <w:r>
              <w:rPr>
                <w:sz w:val="20"/>
                <w:szCs w:val="20"/>
              </w:rPr>
              <w:t>ATGGGTTGGTCCACTGGTTGAG</w:t>
            </w:r>
          </w:p>
        </w:tc>
        <w:tc>
          <w:tcPr>
            <w:tcW w:w="3123" w:type="dxa"/>
            <w:tcBorders>
              <w:top w:val="nil"/>
              <w:left w:val="nil"/>
              <w:bottom w:val="nil"/>
              <w:right w:val="nil"/>
            </w:tcBorders>
            <w:shd w:val="clear" w:color="auto" w:fill="auto"/>
            <w:vAlign w:val="center"/>
          </w:tcPr>
          <w:p>
            <w:pPr>
              <w:spacing w:line="360" w:lineRule="auto"/>
              <w:jc w:val="center"/>
              <w:rPr>
                <w:i/>
                <w:iCs/>
                <w:color w:val="000000"/>
                <w:sz w:val="20"/>
                <w:szCs w:val="20"/>
              </w:rPr>
            </w:pPr>
            <w:r>
              <w:rPr>
                <w:i/>
                <w:iCs/>
                <w:sz w:val="20"/>
                <w:szCs w:val="20"/>
              </w:rPr>
              <w:t>pBI121-pE::GUS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3375" w:type="dxa"/>
            <w:tcBorders>
              <w:top w:val="nil"/>
              <w:left w:val="nil"/>
              <w:bottom w:val="nil"/>
              <w:right w:val="nil"/>
            </w:tcBorders>
            <w:shd w:val="clear" w:color="auto" w:fill="auto"/>
            <w:vAlign w:val="center"/>
          </w:tcPr>
          <w:p>
            <w:pPr>
              <w:spacing w:line="360" w:lineRule="auto"/>
              <w:jc w:val="center"/>
              <w:rPr>
                <w:color w:val="000000"/>
                <w:sz w:val="20"/>
                <w:szCs w:val="20"/>
              </w:rPr>
            </w:pPr>
            <w:r>
              <w:rPr>
                <w:sz w:val="20"/>
                <w:szCs w:val="20"/>
              </w:rPr>
              <w:t>pro</w:t>
            </w:r>
            <w:r>
              <w:rPr>
                <w:i/>
                <w:sz w:val="20"/>
                <w:szCs w:val="20"/>
              </w:rPr>
              <w:t>EbFS</w:t>
            </w:r>
            <w:r>
              <w:rPr>
                <w:sz w:val="20"/>
                <w:szCs w:val="20"/>
              </w:rPr>
              <w:t>-121-R</w:t>
            </w:r>
          </w:p>
        </w:tc>
        <w:tc>
          <w:tcPr>
            <w:tcW w:w="6816" w:type="dxa"/>
            <w:tcBorders>
              <w:top w:val="nil"/>
              <w:left w:val="nil"/>
              <w:bottom w:val="nil"/>
              <w:right w:val="nil"/>
            </w:tcBorders>
            <w:shd w:val="clear" w:color="auto" w:fill="auto"/>
            <w:vAlign w:val="center"/>
          </w:tcPr>
          <w:p>
            <w:pPr>
              <w:spacing w:line="360" w:lineRule="auto"/>
              <w:jc w:val="center"/>
              <w:rPr>
                <w:color w:val="000000"/>
                <w:sz w:val="20"/>
                <w:szCs w:val="20"/>
              </w:rPr>
            </w:pPr>
            <w:r>
              <w:rPr>
                <w:sz w:val="20"/>
                <w:szCs w:val="20"/>
              </w:rPr>
              <w:t>GGACTGACCACCCGG</w:t>
            </w:r>
            <w:r>
              <w:rPr>
                <w:sz w:val="20"/>
                <w:szCs w:val="20"/>
                <w:u w:val="single"/>
              </w:rPr>
              <w:t>GGATCC</w:t>
            </w:r>
            <w:r>
              <w:rPr>
                <w:sz w:val="20"/>
                <w:szCs w:val="20"/>
              </w:rPr>
              <w:t>CTTCTCAAAATCTTGCAAGTTTGAT</w:t>
            </w:r>
          </w:p>
        </w:tc>
        <w:tc>
          <w:tcPr>
            <w:tcW w:w="3123" w:type="dxa"/>
            <w:tcBorders>
              <w:top w:val="nil"/>
              <w:left w:val="nil"/>
              <w:bottom w:val="nil"/>
              <w:right w:val="nil"/>
            </w:tcBorders>
            <w:shd w:val="clear" w:color="auto" w:fill="auto"/>
            <w:vAlign w:val="center"/>
          </w:tcPr>
          <w:p>
            <w:pPr>
              <w:spacing w:line="360" w:lineRule="auto"/>
              <w:jc w:val="center"/>
              <w:rPr>
                <w:i/>
                <w:iCs/>
                <w:color w:val="000000"/>
                <w:sz w:val="20"/>
                <w:szCs w:val="20"/>
              </w:rPr>
            </w:pPr>
            <w:r>
              <w:rPr>
                <w:i/>
                <w:iCs/>
                <w:sz w:val="20"/>
                <w:szCs w:val="20"/>
              </w:rPr>
              <w:t>pBI121-pE::GUS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3375" w:type="dxa"/>
            <w:tcBorders>
              <w:top w:val="nil"/>
              <w:left w:val="nil"/>
              <w:bottom w:val="nil"/>
              <w:right w:val="nil"/>
            </w:tcBorders>
            <w:shd w:val="clear" w:color="auto" w:fill="auto"/>
            <w:vAlign w:val="center"/>
          </w:tcPr>
          <w:p>
            <w:pPr>
              <w:spacing w:line="360" w:lineRule="auto"/>
              <w:jc w:val="center"/>
              <w:rPr>
                <w:color w:val="000000"/>
                <w:sz w:val="20"/>
                <w:szCs w:val="20"/>
              </w:rPr>
            </w:pPr>
            <w:r>
              <w:rPr>
                <w:sz w:val="20"/>
                <w:szCs w:val="20"/>
              </w:rPr>
              <w:t>pBI121-F</w:t>
            </w:r>
          </w:p>
        </w:tc>
        <w:tc>
          <w:tcPr>
            <w:tcW w:w="6816" w:type="dxa"/>
            <w:tcBorders>
              <w:top w:val="nil"/>
              <w:left w:val="nil"/>
              <w:bottom w:val="nil"/>
              <w:right w:val="nil"/>
            </w:tcBorders>
            <w:shd w:val="clear" w:color="auto" w:fill="auto"/>
            <w:vAlign w:val="center"/>
          </w:tcPr>
          <w:p>
            <w:pPr>
              <w:spacing w:line="360" w:lineRule="auto"/>
              <w:jc w:val="center"/>
              <w:rPr>
                <w:color w:val="000000"/>
                <w:sz w:val="20"/>
                <w:szCs w:val="20"/>
              </w:rPr>
            </w:pPr>
            <w:r>
              <w:rPr>
                <w:sz w:val="20"/>
                <w:szCs w:val="20"/>
              </w:rPr>
              <w:t>GATTATGAAGGACGTGCAAC</w:t>
            </w:r>
          </w:p>
        </w:tc>
        <w:tc>
          <w:tcPr>
            <w:tcW w:w="3123" w:type="dxa"/>
            <w:tcBorders>
              <w:top w:val="nil"/>
              <w:left w:val="nil"/>
              <w:bottom w:val="nil"/>
              <w:right w:val="nil"/>
            </w:tcBorders>
            <w:shd w:val="clear" w:color="auto" w:fill="auto"/>
            <w:vAlign w:val="center"/>
          </w:tcPr>
          <w:p>
            <w:pPr>
              <w:spacing w:line="360" w:lineRule="auto"/>
              <w:jc w:val="center"/>
              <w:rPr>
                <w:color w:val="000000"/>
                <w:sz w:val="20"/>
                <w:szCs w:val="20"/>
              </w:rPr>
            </w:pPr>
            <w:r>
              <w:rPr>
                <w:color w:val="000000"/>
                <w:sz w:val="20"/>
                <w:szCs w:val="20"/>
              </w:rPr>
              <w:t>Constructs detection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3375" w:type="dxa"/>
            <w:tcBorders>
              <w:top w:val="nil"/>
              <w:left w:val="nil"/>
              <w:bottom w:val="nil"/>
              <w:right w:val="nil"/>
            </w:tcBorders>
            <w:shd w:val="clear" w:color="auto" w:fill="auto"/>
            <w:vAlign w:val="center"/>
          </w:tcPr>
          <w:p>
            <w:pPr>
              <w:spacing w:line="360" w:lineRule="auto"/>
              <w:jc w:val="center"/>
              <w:rPr>
                <w:color w:val="000000"/>
                <w:sz w:val="20"/>
                <w:szCs w:val="20"/>
              </w:rPr>
            </w:pPr>
            <w:r>
              <w:rPr>
                <w:sz w:val="20"/>
                <w:szCs w:val="20"/>
              </w:rPr>
              <w:t>pBI121-GUS-R</w:t>
            </w:r>
          </w:p>
        </w:tc>
        <w:tc>
          <w:tcPr>
            <w:tcW w:w="6816" w:type="dxa"/>
            <w:tcBorders>
              <w:top w:val="nil"/>
              <w:left w:val="nil"/>
              <w:bottom w:val="nil"/>
              <w:right w:val="nil"/>
            </w:tcBorders>
            <w:shd w:val="clear" w:color="auto" w:fill="auto"/>
            <w:vAlign w:val="center"/>
          </w:tcPr>
          <w:p>
            <w:pPr>
              <w:spacing w:line="360" w:lineRule="auto"/>
              <w:jc w:val="center"/>
              <w:rPr>
                <w:color w:val="000000"/>
                <w:sz w:val="20"/>
                <w:szCs w:val="20"/>
              </w:rPr>
            </w:pPr>
            <w:r>
              <w:rPr>
                <w:sz w:val="20"/>
                <w:szCs w:val="20"/>
              </w:rPr>
              <w:t>GGCGAACTGATCGTTAAAACTGC</w:t>
            </w:r>
          </w:p>
        </w:tc>
        <w:tc>
          <w:tcPr>
            <w:tcW w:w="3123" w:type="dxa"/>
            <w:tcBorders>
              <w:top w:val="nil"/>
              <w:left w:val="nil"/>
              <w:bottom w:val="nil"/>
              <w:right w:val="nil"/>
            </w:tcBorders>
            <w:shd w:val="clear" w:color="auto" w:fill="auto"/>
            <w:vAlign w:val="center"/>
          </w:tcPr>
          <w:p>
            <w:pPr>
              <w:spacing w:line="360" w:lineRule="auto"/>
              <w:jc w:val="center"/>
              <w:rPr>
                <w:color w:val="000000"/>
                <w:sz w:val="20"/>
                <w:szCs w:val="20"/>
              </w:rPr>
            </w:pPr>
            <w:r>
              <w:rPr>
                <w:color w:val="000000"/>
                <w:sz w:val="20"/>
                <w:szCs w:val="20"/>
              </w:rPr>
              <w:t>Constructs detection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3375" w:type="dxa"/>
            <w:tcBorders>
              <w:top w:val="nil"/>
              <w:left w:val="nil"/>
              <w:bottom w:val="nil"/>
              <w:right w:val="nil"/>
            </w:tcBorders>
            <w:shd w:val="clear" w:color="auto" w:fill="auto"/>
          </w:tcPr>
          <w:p>
            <w:pPr>
              <w:spacing w:line="360" w:lineRule="auto"/>
              <w:jc w:val="center"/>
              <w:rPr>
                <w:sz w:val="20"/>
                <w:szCs w:val="20"/>
              </w:rPr>
            </w:pPr>
            <w:r>
              <w:rPr>
                <w:sz w:val="20"/>
                <w:szCs w:val="20"/>
              </w:rPr>
              <w:t>P-2060F</w:t>
            </w:r>
          </w:p>
        </w:tc>
        <w:tc>
          <w:tcPr>
            <w:tcW w:w="6816" w:type="dxa"/>
            <w:tcBorders>
              <w:top w:val="nil"/>
              <w:left w:val="nil"/>
              <w:bottom w:val="nil"/>
              <w:right w:val="nil"/>
            </w:tcBorders>
            <w:shd w:val="clear" w:color="auto" w:fill="auto"/>
          </w:tcPr>
          <w:p>
            <w:pPr>
              <w:spacing w:line="360" w:lineRule="auto"/>
              <w:jc w:val="center"/>
              <w:rPr>
                <w:sz w:val="20"/>
                <w:szCs w:val="20"/>
              </w:rPr>
            </w:pPr>
            <w:r>
              <w:rPr>
                <w:sz w:val="20"/>
                <w:szCs w:val="20"/>
              </w:rPr>
              <w:t>GATTATGAAGGACGTGCAAC</w:t>
            </w:r>
          </w:p>
        </w:tc>
        <w:tc>
          <w:tcPr>
            <w:tcW w:w="3123" w:type="dxa"/>
            <w:tcBorders>
              <w:top w:val="nil"/>
              <w:left w:val="nil"/>
              <w:bottom w:val="nil"/>
              <w:right w:val="nil"/>
            </w:tcBorders>
            <w:shd w:val="clear" w:color="auto" w:fill="auto"/>
            <w:vAlign w:val="center"/>
          </w:tcPr>
          <w:p>
            <w:pPr>
              <w:spacing w:line="360" w:lineRule="auto"/>
              <w:jc w:val="center"/>
              <w:rPr>
                <w:color w:val="000000"/>
                <w:sz w:val="20"/>
                <w:szCs w:val="20"/>
              </w:rPr>
            </w:pPr>
            <w:r>
              <w:rPr>
                <w:color w:val="000000"/>
                <w:sz w:val="20"/>
                <w:szCs w:val="20"/>
              </w:rPr>
              <w:t>Constructs detection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3375" w:type="dxa"/>
            <w:tcBorders>
              <w:top w:val="nil"/>
              <w:left w:val="nil"/>
              <w:bottom w:val="nil"/>
              <w:right w:val="nil"/>
            </w:tcBorders>
            <w:shd w:val="clear" w:color="auto" w:fill="auto"/>
          </w:tcPr>
          <w:p>
            <w:pPr>
              <w:spacing w:line="360" w:lineRule="auto"/>
              <w:jc w:val="center"/>
              <w:rPr>
                <w:sz w:val="20"/>
                <w:szCs w:val="20"/>
              </w:rPr>
            </w:pPr>
            <w:r>
              <w:rPr>
                <w:i/>
                <w:iCs/>
                <w:sz w:val="20"/>
                <w:szCs w:val="20"/>
              </w:rPr>
              <w:t>EbFS</w:t>
            </w:r>
            <w:r>
              <w:rPr>
                <w:sz w:val="20"/>
                <w:szCs w:val="20"/>
              </w:rPr>
              <w:t>-20R</w:t>
            </w:r>
          </w:p>
        </w:tc>
        <w:tc>
          <w:tcPr>
            <w:tcW w:w="6816" w:type="dxa"/>
            <w:tcBorders>
              <w:top w:val="nil"/>
              <w:left w:val="nil"/>
              <w:bottom w:val="nil"/>
              <w:right w:val="nil"/>
            </w:tcBorders>
            <w:shd w:val="clear" w:color="auto" w:fill="auto"/>
          </w:tcPr>
          <w:p>
            <w:pPr>
              <w:spacing w:line="360" w:lineRule="auto"/>
              <w:jc w:val="center"/>
              <w:rPr>
                <w:sz w:val="20"/>
                <w:szCs w:val="20"/>
              </w:rPr>
            </w:pPr>
            <w:r>
              <w:rPr>
                <w:sz w:val="20"/>
                <w:szCs w:val="20"/>
              </w:rPr>
              <w:t>CGTAACCAAATCTTGTGGCTCA</w:t>
            </w:r>
          </w:p>
        </w:tc>
        <w:tc>
          <w:tcPr>
            <w:tcW w:w="3123" w:type="dxa"/>
            <w:tcBorders>
              <w:top w:val="nil"/>
              <w:left w:val="nil"/>
              <w:bottom w:val="nil"/>
              <w:right w:val="nil"/>
            </w:tcBorders>
            <w:shd w:val="clear" w:color="auto" w:fill="auto"/>
            <w:vAlign w:val="center"/>
          </w:tcPr>
          <w:p>
            <w:pPr>
              <w:spacing w:line="360" w:lineRule="auto"/>
              <w:jc w:val="center"/>
              <w:rPr>
                <w:color w:val="000000"/>
                <w:sz w:val="20"/>
                <w:szCs w:val="20"/>
              </w:rPr>
            </w:pPr>
            <w:r>
              <w:rPr>
                <w:color w:val="000000"/>
                <w:sz w:val="20"/>
                <w:szCs w:val="20"/>
              </w:rPr>
              <w:t>Constructs detection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375" w:type="dxa"/>
            <w:tcBorders>
              <w:top w:val="nil"/>
              <w:left w:val="nil"/>
              <w:bottom w:val="nil"/>
              <w:right w:val="nil"/>
            </w:tcBorders>
            <w:shd w:val="clear" w:color="auto" w:fill="auto"/>
            <w:vAlign w:val="center"/>
          </w:tcPr>
          <w:p>
            <w:pPr>
              <w:spacing w:line="360" w:lineRule="auto"/>
              <w:jc w:val="center"/>
              <w:rPr>
                <w:color w:val="000000"/>
                <w:sz w:val="20"/>
                <w:szCs w:val="20"/>
              </w:rPr>
            </w:pPr>
            <w:r>
              <w:rPr>
                <w:sz w:val="20"/>
                <w:szCs w:val="20"/>
              </w:rPr>
              <w:t>pro</w:t>
            </w:r>
            <w:r>
              <w:rPr>
                <w:i/>
                <w:sz w:val="20"/>
                <w:szCs w:val="20"/>
              </w:rPr>
              <w:t>EbFS</w:t>
            </w:r>
            <w:r>
              <w:rPr>
                <w:sz w:val="20"/>
                <w:szCs w:val="20"/>
              </w:rPr>
              <w:t>-121-</w:t>
            </w:r>
            <w:r>
              <w:rPr>
                <w:i/>
                <w:sz w:val="20"/>
                <w:szCs w:val="20"/>
              </w:rPr>
              <w:t>EbFS</w:t>
            </w:r>
            <w:r>
              <w:rPr>
                <w:sz w:val="20"/>
                <w:szCs w:val="20"/>
              </w:rPr>
              <w:t>-F</w:t>
            </w:r>
          </w:p>
        </w:tc>
        <w:tc>
          <w:tcPr>
            <w:tcW w:w="6816" w:type="dxa"/>
            <w:tcBorders>
              <w:top w:val="nil"/>
              <w:left w:val="nil"/>
              <w:bottom w:val="nil"/>
              <w:right w:val="nil"/>
            </w:tcBorders>
            <w:shd w:val="clear" w:color="auto" w:fill="auto"/>
            <w:vAlign w:val="center"/>
          </w:tcPr>
          <w:p>
            <w:pPr>
              <w:spacing w:line="360" w:lineRule="auto"/>
              <w:jc w:val="center"/>
              <w:rPr>
                <w:color w:val="000000"/>
                <w:sz w:val="20"/>
                <w:szCs w:val="20"/>
              </w:rPr>
            </w:pPr>
            <w:r>
              <w:rPr>
                <w:sz w:val="20"/>
                <w:szCs w:val="20"/>
              </w:rPr>
              <w:t>CAAGATTTTGAGAA</w:t>
            </w:r>
            <w:r>
              <w:rPr>
                <w:sz w:val="20"/>
                <w:szCs w:val="20"/>
                <w:u w:val="single"/>
              </w:rPr>
              <w:t>GGATCC</w:t>
            </w:r>
            <w:r>
              <w:rPr>
                <w:sz w:val="20"/>
                <w:szCs w:val="20"/>
              </w:rPr>
              <w:t>ATGTCAGCTATTCCTGTTTCTGGTG</w:t>
            </w:r>
          </w:p>
        </w:tc>
        <w:tc>
          <w:tcPr>
            <w:tcW w:w="3123" w:type="dxa"/>
            <w:tcBorders>
              <w:top w:val="nil"/>
              <w:left w:val="nil"/>
              <w:bottom w:val="nil"/>
              <w:right w:val="nil"/>
            </w:tcBorders>
            <w:shd w:val="clear" w:color="auto" w:fill="auto"/>
            <w:vAlign w:val="center"/>
          </w:tcPr>
          <w:p>
            <w:pPr>
              <w:spacing w:line="360" w:lineRule="auto"/>
              <w:jc w:val="center"/>
              <w:rPr>
                <w:i/>
                <w:iCs/>
                <w:color w:val="000000"/>
                <w:sz w:val="20"/>
                <w:szCs w:val="20"/>
              </w:rPr>
            </w:pPr>
            <w:r>
              <w:rPr>
                <w:i/>
                <w:iCs/>
                <w:sz w:val="20"/>
                <w:szCs w:val="20"/>
              </w:rPr>
              <w:t>pBI121-pE::EbFS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3375" w:type="dxa"/>
            <w:tcBorders>
              <w:top w:val="nil"/>
              <w:left w:val="nil"/>
              <w:bottom w:val="nil"/>
              <w:right w:val="nil"/>
            </w:tcBorders>
            <w:shd w:val="clear" w:color="auto" w:fill="auto"/>
            <w:vAlign w:val="center"/>
          </w:tcPr>
          <w:p>
            <w:pPr>
              <w:spacing w:line="360" w:lineRule="auto"/>
              <w:jc w:val="center"/>
              <w:rPr>
                <w:color w:val="000000"/>
                <w:sz w:val="20"/>
                <w:szCs w:val="20"/>
              </w:rPr>
            </w:pPr>
            <w:r>
              <w:rPr>
                <w:sz w:val="20"/>
                <w:szCs w:val="20"/>
              </w:rPr>
              <w:t>pro</w:t>
            </w:r>
            <w:r>
              <w:rPr>
                <w:i/>
                <w:sz w:val="20"/>
                <w:szCs w:val="20"/>
              </w:rPr>
              <w:t>EbFS</w:t>
            </w:r>
            <w:r>
              <w:rPr>
                <w:sz w:val="20"/>
                <w:szCs w:val="20"/>
              </w:rPr>
              <w:t>-121-</w:t>
            </w:r>
            <w:r>
              <w:rPr>
                <w:i/>
                <w:sz w:val="20"/>
                <w:szCs w:val="20"/>
              </w:rPr>
              <w:t>EbFS</w:t>
            </w:r>
            <w:r>
              <w:rPr>
                <w:sz w:val="20"/>
                <w:szCs w:val="20"/>
              </w:rPr>
              <w:t>-R</w:t>
            </w:r>
          </w:p>
        </w:tc>
        <w:tc>
          <w:tcPr>
            <w:tcW w:w="6816" w:type="dxa"/>
            <w:tcBorders>
              <w:top w:val="nil"/>
              <w:left w:val="nil"/>
              <w:bottom w:val="nil"/>
              <w:right w:val="nil"/>
            </w:tcBorders>
            <w:shd w:val="clear" w:color="auto" w:fill="auto"/>
            <w:vAlign w:val="center"/>
          </w:tcPr>
          <w:p>
            <w:pPr>
              <w:spacing w:line="360" w:lineRule="auto"/>
              <w:jc w:val="center"/>
              <w:rPr>
                <w:color w:val="000000"/>
                <w:sz w:val="20"/>
                <w:szCs w:val="20"/>
              </w:rPr>
            </w:pPr>
            <w:r>
              <w:rPr>
                <w:sz w:val="20"/>
                <w:szCs w:val="20"/>
              </w:rPr>
              <w:t>CGATCGGGGAAATTC</w:t>
            </w:r>
            <w:r>
              <w:rPr>
                <w:sz w:val="20"/>
                <w:szCs w:val="20"/>
                <w:u w:val="single"/>
              </w:rPr>
              <w:t>GAGCTC</w:t>
            </w:r>
            <w:r>
              <w:rPr>
                <w:sz w:val="20"/>
                <w:szCs w:val="20"/>
              </w:rPr>
              <w:t>TTAGACAACCATAGGGTGAACGAAG</w:t>
            </w:r>
          </w:p>
        </w:tc>
        <w:tc>
          <w:tcPr>
            <w:tcW w:w="3123" w:type="dxa"/>
            <w:tcBorders>
              <w:top w:val="nil"/>
              <w:left w:val="nil"/>
              <w:bottom w:val="nil"/>
              <w:right w:val="nil"/>
            </w:tcBorders>
            <w:shd w:val="clear" w:color="auto" w:fill="auto"/>
            <w:vAlign w:val="center"/>
          </w:tcPr>
          <w:p>
            <w:pPr>
              <w:spacing w:line="360" w:lineRule="auto"/>
              <w:jc w:val="center"/>
              <w:rPr>
                <w:i/>
                <w:iCs/>
                <w:color w:val="000000"/>
                <w:sz w:val="20"/>
                <w:szCs w:val="20"/>
              </w:rPr>
            </w:pPr>
            <w:r>
              <w:rPr>
                <w:i/>
                <w:iCs/>
                <w:sz w:val="20"/>
                <w:szCs w:val="20"/>
              </w:rPr>
              <w:t>pBI121-pE:: EbFS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3375" w:type="dxa"/>
            <w:tcBorders>
              <w:top w:val="nil"/>
              <w:left w:val="nil"/>
              <w:bottom w:val="nil"/>
              <w:right w:val="nil"/>
            </w:tcBorders>
            <w:shd w:val="clear" w:color="auto" w:fill="auto"/>
            <w:vAlign w:val="center"/>
          </w:tcPr>
          <w:p>
            <w:pPr>
              <w:spacing w:line="360" w:lineRule="auto"/>
              <w:jc w:val="center"/>
              <w:rPr>
                <w:color w:val="000000"/>
                <w:sz w:val="20"/>
                <w:szCs w:val="20"/>
              </w:rPr>
            </w:pPr>
            <w:r>
              <w:rPr>
                <w:i/>
                <w:sz w:val="20"/>
                <w:szCs w:val="20"/>
              </w:rPr>
              <w:t>CmUBI</w:t>
            </w:r>
            <w:r>
              <w:rPr>
                <w:sz w:val="20"/>
                <w:szCs w:val="20"/>
              </w:rPr>
              <w:t>-F</w:t>
            </w:r>
          </w:p>
        </w:tc>
        <w:tc>
          <w:tcPr>
            <w:tcW w:w="6816" w:type="dxa"/>
            <w:tcBorders>
              <w:top w:val="nil"/>
              <w:left w:val="nil"/>
              <w:bottom w:val="nil"/>
              <w:right w:val="nil"/>
            </w:tcBorders>
            <w:shd w:val="clear" w:color="auto" w:fill="auto"/>
            <w:vAlign w:val="center"/>
          </w:tcPr>
          <w:p>
            <w:pPr>
              <w:spacing w:line="360" w:lineRule="auto"/>
              <w:jc w:val="center"/>
              <w:rPr>
                <w:color w:val="000000"/>
                <w:sz w:val="20"/>
                <w:szCs w:val="20"/>
              </w:rPr>
            </w:pPr>
            <w:r>
              <w:rPr>
                <w:sz w:val="20"/>
                <w:szCs w:val="20"/>
              </w:rPr>
              <w:t>AGCTGAGCAGACTCCCGATG</w:t>
            </w:r>
          </w:p>
        </w:tc>
        <w:tc>
          <w:tcPr>
            <w:tcW w:w="3123" w:type="dxa"/>
            <w:tcBorders>
              <w:top w:val="nil"/>
              <w:left w:val="nil"/>
              <w:bottom w:val="nil"/>
              <w:right w:val="nil"/>
            </w:tcBorders>
            <w:shd w:val="clear" w:color="auto" w:fill="auto"/>
            <w:vAlign w:val="center"/>
          </w:tcPr>
          <w:p>
            <w:pPr>
              <w:spacing w:line="360" w:lineRule="auto"/>
              <w:jc w:val="center"/>
              <w:rPr>
                <w:color w:val="000000"/>
                <w:sz w:val="20"/>
                <w:szCs w:val="20"/>
              </w:rPr>
            </w:pPr>
            <w:r>
              <w:rPr>
                <w:sz w:val="20"/>
                <w:szCs w:val="20"/>
              </w:rPr>
              <w:t>Real time PCR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3375" w:type="dxa"/>
            <w:tcBorders>
              <w:top w:val="nil"/>
              <w:left w:val="nil"/>
              <w:bottom w:val="nil"/>
              <w:right w:val="nil"/>
            </w:tcBorders>
            <w:shd w:val="clear" w:color="auto" w:fill="auto"/>
            <w:vAlign w:val="center"/>
          </w:tcPr>
          <w:p>
            <w:pPr>
              <w:spacing w:line="360" w:lineRule="auto"/>
              <w:jc w:val="center"/>
              <w:rPr>
                <w:color w:val="000000"/>
                <w:sz w:val="20"/>
                <w:szCs w:val="20"/>
              </w:rPr>
            </w:pPr>
            <w:r>
              <w:rPr>
                <w:i/>
                <w:sz w:val="20"/>
                <w:szCs w:val="20"/>
              </w:rPr>
              <w:t>CmUBI</w:t>
            </w:r>
            <w:r>
              <w:rPr>
                <w:sz w:val="20"/>
                <w:szCs w:val="20"/>
              </w:rPr>
              <w:t>-R</w:t>
            </w:r>
          </w:p>
        </w:tc>
        <w:tc>
          <w:tcPr>
            <w:tcW w:w="6816" w:type="dxa"/>
            <w:tcBorders>
              <w:top w:val="nil"/>
              <w:left w:val="nil"/>
              <w:bottom w:val="nil"/>
              <w:right w:val="nil"/>
            </w:tcBorders>
            <w:shd w:val="clear" w:color="auto" w:fill="auto"/>
            <w:vAlign w:val="center"/>
          </w:tcPr>
          <w:p>
            <w:pPr>
              <w:spacing w:line="360" w:lineRule="auto"/>
              <w:jc w:val="center"/>
              <w:rPr>
                <w:color w:val="000000"/>
                <w:sz w:val="20"/>
                <w:szCs w:val="20"/>
              </w:rPr>
            </w:pPr>
            <w:r>
              <w:rPr>
                <w:sz w:val="20"/>
                <w:szCs w:val="20"/>
              </w:rPr>
              <w:t>AGGCGAATCATCAGTACCAAGT</w:t>
            </w:r>
          </w:p>
        </w:tc>
        <w:tc>
          <w:tcPr>
            <w:tcW w:w="3123" w:type="dxa"/>
            <w:tcBorders>
              <w:top w:val="nil"/>
              <w:left w:val="nil"/>
              <w:bottom w:val="nil"/>
              <w:right w:val="nil"/>
            </w:tcBorders>
            <w:shd w:val="clear" w:color="auto" w:fill="auto"/>
            <w:vAlign w:val="center"/>
          </w:tcPr>
          <w:p>
            <w:pPr>
              <w:spacing w:line="360" w:lineRule="auto"/>
              <w:jc w:val="center"/>
              <w:rPr>
                <w:color w:val="000000"/>
                <w:sz w:val="20"/>
                <w:szCs w:val="20"/>
              </w:rPr>
            </w:pPr>
            <w:r>
              <w:rPr>
                <w:sz w:val="20"/>
                <w:szCs w:val="20"/>
              </w:rPr>
              <w:t>Real time PCR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3375" w:type="dxa"/>
            <w:tcBorders>
              <w:top w:val="nil"/>
              <w:left w:val="nil"/>
              <w:bottom w:val="nil"/>
              <w:right w:val="nil"/>
            </w:tcBorders>
            <w:shd w:val="clear" w:color="auto" w:fill="auto"/>
            <w:vAlign w:val="center"/>
          </w:tcPr>
          <w:p>
            <w:pPr>
              <w:spacing w:line="360" w:lineRule="auto"/>
              <w:jc w:val="center"/>
              <w:rPr>
                <w:color w:val="000000"/>
                <w:sz w:val="20"/>
                <w:szCs w:val="20"/>
              </w:rPr>
            </w:pPr>
            <w:r>
              <w:rPr>
                <w:i/>
                <w:sz w:val="20"/>
                <w:szCs w:val="20"/>
              </w:rPr>
              <w:t>EbFS</w:t>
            </w:r>
            <w:r>
              <w:rPr>
                <w:sz w:val="20"/>
                <w:szCs w:val="20"/>
              </w:rPr>
              <w:t xml:space="preserve"> -F</w:t>
            </w:r>
          </w:p>
        </w:tc>
        <w:tc>
          <w:tcPr>
            <w:tcW w:w="6816" w:type="dxa"/>
            <w:tcBorders>
              <w:top w:val="nil"/>
              <w:left w:val="nil"/>
              <w:bottom w:val="nil"/>
              <w:right w:val="nil"/>
            </w:tcBorders>
            <w:shd w:val="clear" w:color="auto" w:fill="auto"/>
            <w:vAlign w:val="center"/>
          </w:tcPr>
          <w:p>
            <w:pPr>
              <w:spacing w:line="360" w:lineRule="auto"/>
              <w:jc w:val="center"/>
              <w:rPr>
                <w:color w:val="000000"/>
                <w:sz w:val="20"/>
                <w:szCs w:val="20"/>
              </w:rPr>
            </w:pPr>
            <w:r>
              <w:rPr>
                <w:sz w:val="20"/>
                <w:szCs w:val="20"/>
              </w:rPr>
              <w:t>CTACAGCTGTCCCATTTCCACTCC</w:t>
            </w:r>
          </w:p>
        </w:tc>
        <w:tc>
          <w:tcPr>
            <w:tcW w:w="3123" w:type="dxa"/>
            <w:tcBorders>
              <w:top w:val="nil"/>
              <w:left w:val="nil"/>
              <w:bottom w:val="nil"/>
              <w:right w:val="nil"/>
            </w:tcBorders>
            <w:shd w:val="clear" w:color="auto" w:fill="auto"/>
            <w:vAlign w:val="center"/>
          </w:tcPr>
          <w:p>
            <w:pPr>
              <w:spacing w:line="360" w:lineRule="auto"/>
              <w:jc w:val="center"/>
              <w:rPr>
                <w:color w:val="000000"/>
                <w:sz w:val="20"/>
                <w:szCs w:val="20"/>
              </w:rPr>
            </w:pPr>
            <w:r>
              <w:rPr>
                <w:sz w:val="20"/>
                <w:szCs w:val="20"/>
              </w:rPr>
              <w:t>Real time PCR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3375" w:type="dxa"/>
            <w:tcBorders>
              <w:top w:val="nil"/>
              <w:left w:val="nil"/>
              <w:bottom w:val="single" w:color="auto" w:sz="12" w:space="0"/>
              <w:right w:val="nil"/>
            </w:tcBorders>
            <w:shd w:val="clear" w:color="auto" w:fill="auto"/>
            <w:vAlign w:val="center"/>
          </w:tcPr>
          <w:p>
            <w:pPr>
              <w:spacing w:line="360" w:lineRule="auto"/>
              <w:jc w:val="center"/>
              <w:rPr>
                <w:color w:val="000000"/>
                <w:sz w:val="20"/>
                <w:szCs w:val="20"/>
              </w:rPr>
            </w:pPr>
            <w:r>
              <w:rPr>
                <w:i/>
                <w:sz w:val="20"/>
                <w:szCs w:val="20"/>
              </w:rPr>
              <w:t>EbFS</w:t>
            </w:r>
            <w:r>
              <w:rPr>
                <w:sz w:val="20"/>
                <w:szCs w:val="20"/>
              </w:rPr>
              <w:t xml:space="preserve"> -R</w:t>
            </w:r>
          </w:p>
        </w:tc>
        <w:tc>
          <w:tcPr>
            <w:tcW w:w="6816" w:type="dxa"/>
            <w:tcBorders>
              <w:top w:val="nil"/>
              <w:left w:val="nil"/>
              <w:bottom w:val="single" w:color="auto" w:sz="12" w:space="0"/>
              <w:right w:val="nil"/>
            </w:tcBorders>
            <w:shd w:val="clear" w:color="auto" w:fill="auto"/>
            <w:vAlign w:val="center"/>
          </w:tcPr>
          <w:p>
            <w:pPr>
              <w:spacing w:line="360" w:lineRule="auto"/>
              <w:jc w:val="center"/>
              <w:rPr>
                <w:color w:val="000000"/>
                <w:sz w:val="20"/>
                <w:szCs w:val="20"/>
              </w:rPr>
            </w:pPr>
            <w:r>
              <w:rPr>
                <w:sz w:val="20"/>
                <w:szCs w:val="20"/>
              </w:rPr>
              <w:t>CATGTAACTTATCATTTCTTCTC</w:t>
            </w:r>
          </w:p>
        </w:tc>
        <w:tc>
          <w:tcPr>
            <w:tcW w:w="3123" w:type="dxa"/>
            <w:tcBorders>
              <w:top w:val="nil"/>
              <w:left w:val="nil"/>
              <w:bottom w:val="single" w:color="auto" w:sz="12" w:space="0"/>
              <w:right w:val="nil"/>
            </w:tcBorders>
            <w:shd w:val="clear" w:color="auto" w:fill="auto"/>
            <w:vAlign w:val="center"/>
          </w:tcPr>
          <w:p>
            <w:pPr>
              <w:spacing w:line="360" w:lineRule="auto"/>
              <w:jc w:val="center"/>
              <w:rPr>
                <w:color w:val="000000"/>
                <w:sz w:val="20"/>
                <w:szCs w:val="20"/>
              </w:rPr>
            </w:pPr>
            <w:r>
              <w:rPr>
                <w:sz w:val="20"/>
                <w:szCs w:val="20"/>
              </w:rPr>
              <w:t>Real time PCR</w:t>
            </w:r>
          </w:p>
        </w:tc>
      </w:tr>
    </w:tbl>
    <w:p>
      <w:pPr>
        <w:tabs>
          <w:tab w:val="left" w:pos="1118"/>
        </w:tabs>
      </w:pPr>
    </w:p>
    <w:p>
      <w:pPr>
        <w:widowControl/>
        <w:autoSpaceDE w:val="0"/>
        <w:autoSpaceDN w:val="0"/>
        <w:adjustRightInd w:val="0"/>
        <w:spacing w:line="480" w:lineRule="auto"/>
        <w:jc w:val="left"/>
        <w:rPr>
          <w:b/>
          <w:sz w:val="20"/>
          <w:szCs w:val="20"/>
        </w:rPr>
      </w:pPr>
    </w:p>
    <w:p>
      <w:pPr>
        <w:widowControl/>
        <w:autoSpaceDE w:val="0"/>
        <w:autoSpaceDN w:val="0"/>
        <w:adjustRightInd w:val="0"/>
        <w:spacing w:line="480" w:lineRule="auto"/>
        <w:jc w:val="left"/>
        <w:rPr>
          <w:b/>
          <w:sz w:val="20"/>
          <w:szCs w:val="20"/>
        </w:rPr>
      </w:pPr>
    </w:p>
    <w:p>
      <w:pPr>
        <w:widowControl/>
        <w:autoSpaceDE w:val="0"/>
        <w:autoSpaceDN w:val="0"/>
        <w:adjustRightInd w:val="0"/>
        <w:spacing w:line="480" w:lineRule="auto"/>
        <w:jc w:val="left"/>
        <w:rPr>
          <w:b/>
          <w:sz w:val="20"/>
          <w:szCs w:val="20"/>
        </w:rPr>
      </w:pPr>
    </w:p>
    <w:p>
      <w:pPr>
        <w:widowControl/>
        <w:autoSpaceDE w:val="0"/>
        <w:autoSpaceDN w:val="0"/>
        <w:adjustRightInd w:val="0"/>
        <w:spacing w:line="480" w:lineRule="auto"/>
        <w:jc w:val="left"/>
        <w:rPr>
          <w:b/>
          <w:sz w:val="20"/>
          <w:szCs w:val="20"/>
        </w:rPr>
      </w:pPr>
    </w:p>
    <w:p>
      <w:pPr>
        <w:tabs>
          <w:tab w:val="left" w:pos="1118"/>
        </w:tabs>
      </w:pPr>
    </w:p>
    <w:sectPr>
      <w:pgSz w:w="15840" w:h="12240" w:orient="landscape"/>
      <w:pgMar w:top="1800" w:right="1440" w:bottom="1800" w:left="1440" w:header="708" w:footer="708" w:gutter="0"/>
      <w:cols w:space="708"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Calibri Light">
    <w:panose1 w:val="020F0302020204030204"/>
    <w:charset w:val="00"/>
    <w:family w:val="swiss"/>
    <w:pitch w:val="default"/>
    <w:sig w:usb0="E4002EFF" w:usb1="C200247B" w:usb2="00000009" w:usb3="00000000" w:csb0="200001FF" w:csb1="00000000"/>
  </w:font>
  <w:font w:name="等线 Light">
    <w:panose1 w:val="02010600030101010101"/>
    <w:charset w:val="86"/>
    <w:family w:val="auto"/>
    <w:pitch w:val="default"/>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cwNjBiZGM2MzViNmI2MWY5NTg0ZDBkOWQ5NzQyY2MifQ=="/>
  </w:docVars>
  <w:rsids>
    <w:rsidRoot w:val="00CE4C8C"/>
    <w:rsid w:val="00060A4C"/>
    <w:rsid w:val="00071347"/>
    <w:rsid w:val="00081DCD"/>
    <w:rsid w:val="000C1F2A"/>
    <w:rsid w:val="001C0CAD"/>
    <w:rsid w:val="00200BA1"/>
    <w:rsid w:val="00294AB9"/>
    <w:rsid w:val="002A7961"/>
    <w:rsid w:val="003111D7"/>
    <w:rsid w:val="0046340A"/>
    <w:rsid w:val="004E60C4"/>
    <w:rsid w:val="004E7002"/>
    <w:rsid w:val="0057510D"/>
    <w:rsid w:val="00600CE4"/>
    <w:rsid w:val="0063663A"/>
    <w:rsid w:val="006B6E8B"/>
    <w:rsid w:val="006C5FEA"/>
    <w:rsid w:val="00756CAE"/>
    <w:rsid w:val="007B64ED"/>
    <w:rsid w:val="007D2856"/>
    <w:rsid w:val="00905A11"/>
    <w:rsid w:val="00A510FD"/>
    <w:rsid w:val="00A70378"/>
    <w:rsid w:val="00AB3A68"/>
    <w:rsid w:val="00C46F1F"/>
    <w:rsid w:val="00CB0853"/>
    <w:rsid w:val="00CE4C8C"/>
    <w:rsid w:val="00D04D0D"/>
    <w:rsid w:val="00DE00F8"/>
    <w:rsid w:val="00DF2F86"/>
    <w:rsid w:val="00FB76CD"/>
    <w:rsid w:val="0FB70870"/>
    <w:rsid w:val="1F552517"/>
    <w:rsid w:val="3CB948A1"/>
    <w:rsid w:val="6120482B"/>
    <w:rsid w:val="68E831D3"/>
    <w:rsid w:val="71BB6AEF"/>
    <w:rsid w:val="720F56B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qFormat="1"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6">
    <w:name w:val="Default Paragraph Font"/>
    <w:autoRedefine/>
    <w:semiHidden/>
    <w:unhideWhenUsed/>
    <w:qFormat/>
    <w:uiPriority w:val="1"/>
  </w:style>
  <w:style w:type="table" w:default="1" w:styleId="5">
    <w:name w:val="Normal Table"/>
    <w:semiHidden/>
    <w:unhideWhenUsed/>
    <w:uiPriority w:val="99"/>
    <w:tblPr>
      <w:tblCellMar>
        <w:top w:w="0" w:type="dxa"/>
        <w:left w:w="108" w:type="dxa"/>
        <w:bottom w:w="0" w:type="dxa"/>
        <w:right w:w="108" w:type="dxa"/>
      </w:tblCellMar>
    </w:tblPr>
  </w:style>
  <w:style w:type="paragraph" w:styleId="2">
    <w:name w:val="footer"/>
    <w:basedOn w:val="1"/>
    <w:link w:val="9"/>
    <w:unhideWhenUsed/>
    <w:uiPriority w:val="99"/>
    <w:pPr>
      <w:widowControl/>
      <w:tabs>
        <w:tab w:val="center" w:pos="4320"/>
        <w:tab w:val="right" w:pos="8640"/>
      </w:tabs>
      <w:jc w:val="left"/>
    </w:pPr>
    <w:rPr>
      <w:rFonts w:asciiTheme="minorHAnsi" w:hAnsiTheme="minorHAnsi" w:eastAsiaTheme="minorEastAsia" w:cstheme="minorBidi"/>
      <w:sz w:val="22"/>
      <w:szCs w:val="22"/>
      <w14:ligatures w14:val="standardContextual"/>
    </w:rPr>
  </w:style>
  <w:style w:type="paragraph" w:styleId="3">
    <w:name w:val="header"/>
    <w:basedOn w:val="1"/>
    <w:link w:val="8"/>
    <w:unhideWhenUsed/>
    <w:uiPriority w:val="99"/>
    <w:pPr>
      <w:widowControl/>
      <w:tabs>
        <w:tab w:val="center" w:pos="4320"/>
        <w:tab w:val="right" w:pos="8640"/>
      </w:tabs>
      <w:jc w:val="left"/>
    </w:pPr>
    <w:rPr>
      <w:rFonts w:asciiTheme="minorHAnsi" w:hAnsiTheme="minorHAnsi" w:eastAsiaTheme="minorEastAsia" w:cstheme="minorBidi"/>
      <w:sz w:val="22"/>
      <w:szCs w:val="22"/>
      <w14:ligatures w14:val="standardContextual"/>
    </w:rPr>
  </w:style>
  <w:style w:type="paragraph" w:styleId="4">
    <w:name w:val="Title"/>
    <w:basedOn w:val="1"/>
    <w:next w:val="1"/>
    <w:link w:val="12"/>
    <w:autoRedefine/>
    <w:qFormat/>
    <w:uiPriority w:val="10"/>
    <w:pPr>
      <w:contextualSpacing/>
    </w:pPr>
    <w:rPr>
      <w:rFonts w:asciiTheme="majorHAnsi" w:hAnsiTheme="majorHAnsi" w:eastAsiaTheme="majorEastAsia" w:cstheme="majorBidi"/>
      <w:spacing w:val="-10"/>
      <w:kern w:val="28"/>
      <w:sz w:val="56"/>
      <w:szCs w:val="56"/>
    </w:rPr>
  </w:style>
  <w:style w:type="character" w:styleId="7">
    <w:name w:val="line number"/>
    <w:basedOn w:val="6"/>
    <w:autoRedefine/>
    <w:semiHidden/>
    <w:unhideWhenUsed/>
    <w:qFormat/>
    <w:uiPriority w:val="99"/>
  </w:style>
  <w:style w:type="character" w:customStyle="1" w:styleId="8">
    <w:name w:val="页眉 字符"/>
    <w:basedOn w:val="6"/>
    <w:link w:val="3"/>
    <w:autoRedefine/>
    <w:qFormat/>
    <w:uiPriority w:val="99"/>
  </w:style>
  <w:style w:type="character" w:customStyle="1" w:styleId="9">
    <w:name w:val="页脚 字符"/>
    <w:basedOn w:val="6"/>
    <w:link w:val="2"/>
    <w:autoRedefine/>
    <w:qFormat/>
    <w:uiPriority w:val="99"/>
  </w:style>
  <w:style w:type="paragraph" w:customStyle="1" w:styleId="10">
    <w:name w:val="Char Char Char Char"/>
    <w:basedOn w:val="1"/>
    <w:autoRedefine/>
    <w:qFormat/>
    <w:uiPriority w:val="0"/>
    <w:pPr>
      <w:widowControl/>
      <w:spacing w:after="160" w:line="240" w:lineRule="exact"/>
      <w:jc w:val="left"/>
    </w:pPr>
    <w:rPr>
      <w:szCs w:val="20"/>
    </w:rPr>
  </w:style>
  <w:style w:type="paragraph" w:customStyle="1" w:styleId="11">
    <w:name w:val="Supplementary Material"/>
    <w:basedOn w:val="4"/>
    <w:next w:val="4"/>
    <w:autoRedefine/>
    <w:qFormat/>
    <w:uiPriority w:val="0"/>
    <w:pPr>
      <w:widowControl/>
      <w:suppressLineNumbers/>
      <w:spacing w:before="240" w:after="120"/>
      <w:contextualSpacing w:val="0"/>
      <w:jc w:val="center"/>
    </w:pPr>
    <w:rPr>
      <w:rFonts w:ascii="Times New Roman" w:hAnsi="Times New Roman" w:cs="Times New Roman" w:eastAsiaTheme="minorHAnsi"/>
      <w:b/>
      <w:i/>
      <w:spacing w:val="0"/>
      <w:kern w:val="0"/>
      <w:sz w:val="32"/>
      <w:szCs w:val="32"/>
      <w:lang w:eastAsia="en-US"/>
    </w:rPr>
  </w:style>
  <w:style w:type="character" w:customStyle="1" w:styleId="12">
    <w:name w:val="标题 字符"/>
    <w:basedOn w:val="6"/>
    <w:link w:val="4"/>
    <w:autoRedefine/>
    <w:qFormat/>
    <w:uiPriority w:val="10"/>
    <w:rPr>
      <w:rFonts w:asciiTheme="majorHAnsi" w:hAnsiTheme="majorHAnsi" w:eastAsiaTheme="majorEastAsia" w:cstheme="majorBidi"/>
      <w:spacing w:val="-10"/>
      <w:kern w:val="28"/>
      <w:sz w:val="56"/>
      <w:szCs w:val="56"/>
      <w14:ligatures w14:val="none"/>
    </w:rPr>
  </w:style>
  <w:style w:type="paragraph" w:customStyle="1" w:styleId="13">
    <w:name w:val="Char Char Char Char1"/>
    <w:basedOn w:val="1"/>
    <w:autoRedefine/>
    <w:qFormat/>
    <w:uiPriority w:val="0"/>
    <w:pPr>
      <w:widowControl/>
      <w:spacing w:after="160" w:line="240" w:lineRule="exact"/>
      <w:jc w:val="left"/>
    </w:pPr>
    <w:rPr>
      <w:szCs w:val="20"/>
    </w:rPr>
  </w:style>
  <w:style w:type="paragraph" w:customStyle="1" w:styleId="14">
    <w:name w:val="Char Char Char Char2"/>
    <w:basedOn w:val="1"/>
    <w:autoRedefine/>
    <w:qFormat/>
    <w:uiPriority w:val="0"/>
    <w:pPr>
      <w:widowControl/>
      <w:spacing w:after="160" w:line="240" w:lineRule="exact"/>
      <w:jc w:val="left"/>
    </w:pPr>
    <w:rPr>
      <w:szCs w:val="20"/>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image" Target="media/image3.emf"/><Relationship Id="rId5" Type="http://schemas.openxmlformats.org/officeDocument/2006/relationships/image" Target="media/image2.emf"/><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5</Pages>
  <Words>500</Words>
  <Characters>2856</Characters>
  <Lines>23</Lines>
  <Paragraphs>6</Paragraphs>
  <TotalTime>8</TotalTime>
  <ScaleCrop>false</ScaleCrop>
  <LinksUpToDate>false</LinksUpToDate>
  <CharactersWithSpaces>3350</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2023-07-21T18:05:00Z</dcterms:created>
  <dc:creator>Jinjin</dc:creator>
  <cp:lastModifiedBy>78686</cp:lastModifiedBy>
  <dcterms:modified xsi:type="dcterms:W3CDTF">2024-04-04T14:03:17Z</dcterms:modified>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288A206C80C1479B9534EE46EB50D707_12</vt:lpwstr>
  </property>
</Properties>
</file>