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>
        <w:t>Supplementary Material</w:t>
      </w:r>
    </w:p>
    <w:p w14:paraId="1DAA69F9" w14:textId="77777777" w:rsidR="00C505E7" w:rsidRDefault="00C505E7" w:rsidP="00C505E7">
      <w:pPr>
        <w:pStyle w:val="Title"/>
      </w:pPr>
      <w:r w:rsidRPr="0060454B">
        <w:t xml:space="preserve">Hindcasting estuary </w:t>
      </w:r>
      <w:r w:rsidRPr="00911773">
        <w:t>ecological states using sediment cores</w:t>
      </w:r>
      <w:r w:rsidRPr="0060454B">
        <w:t xml:space="preserve">, </w:t>
      </w:r>
      <w:r>
        <w:t xml:space="preserve">modelled </w:t>
      </w:r>
      <w:r w:rsidRPr="0060454B">
        <w:t xml:space="preserve">historic </w:t>
      </w:r>
      <w:r w:rsidRPr="00911773">
        <w:t xml:space="preserve">nutrient loads, and a Bayesian network. </w:t>
      </w:r>
    </w:p>
    <w:p w14:paraId="5F95A679" w14:textId="77777777" w:rsidR="00621A63" w:rsidRPr="00376CC5" w:rsidRDefault="00621A63" w:rsidP="00621A63">
      <w:pPr>
        <w:pStyle w:val="AuthorList"/>
        <w:spacing w:line="480" w:lineRule="auto"/>
      </w:pPr>
      <w:r>
        <w:t>Rachel Hale</w:t>
      </w:r>
      <w:r w:rsidRPr="00A545C6">
        <w:rPr>
          <w:vertAlign w:val="superscript"/>
        </w:rPr>
        <w:t>1</w:t>
      </w:r>
      <w:r>
        <w:rPr>
          <w:vertAlign w:val="superscript"/>
        </w:rPr>
        <w:t>*</w:t>
      </w:r>
      <w:r w:rsidRPr="00376CC5">
        <w:t xml:space="preserve">, </w:t>
      </w:r>
      <w:r>
        <w:t>John Zeldis</w:t>
      </w:r>
      <w:r w:rsidRPr="00E44A24">
        <w:rPr>
          <w:vertAlign w:val="superscript"/>
        </w:rPr>
        <w:t>2</w:t>
      </w:r>
      <w:r w:rsidRPr="00E44A24">
        <w:t>,</w:t>
      </w:r>
      <w:r w:rsidRPr="00E44A24">
        <w:rPr>
          <w:rFonts w:cstheme="minorBidi"/>
          <w:b w:val="0"/>
          <w:szCs w:val="22"/>
        </w:rPr>
        <w:t xml:space="preserve"> </w:t>
      </w:r>
      <w:r>
        <w:t>Bruce D. Dudley</w:t>
      </w:r>
      <w:r w:rsidRPr="00A545C6">
        <w:rPr>
          <w:vertAlign w:val="superscript"/>
        </w:rPr>
        <w:t>2</w:t>
      </w:r>
      <w:bookmarkStart w:id="0" w:name="_Hlk122159714"/>
      <w:r w:rsidRPr="00376CC5">
        <w:t>,</w:t>
      </w:r>
      <w:bookmarkEnd w:id="0"/>
      <w:r w:rsidRPr="00376CC5">
        <w:t xml:space="preserve"> </w:t>
      </w:r>
      <w:r>
        <w:t>Arman Haddadchi</w:t>
      </w:r>
      <w:r w:rsidRPr="00A545C6">
        <w:rPr>
          <w:vertAlign w:val="superscript"/>
        </w:rPr>
        <w:t>2</w:t>
      </w:r>
      <w:r w:rsidRPr="00376CC5">
        <w:t>,</w:t>
      </w:r>
      <w:r w:rsidRPr="00E44A24">
        <w:rPr>
          <w:rFonts w:cstheme="minorBidi"/>
          <w:b w:val="0"/>
          <w:szCs w:val="22"/>
        </w:rPr>
        <w:t xml:space="preserve"> </w:t>
      </w:r>
      <w:r w:rsidRPr="00E44A24">
        <w:rPr>
          <w:rFonts w:cstheme="minorBidi"/>
          <w:bCs/>
          <w:szCs w:val="22"/>
        </w:rPr>
        <w:t>David Plew</w:t>
      </w:r>
      <w:r w:rsidRPr="00E44A24">
        <w:rPr>
          <w:vertAlign w:val="superscript"/>
        </w:rPr>
        <w:t>2</w:t>
      </w:r>
      <w:r w:rsidRPr="00E44A24">
        <w:t>,</w:t>
      </w:r>
      <w:r w:rsidRPr="00E44A24">
        <w:rPr>
          <w:rFonts w:cstheme="minorBidi"/>
          <w:b w:val="0"/>
          <w:szCs w:val="22"/>
        </w:rPr>
        <w:t xml:space="preserve"> </w:t>
      </w:r>
      <w:r>
        <w:t>Ude Shankar</w:t>
      </w:r>
      <w:r w:rsidRPr="00E44A24">
        <w:rPr>
          <w:vertAlign w:val="superscript"/>
        </w:rPr>
        <w:t>2</w:t>
      </w:r>
      <w:r w:rsidRPr="00E44A24">
        <w:t>,</w:t>
      </w:r>
      <w:r>
        <w:t xml:space="preserve"> </w:t>
      </w:r>
      <w:r w:rsidRPr="00D91BAB">
        <w:rPr>
          <w:rFonts w:cstheme="minorBidi"/>
          <w:szCs w:val="22"/>
        </w:rPr>
        <w:t>Andrew</w:t>
      </w:r>
      <w:r w:rsidRPr="00E44A24">
        <w:rPr>
          <w:rFonts w:cstheme="minorBidi"/>
          <w:bCs/>
          <w:szCs w:val="22"/>
        </w:rPr>
        <w:t xml:space="preserve"> Swales</w:t>
      </w:r>
      <w:r>
        <w:rPr>
          <w:bCs/>
          <w:vertAlign w:val="superscript"/>
        </w:rPr>
        <w:t>3</w:t>
      </w:r>
      <w:r>
        <w:rPr>
          <w:bCs/>
        </w:rPr>
        <w:t xml:space="preserve">, </w:t>
      </w:r>
      <w:r w:rsidRPr="00E44A24">
        <w:rPr>
          <w:rFonts w:cstheme="minorBidi"/>
          <w:bCs/>
          <w:szCs w:val="22"/>
        </w:rPr>
        <w:t>Keryn Roberts</w:t>
      </w:r>
      <w:r>
        <w:rPr>
          <w:bCs/>
          <w:vertAlign w:val="superscript"/>
        </w:rPr>
        <w:t>4</w:t>
      </w:r>
      <w:r w:rsidRPr="00E44A24">
        <w:t>,</w:t>
      </w:r>
      <w:r w:rsidRPr="00E44A24">
        <w:rPr>
          <w:rFonts w:cstheme="minorBidi"/>
          <w:b w:val="0"/>
          <w:szCs w:val="22"/>
        </w:rPr>
        <w:t xml:space="preserve"> </w:t>
      </w:r>
      <w:r>
        <w:t>Sorrel O’Connell-</w:t>
      </w:r>
      <w:r w:rsidRPr="00D91BAB">
        <w:t>Milne</w:t>
      </w:r>
      <w:r w:rsidRPr="00D91BAB">
        <w:rPr>
          <w:vertAlign w:val="superscript"/>
        </w:rPr>
        <w:t>4</w:t>
      </w:r>
      <w:r>
        <w:t xml:space="preserve"> and </w:t>
      </w:r>
      <w:r w:rsidRPr="00D91BAB">
        <w:rPr>
          <w:rFonts w:cstheme="minorBidi"/>
          <w:szCs w:val="22"/>
        </w:rPr>
        <w:t>Piet Verburg</w:t>
      </w:r>
      <w:r>
        <w:rPr>
          <w:rFonts w:cstheme="minorBidi"/>
          <w:szCs w:val="22"/>
          <w:vertAlign w:val="superscript"/>
        </w:rPr>
        <w:t>5</w:t>
      </w:r>
      <w:r w:rsidRPr="00D91BAB">
        <w:rPr>
          <w:rFonts w:cstheme="minorBidi"/>
          <w:szCs w:val="22"/>
        </w:rPr>
        <w:t xml:space="preserve"> </w:t>
      </w:r>
    </w:p>
    <w:p w14:paraId="217F3AE0" w14:textId="11264291" w:rsidR="002868E2" w:rsidRPr="00994A3D" w:rsidRDefault="002868E2" w:rsidP="000E3E80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0E3E80" w:rsidRPr="000E3E80">
        <w:rPr>
          <w:rFonts w:cs="Times New Roman"/>
        </w:rPr>
        <w:t>Corresponding Author:</w:t>
      </w:r>
      <w:r w:rsidR="000E3E80">
        <w:rPr>
          <w:rFonts w:cs="Times New Roman"/>
        </w:rPr>
        <w:t xml:space="preserve"> </w:t>
      </w:r>
      <w:r w:rsidR="000E3E80" w:rsidRPr="000E3E80">
        <w:rPr>
          <w:rFonts w:cs="Times New Roman"/>
        </w:rPr>
        <w:t>rachel.hale@niwa.co.nz</w:t>
      </w:r>
    </w:p>
    <w:p w14:paraId="29026311" w14:textId="14CDA9F0" w:rsidR="00EA3D3C" w:rsidRDefault="00654E8F" w:rsidP="0001436A">
      <w:pPr>
        <w:pStyle w:val="Heading1"/>
      </w:pPr>
      <w:r w:rsidRPr="00994A3D">
        <w:t>Supplementar</w:t>
      </w:r>
      <w:r w:rsidR="000E2F5F">
        <w:t>y Material</w:t>
      </w:r>
      <w:r w:rsidR="0010154D">
        <w:t>: BBN Information</w:t>
      </w:r>
    </w:p>
    <w:p w14:paraId="1DED7112" w14:textId="120F74A9" w:rsidR="00A0780F" w:rsidRPr="00A0780F" w:rsidRDefault="00DC47B8" w:rsidP="00DC47B8">
      <w:pPr>
        <w:spacing w:line="480" w:lineRule="auto"/>
      </w:pPr>
      <w:r w:rsidRPr="00BE065C">
        <w:t>The</w:t>
      </w:r>
      <w:r>
        <w:t xml:space="preserve"> r</w:t>
      </w:r>
      <w:r w:rsidRPr="00BE065C">
        <w:t>elationships between nodes of the ETI Tool 3 BBN</w:t>
      </w:r>
      <w:r>
        <w:t xml:space="preserve"> </w:t>
      </w:r>
      <w:r w:rsidRPr="00BE065C">
        <w:t xml:space="preserve">detailed in </w:t>
      </w:r>
      <w:r w:rsidRPr="00BE065C">
        <w:rPr>
          <w:noProof/>
        </w:rPr>
        <w:t>Zeldis and Plew (2022)</w:t>
      </w:r>
      <w:r w:rsidRPr="00BE065C">
        <w:t xml:space="preserve"> </w:t>
      </w:r>
      <w:r>
        <w:t>modifications to the BBN since publication of</w:t>
      </w:r>
      <w:r w:rsidRPr="00BE065C">
        <w:t xml:space="preserve"> </w:t>
      </w:r>
      <w:r w:rsidRPr="00BE065C">
        <w:rPr>
          <w:noProof/>
        </w:rPr>
        <w:t>Zeldis and Plew (2022)</w:t>
      </w:r>
      <w:r w:rsidR="00FD32A2">
        <w:t>. M</w:t>
      </w:r>
      <w:r>
        <w:t xml:space="preserve">odifications </w:t>
      </w:r>
      <w:r w:rsidR="00FD32A2">
        <w:t xml:space="preserve">are </w:t>
      </w:r>
      <w:r>
        <w:t>also</w:t>
      </w:r>
      <w:r w:rsidR="00FD32A2">
        <w:t xml:space="preserve"> available </w:t>
      </w:r>
      <w:r>
        <w:t>in the ‘Change Log’ file available in the online ETI Tool 3.</w:t>
      </w:r>
    </w:p>
    <w:p w14:paraId="434C7EB1" w14:textId="3B9CEBD8" w:rsidR="00A0780F" w:rsidRDefault="00A0780F" w:rsidP="00A0780F">
      <w:pPr>
        <w:pStyle w:val="Heading2"/>
      </w:pPr>
      <w:r>
        <w:tab/>
        <w:t>Macroalgae Ecological Quality Rating (EQR)</w:t>
      </w:r>
    </w:p>
    <w:p w14:paraId="68A5301A" w14:textId="260E17A0" w:rsidR="00A0780F" w:rsidRPr="004563F3" w:rsidRDefault="00A0780F" w:rsidP="00A0780F">
      <w:pPr>
        <w:spacing w:line="480" w:lineRule="auto"/>
      </w:pPr>
      <w:r>
        <w:rPr>
          <w:noProof/>
        </w:rPr>
        <w:t>Abundant</w:t>
      </w:r>
      <w:r>
        <w:t xml:space="preserve"> nuisance </w:t>
      </w:r>
      <w:r w:rsidRPr="006351E4">
        <w:t xml:space="preserve">macroalgae </w:t>
      </w:r>
      <w:r>
        <w:t>are</w:t>
      </w:r>
      <w:r w:rsidRPr="006351E4">
        <w:t xml:space="preserve"> a primary symptom of estuary eutrophication</w:t>
      </w:r>
      <w:r>
        <w:t xml:space="preserve"> and increased macroalgal </w:t>
      </w:r>
      <w:r w:rsidRPr="006351E4">
        <w:t>biomass and spatial extent are key indicators of degraded ecological health in tidal lagoon</w:t>
      </w:r>
      <w:r>
        <w:t>s</w:t>
      </w:r>
      <w:r w:rsidRPr="006351E4">
        <w:t xml:space="preserve"> </w:t>
      </w:r>
      <w:r>
        <w:rPr>
          <w:noProof/>
        </w:rPr>
        <w:t>(Barr et al., 2013; Barr et al., 2020; Stevens et al., 2022)</w:t>
      </w:r>
      <w:r w:rsidRPr="006351E4">
        <w:t>.</w:t>
      </w:r>
      <w:r>
        <w:t xml:space="preserve"> They can </w:t>
      </w:r>
      <w:r w:rsidRPr="00847F51">
        <w:t>out-compete other seaweed species,</w:t>
      </w:r>
      <w:r>
        <w:t xml:space="preserve"> forming </w:t>
      </w:r>
      <w:r w:rsidRPr="006351E4">
        <w:t>mats on the estuary surface which adversely impact underlying sediments and other algae,</w:t>
      </w:r>
      <w:r>
        <w:t xml:space="preserve"> macrobenthos, </w:t>
      </w:r>
      <w:r w:rsidRPr="006351E4">
        <w:t xml:space="preserve">fish, birds, seagrass, and salt marsh </w:t>
      </w:r>
      <w:r>
        <w:rPr>
          <w:noProof/>
        </w:rPr>
        <w:t xml:space="preserve">(Valiela et al., 1997; National Research Council, 2000) and </w:t>
      </w:r>
      <w:r w:rsidRPr="006351E4">
        <w:t>caus</w:t>
      </w:r>
      <w:r>
        <w:t>e</w:t>
      </w:r>
      <w:r w:rsidRPr="006351E4">
        <w:t xml:space="preserve"> oxygen depletion and nuisance </w:t>
      </w:r>
      <w:proofErr w:type="spellStart"/>
      <w:r w:rsidRPr="006351E4">
        <w:t>odours</w:t>
      </w:r>
      <w:proofErr w:type="spellEnd"/>
      <w:r w:rsidRPr="006351E4">
        <w:t xml:space="preserve"> </w:t>
      </w:r>
      <w:r>
        <w:rPr>
          <w:noProof/>
        </w:rPr>
        <w:t>(Green et al., 2014; Sutula et al., 2014)</w:t>
      </w:r>
      <w:r w:rsidRPr="006351E4">
        <w:t>.</w:t>
      </w:r>
      <w:r w:rsidRPr="00A55AAA">
        <w:t xml:space="preserve"> </w:t>
      </w:r>
      <w:r>
        <w:t xml:space="preserve">In the BBN (Figure 4), macroalgae are indexed using macroalgal Ecological Quality Rating (EQR). This index </w:t>
      </w:r>
      <w:r w:rsidRPr="00CE43F9">
        <w:rPr>
          <w:lang w:val="en-NZ"/>
        </w:rPr>
        <w:t xml:space="preserve">combines </w:t>
      </w:r>
      <w:r>
        <w:rPr>
          <w:lang w:val="en-NZ"/>
        </w:rPr>
        <w:t xml:space="preserve">macroalgal </w:t>
      </w:r>
      <w:r w:rsidRPr="00CE43F9">
        <w:rPr>
          <w:lang w:val="en-NZ"/>
        </w:rPr>
        <w:t>biomass and spatial measures, derived using the</w:t>
      </w:r>
      <w:r>
        <w:rPr>
          <w:lang w:val="en-NZ"/>
        </w:rPr>
        <w:t xml:space="preserve"> </w:t>
      </w:r>
      <w:r w:rsidRPr="00CE43F9">
        <w:rPr>
          <w:lang w:val="en-NZ"/>
        </w:rPr>
        <w:t>Opportunistic Macroalgal Blooming Tool (WFD-UKTAG, 2014),</w:t>
      </w:r>
      <w:r>
        <w:rPr>
          <w:lang w:val="en-NZ"/>
        </w:rPr>
        <w:t xml:space="preserve"> m</w:t>
      </w:r>
      <w:r w:rsidRPr="00CE43F9">
        <w:rPr>
          <w:lang w:val="en-NZ"/>
        </w:rPr>
        <w:t>odified for NZ (Plew et al., 2020</w:t>
      </w:r>
      <w:r>
        <w:rPr>
          <w:lang w:val="en-NZ"/>
        </w:rPr>
        <w:t>; Stevens et al., 2022</w:t>
      </w:r>
      <w:r w:rsidRPr="00CE43F9">
        <w:rPr>
          <w:lang w:val="en-NZ"/>
        </w:rPr>
        <w:t>)</w:t>
      </w:r>
      <w:r>
        <w:rPr>
          <w:lang w:val="en-NZ"/>
        </w:rPr>
        <w:t xml:space="preserve">, and </w:t>
      </w:r>
      <w:r w:rsidRPr="00CE43F9">
        <w:rPr>
          <w:lang w:val="en-NZ"/>
        </w:rPr>
        <w:t>calculated for the whole</w:t>
      </w:r>
      <w:r>
        <w:rPr>
          <w:lang w:val="en-NZ"/>
        </w:rPr>
        <w:t xml:space="preserve"> </w:t>
      </w:r>
      <w:r w:rsidRPr="00CE43F9">
        <w:rPr>
          <w:lang w:val="en-NZ"/>
        </w:rPr>
        <w:t>estuary.</w:t>
      </w:r>
      <w:r>
        <w:rPr>
          <w:lang w:val="en-NZ"/>
        </w:rPr>
        <w:t xml:space="preserve"> In Zeldis and Plew (2022), EQR was predicted using a conditional probability table (CPT) based on a relationship between potential </w:t>
      </w:r>
      <w:r>
        <w:rPr>
          <w:lang w:val="en-NZ"/>
        </w:rPr>
        <w:lastRenderedPageBreak/>
        <w:t xml:space="preserve">TN and observations of EQR from 21 NZ estuary field surveys. </w:t>
      </w:r>
      <w:r w:rsidRPr="00BE065C">
        <w:t>In th</w:t>
      </w:r>
      <w:r>
        <w:t>e present study,</w:t>
      </w:r>
      <w:r w:rsidRPr="00BE065C">
        <w:t xml:space="preserve"> the EQR </w:t>
      </w:r>
      <w:r>
        <w:t xml:space="preserve">CPT </w:t>
      </w:r>
      <w:r w:rsidRPr="00BE065C">
        <w:t xml:space="preserve">was recalibrated using 47 observations of EQR with accompanying potential TN concentrations collated from 37 NZ estuaries </w:t>
      </w:r>
      <w:r>
        <w:rPr>
          <w:noProof/>
        </w:rPr>
        <w:t>(Roberts et al., 2022; Stevens et al., 2022)</w:t>
      </w:r>
      <w:r w:rsidRPr="00BE065C">
        <w:t>.</w:t>
      </w:r>
      <w:r>
        <w:t xml:space="preserve"> T</w:t>
      </w:r>
      <w:r w:rsidRPr="00EF1948">
        <w:t>he resulting relationship predicted</w:t>
      </w:r>
      <w:r>
        <w:t xml:space="preserve"> potential TN concentrations corresponding to </w:t>
      </w:r>
      <w:r w:rsidRPr="00EF1948">
        <w:t>EQR thresholds of</w:t>
      </w:r>
      <w:r>
        <w:t xml:space="preserve"> </w:t>
      </w:r>
      <w:r w:rsidRPr="00EF1948">
        <w:t>0.8, 0.6 and 0.4, which are the thresholds between A</w:t>
      </w:r>
      <w:r>
        <w:t>–</w:t>
      </w:r>
      <w:r w:rsidRPr="00EF1948">
        <w:t>B (minimal-moderate), B</w:t>
      </w:r>
      <w:r>
        <w:t>–</w:t>
      </w:r>
      <w:r w:rsidRPr="00EF1948">
        <w:t>C (moderate-high) and C</w:t>
      </w:r>
      <w:r>
        <w:t>–</w:t>
      </w:r>
      <w:r w:rsidRPr="00EF1948">
        <w:t>D (high</w:t>
      </w:r>
      <w:r>
        <w:t>–</w:t>
      </w:r>
      <w:r w:rsidRPr="00EF1948">
        <w:t>very high) bands of</w:t>
      </w:r>
      <w:r>
        <w:t xml:space="preserve"> </w:t>
      </w:r>
      <w:r w:rsidRPr="00EF1948">
        <w:t xml:space="preserve">macroalgal eutrophication, respectively </w:t>
      </w:r>
      <w:r>
        <w:rPr>
          <w:noProof/>
        </w:rPr>
        <w:t>(Robertson et al., 2016; Plew et al., 2020)</w:t>
      </w:r>
      <w:r w:rsidRPr="00EF1948">
        <w:t>.</w:t>
      </w:r>
      <w:r w:rsidRPr="004563F3">
        <w:t xml:space="preserve"> The modified CPT for </w:t>
      </w:r>
      <w:r>
        <w:t xml:space="preserve">EQR </w:t>
      </w:r>
      <w:r w:rsidRPr="004563F3">
        <w:t>is provided in Supplementary Material</w:t>
      </w:r>
      <w:r>
        <w:t xml:space="preserve"> Table S1</w:t>
      </w:r>
      <w:r w:rsidRPr="004563F3">
        <w:t>.</w:t>
      </w:r>
    </w:p>
    <w:p w14:paraId="2433538D" w14:textId="071E4E55" w:rsidR="00A0780F" w:rsidRDefault="00A0780F" w:rsidP="00810A0B">
      <w:pPr>
        <w:pStyle w:val="Heading2"/>
      </w:pPr>
      <w:r>
        <w:t>Apparent Redox Potential Discontinuity (aRPD) depth</w:t>
      </w:r>
    </w:p>
    <w:p w14:paraId="60191699" w14:textId="3B35C896" w:rsidR="00A0780F" w:rsidRDefault="00A0780F" w:rsidP="00A0780F">
      <w:pPr>
        <w:spacing w:line="480" w:lineRule="auto"/>
      </w:pPr>
      <w:r w:rsidRPr="00001C3C">
        <w:t xml:space="preserve">The apparent Redox Potential Discontinuity (aRPD) </w:t>
      </w:r>
      <w:r>
        <w:t>D</w:t>
      </w:r>
      <w:r w:rsidRPr="00001C3C">
        <w:t>epth marks the depth of</w:t>
      </w:r>
      <w:r>
        <w:t xml:space="preserve"> </w:t>
      </w:r>
      <w:r w:rsidRPr="00001C3C">
        <w:t>the boundary between oxic near-surface sediment and the underlying suboxic or anoxic sediment. Shallowing of</w:t>
      </w:r>
      <w:r>
        <w:t xml:space="preserve"> </w:t>
      </w:r>
      <w:r w:rsidRPr="00001C3C">
        <w:t xml:space="preserve">aRPD is related to reduced benthic habitat quality and volume, deleterious alterations in macrobenthic community structure </w:t>
      </w:r>
      <w:r>
        <w:rPr>
          <w:noProof/>
        </w:rPr>
        <w:t>(Green et al., 2014)</w:t>
      </w:r>
      <w:r w:rsidRPr="00001C3C">
        <w:t xml:space="preserve"> and undesirable changes in sedimentary biogeochemical cycling </w:t>
      </w:r>
      <w:r>
        <w:rPr>
          <w:noProof/>
        </w:rPr>
        <w:t>(Eyre and Ferguson, 2009; Sutula, 2011)</w:t>
      </w:r>
      <w:r w:rsidRPr="00001C3C">
        <w:t xml:space="preserve">. Shallow aRPD is often associated with excessive organic matter additions from macroalgae </w:t>
      </w:r>
      <w:r>
        <w:rPr>
          <w:noProof/>
        </w:rPr>
        <w:t>(Sutula et al., 2014)</w:t>
      </w:r>
      <w:r w:rsidRPr="00001C3C">
        <w:t xml:space="preserve">, in estuary types that support appropriate conditions for macroalgal blooms. </w:t>
      </w:r>
      <w:r>
        <w:t>E</w:t>
      </w:r>
      <w:r w:rsidRPr="00001C3C">
        <w:t>xcessive</w:t>
      </w:r>
      <w:r>
        <w:t xml:space="preserve"> sediment </w:t>
      </w:r>
      <w:r w:rsidRPr="00001C3C">
        <w:t>TOC</w:t>
      </w:r>
      <w:r>
        <w:t xml:space="preserve"> </w:t>
      </w:r>
      <w:r w:rsidRPr="00001C3C">
        <w:t>associated</w:t>
      </w:r>
      <w:r>
        <w:t xml:space="preserve"> </w:t>
      </w:r>
      <w:r w:rsidRPr="00001C3C">
        <w:t>with</w:t>
      </w:r>
      <w:r>
        <w:t xml:space="preserve"> </w:t>
      </w:r>
      <w:r w:rsidRPr="00001C3C">
        <w:t>mud</w:t>
      </w:r>
      <w:r>
        <w:t xml:space="preserve"> inputs </w:t>
      </w:r>
      <w:r w:rsidRPr="00001C3C">
        <w:t xml:space="preserve">can </w:t>
      </w:r>
      <w:r>
        <w:t xml:space="preserve">also </w:t>
      </w:r>
      <w:r w:rsidRPr="00001C3C">
        <w:t xml:space="preserve">lead to </w:t>
      </w:r>
      <w:r>
        <w:t xml:space="preserve">shallowing of aRPD, accompanied by </w:t>
      </w:r>
      <w:r w:rsidRPr="00001C3C">
        <w:t>depleted oxygen, and excessive ammonium and hydrogen sulphide concentrations in sediments</w:t>
      </w:r>
      <w:r>
        <w:t xml:space="preserve"> </w:t>
      </w:r>
      <w:r>
        <w:rPr>
          <w:noProof/>
        </w:rPr>
        <w:t>(Eyre and Ferguson, 2009)</w:t>
      </w:r>
      <w:r>
        <w:t xml:space="preserve">. The BBN </w:t>
      </w:r>
      <w:r w:rsidRPr="7A1C70E2">
        <w:rPr>
          <w:lang w:val="en-NZ"/>
        </w:rPr>
        <w:t>t</w:t>
      </w:r>
      <w:r w:rsidRPr="002B53FD">
        <w:rPr>
          <w:lang w:val="en-NZ"/>
        </w:rPr>
        <w:t>herefore consider</w:t>
      </w:r>
      <w:r>
        <w:rPr>
          <w:lang w:val="en-NZ"/>
        </w:rPr>
        <w:t>s</w:t>
      </w:r>
      <w:r w:rsidRPr="002B53FD">
        <w:rPr>
          <w:lang w:val="en-NZ"/>
        </w:rPr>
        <w:t xml:space="preserve"> the interacting effects of</w:t>
      </w:r>
      <w:r>
        <w:rPr>
          <w:lang w:val="en-NZ"/>
        </w:rPr>
        <w:t xml:space="preserve"> </w:t>
      </w:r>
      <w:r w:rsidRPr="002B53FD">
        <w:rPr>
          <w:lang w:val="en-NZ"/>
        </w:rPr>
        <w:t xml:space="preserve">macroalgal </w:t>
      </w:r>
      <w:r>
        <w:rPr>
          <w:lang w:val="en-NZ"/>
        </w:rPr>
        <w:t xml:space="preserve">EQR and </w:t>
      </w:r>
      <w:r w:rsidRPr="002B53FD">
        <w:rPr>
          <w:lang w:val="en-NZ"/>
        </w:rPr>
        <w:t>%TOC</w:t>
      </w:r>
      <w:r>
        <w:rPr>
          <w:lang w:val="en-NZ"/>
        </w:rPr>
        <w:t xml:space="preserve"> on aRPD</w:t>
      </w:r>
      <w:r w:rsidRPr="002B53FD">
        <w:rPr>
          <w:lang w:val="en-NZ"/>
        </w:rPr>
        <w:t xml:space="preserve"> (Figure </w:t>
      </w:r>
      <w:r>
        <w:rPr>
          <w:lang w:val="en-NZ"/>
        </w:rPr>
        <w:t xml:space="preserve">4), </w:t>
      </w:r>
      <w:r w:rsidRPr="00095F50">
        <w:t>in bands ranging from</w:t>
      </w:r>
      <w:r>
        <w:t xml:space="preserve"> </w:t>
      </w:r>
      <w:r w:rsidRPr="00095F50">
        <w:t>a low impact ‘reference threshold’ of</w:t>
      </w:r>
      <w:r>
        <w:t xml:space="preserve"> </w:t>
      </w:r>
      <w:r w:rsidRPr="00095F50">
        <w:t xml:space="preserve">&gt; 4 cm </w:t>
      </w:r>
      <w:r>
        <w:t xml:space="preserve">depth </w:t>
      </w:r>
      <w:r w:rsidRPr="00095F50">
        <w:t>to an ‘exhaustion threshold’ of</w:t>
      </w:r>
      <w:r>
        <w:t xml:space="preserve"> </w:t>
      </w:r>
      <w:r w:rsidRPr="00095F50">
        <w:t>&lt; 1 cm</w:t>
      </w:r>
      <w:r>
        <w:t xml:space="preserve"> depth</w:t>
      </w:r>
      <w:r w:rsidRPr="00095F50">
        <w:t>, with intermediate thresholds at 2.5 to</w:t>
      </w:r>
      <w:r>
        <w:t xml:space="preserve"> </w:t>
      </w:r>
      <w:r w:rsidRPr="00095F50">
        <w:t>4</w:t>
      </w:r>
      <w:r>
        <w:t xml:space="preserve"> </w:t>
      </w:r>
      <w:r w:rsidRPr="00095F50">
        <w:t>cm</w:t>
      </w:r>
      <w:r>
        <w:t xml:space="preserve"> </w:t>
      </w:r>
      <w:r w:rsidRPr="00095F50">
        <w:t>and</w:t>
      </w:r>
      <w:r>
        <w:t xml:space="preserve"> </w:t>
      </w:r>
      <w:r w:rsidRPr="00095F50">
        <w:t>1 to 2.5 cm</w:t>
      </w:r>
      <w:r>
        <w:t xml:space="preserve"> (Zeldis and Plew 2022). </w:t>
      </w:r>
    </w:p>
    <w:p w14:paraId="3D84C546" w14:textId="4D460785" w:rsidR="00A0780F" w:rsidRPr="007A700E" w:rsidRDefault="00A0780F" w:rsidP="00810A0B">
      <w:pPr>
        <w:pStyle w:val="Heading2"/>
      </w:pPr>
      <w:r w:rsidRPr="007A700E">
        <w:t>Seagrass</w:t>
      </w:r>
      <w:r>
        <w:t xml:space="preserve"> </w:t>
      </w:r>
    </w:p>
    <w:p w14:paraId="2990D22B" w14:textId="14B1DCD1" w:rsidR="00A0780F" w:rsidRPr="00B75EBF" w:rsidRDefault="00A0780F" w:rsidP="00A0780F">
      <w:pPr>
        <w:spacing w:line="480" w:lineRule="auto"/>
      </w:pPr>
      <w:r>
        <w:t>Seagrasses (</w:t>
      </w:r>
      <w:r w:rsidRPr="49DDF260">
        <w:rPr>
          <w:i/>
          <w:iCs/>
        </w:rPr>
        <w:t>Zostera muelleri</w:t>
      </w:r>
      <w:r>
        <w:t xml:space="preserve">) are vascular, rooted estuarine macrophytes that are keystone ecological components of many NZ estuaries </w:t>
      </w:r>
      <w:r w:rsidRPr="49DDF260">
        <w:rPr>
          <w:noProof/>
        </w:rPr>
        <w:t>(Tan et al., 2020)</w:t>
      </w:r>
      <w:r>
        <w:t xml:space="preserve">. In the original ETI BBN, seagrass decline was </w:t>
      </w:r>
      <w:r>
        <w:lastRenderedPageBreak/>
        <w:t xml:space="preserve">predicted from potential TN concentration and sediment mud content (% mud) </w:t>
      </w:r>
      <w:r w:rsidRPr="49DDF260">
        <w:rPr>
          <w:noProof/>
          <w:lang w:val="en-NZ"/>
        </w:rPr>
        <w:t>(Zeldis and Plew, 2022)</w:t>
      </w:r>
      <w:r>
        <w:t xml:space="preserve">. </w:t>
      </w:r>
      <w:r w:rsidR="75C93C7C">
        <w:t>This is updated here</w:t>
      </w:r>
      <w:r>
        <w:t xml:space="preserve"> </w:t>
      </w:r>
      <w:r w:rsidR="6EADA3C4">
        <w:t xml:space="preserve">with </w:t>
      </w:r>
      <w:r>
        <w:t xml:space="preserve">seagrass decline predicted from SAR and macroalgal EQR. </w:t>
      </w:r>
      <w:r w:rsidRPr="49DDF260">
        <w:rPr>
          <w:noProof/>
        </w:rPr>
        <w:t>Zabarte-Maeztu et al. (2021)</w:t>
      </w:r>
      <w:r>
        <w:t xml:space="preserve"> showed that </w:t>
      </w:r>
      <w:r w:rsidRPr="49DDF260">
        <w:rPr>
          <w:i/>
          <w:iCs/>
        </w:rPr>
        <w:t>Z. muelleri</w:t>
      </w:r>
      <w:r>
        <w:t xml:space="preserve"> shoot growth was impeded by reduced light levels associated with increased SAR and that it was likely to decline at SAR exceeding ~5 mm y</w:t>
      </w:r>
      <w:r w:rsidRPr="49DDF260">
        <w:rPr>
          <w:vertAlign w:val="superscript"/>
        </w:rPr>
        <w:t>-1</w:t>
      </w:r>
      <w:r>
        <w:t xml:space="preserve">. </w:t>
      </w:r>
      <w:r w:rsidRPr="49DDF260">
        <w:rPr>
          <w:lang w:val="en-NZ"/>
        </w:rPr>
        <w:t xml:space="preserve">For healthy </w:t>
      </w:r>
      <w:r w:rsidRPr="49DDF260">
        <w:rPr>
          <w:i/>
          <w:iCs/>
          <w:lang w:val="en-NZ"/>
        </w:rPr>
        <w:t xml:space="preserve">Z. </w:t>
      </w:r>
      <w:proofErr w:type="spellStart"/>
      <w:r w:rsidRPr="49DDF260">
        <w:rPr>
          <w:i/>
          <w:iCs/>
          <w:lang w:val="en-NZ"/>
        </w:rPr>
        <w:t>muelleri</w:t>
      </w:r>
      <w:proofErr w:type="spellEnd"/>
      <w:r w:rsidRPr="49DDF260">
        <w:rPr>
          <w:lang w:val="en-NZ"/>
        </w:rPr>
        <w:t xml:space="preserve"> beds, a natural sediment accumulation rate of 3-5 mm year</w:t>
      </w:r>
      <w:r w:rsidRPr="49DDF260">
        <w:rPr>
          <w:vertAlign w:val="superscript"/>
          <w:lang w:val="en-NZ"/>
        </w:rPr>
        <w:t>-1</w:t>
      </w:r>
      <w:r w:rsidRPr="49DDF260">
        <w:rPr>
          <w:lang w:val="en-NZ"/>
        </w:rPr>
        <w:t xml:space="preserve"> has been documented (</w:t>
      </w:r>
      <w:proofErr w:type="spellStart"/>
      <w:r w:rsidRPr="49DDF260">
        <w:rPr>
          <w:lang w:val="en-NZ"/>
        </w:rPr>
        <w:t>Chenhall</w:t>
      </w:r>
      <w:proofErr w:type="spellEnd"/>
      <w:r w:rsidRPr="49DDF260">
        <w:rPr>
          <w:lang w:val="en-NZ"/>
        </w:rPr>
        <w:t xml:space="preserve"> et al., 1995; </w:t>
      </w:r>
      <w:proofErr w:type="spellStart"/>
      <w:r w:rsidRPr="49DDF260">
        <w:rPr>
          <w:lang w:val="en-NZ"/>
        </w:rPr>
        <w:t>Zabarte-Maeztu</w:t>
      </w:r>
      <w:proofErr w:type="spellEnd"/>
      <w:r w:rsidRPr="49DDF260">
        <w:rPr>
          <w:lang w:val="en-NZ"/>
        </w:rPr>
        <w:t xml:space="preserve"> et al., 2021). </w:t>
      </w:r>
      <w:r>
        <w:t xml:space="preserve">Direct burial, in as little as 7.5 mm, was sufficient to cause sublethal decline in shoot density in Australian </w:t>
      </w:r>
      <w:r w:rsidRPr="49DDF260">
        <w:rPr>
          <w:i/>
          <w:iCs/>
        </w:rPr>
        <w:t>Z. muelleri</w:t>
      </w:r>
      <w:r>
        <w:t xml:space="preserve"> in mesocosms, with very low growth at burial &gt; 10 mm depth (Benham et al., 2019). </w:t>
      </w:r>
      <w:proofErr w:type="spellStart"/>
      <w:r>
        <w:t>Zabarte-Maestu</w:t>
      </w:r>
      <w:proofErr w:type="spellEnd"/>
      <w:r>
        <w:t xml:space="preserve"> et al. (2021) and </w:t>
      </w:r>
      <w:proofErr w:type="spellStart"/>
      <w:r>
        <w:t>Cabaço</w:t>
      </w:r>
      <w:proofErr w:type="spellEnd"/>
      <w:r>
        <w:t xml:space="preserve"> and Santos (2007) noted that smaller seagrass species like </w:t>
      </w:r>
      <w:r w:rsidRPr="49DDF260">
        <w:rPr>
          <w:i/>
          <w:iCs/>
        </w:rPr>
        <w:t>Z. muelleri</w:t>
      </w:r>
      <w:r>
        <w:t xml:space="preserve"> were sensitive to lesser burial depths than other larger seagrass species. </w:t>
      </w:r>
    </w:p>
    <w:p w14:paraId="33DB76E4" w14:textId="6902D63B" w:rsidR="00A0780F" w:rsidRPr="00B75EBF" w:rsidRDefault="00A0780F" w:rsidP="00A0780F">
      <w:pPr>
        <w:spacing w:line="480" w:lineRule="auto"/>
      </w:pPr>
      <w:r w:rsidRPr="00B75EBF">
        <w:t xml:space="preserve">Macroalgal overgrowth is also a factor driving seagrass decline. Transplant experiments by </w:t>
      </w:r>
      <w:r w:rsidRPr="00B75EBF">
        <w:rPr>
          <w:noProof/>
        </w:rPr>
        <w:t>Cummins et al. (2004)</w:t>
      </w:r>
      <w:r w:rsidRPr="00B75EBF">
        <w:t xml:space="preserve"> showed that high biomasses of </w:t>
      </w:r>
      <w:r w:rsidRPr="00B75EBF">
        <w:rPr>
          <w:i/>
          <w:iCs/>
        </w:rPr>
        <w:t>Ulva</w:t>
      </w:r>
      <w:r w:rsidRPr="00B75EBF">
        <w:t xml:space="preserve"> (equivalent to the D band of EQR) caused nearly complete losses of a mixed assemblage of seagrasses in Australia, </w:t>
      </w:r>
      <w:proofErr w:type="gramStart"/>
      <w:r w:rsidRPr="00B75EBF">
        <w:t>similar to</w:t>
      </w:r>
      <w:proofErr w:type="gramEnd"/>
      <w:r w:rsidRPr="00B75EBF">
        <w:t xml:space="preserve"> Holmquist (1997) in manipulation experiments in Florida seagrasses subjected to cover by dense macroalgae (40 cm canopy height). </w:t>
      </w:r>
      <w:r>
        <w:rPr>
          <w:noProof/>
        </w:rPr>
        <w:t>Siciliano et al. (2019)</w:t>
      </w:r>
      <w:r w:rsidRPr="00B75EBF">
        <w:t xml:space="preserve"> conducted paired sediment burial/macroalgal (</w:t>
      </w:r>
      <w:r w:rsidRPr="00B75EBF">
        <w:rPr>
          <w:i/>
          <w:iCs/>
        </w:rPr>
        <w:t>Ulva</w:t>
      </w:r>
      <w:r w:rsidRPr="00B75EBF">
        <w:t xml:space="preserve">) impact experiments on </w:t>
      </w:r>
      <w:r w:rsidRPr="00B75EBF">
        <w:rPr>
          <w:i/>
          <w:iCs/>
        </w:rPr>
        <w:t>Z. muelleri</w:t>
      </w:r>
      <w:r w:rsidRPr="00B75EBF">
        <w:t xml:space="preserve"> in Avon-Heathcote Estuary (Christchurch, New Zealand). They showed that sediment additions (10 mm depth) had strong effects on leaf and root biomass and shoot density, while additions of </w:t>
      </w:r>
      <w:r w:rsidRPr="00B75EBF">
        <w:rPr>
          <w:i/>
          <w:iCs/>
        </w:rPr>
        <w:t>Ulva</w:t>
      </w:r>
      <w:r w:rsidRPr="00B75EBF">
        <w:t xml:space="preserve"> had lesser, but significant, depressing effects on leaf biomass and shoot density, probably by reducing light levels. The sensitivity to macroalgal additions was consistent with findings in Avon-Heathcote Estuary showing 40% </w:t>
      </w:r>
      <w:r w:rsidRPr="00B75EBF">
        <w:rPr>
          <w:i/>
          <w:iCs/>
        </w:rPr>
        <w:t>Z. muelleri</w:t>
      </w:r>
      <w:r w:rsidRPr="00B75EBF">
        <w:t xml:space="preserve"> range expansion </w:t>
      </w:r>
      <w:r w:rsidRPr="00B75EBF">
        <w:rPr>
          <w:noProof/>
        </w:rPr>
        <w:t>(Gibson and Marsden, 2016)</w:t>
      </w:r>
      <w:r w:rsidRPr="00B75EBF">
        <w:t xml:space="preserve"> following diversion of the city wastewater to an ocean outfall and subsequent large decreases in macroalgal cover </w:t>
      </w:r>
      <w:r w:rsidRPr="00B75EBF">
        <w:rPr>
          <w:noProof/>
        </w:rPr>
        <w:t>(Barr et al., 2020; Zeldis et al., 2020)</w:t>
      </w:r>
      <w:r w:rsidRPr="00B75EBF">
        <w:t xml:space="preserve">.  </w:t>
      </w:r>
    </w:p>
    <w:p w14:paraId="056CD64F" w14:textId="77777777" w:rsidR="00A0780F" w:rsidRDefault="00A0780F" w:rsidP="00A0780F">
      <w:pPr>
        <w:spacing w:line="480" w:lineRule="auto"/>
      </w:pPr>
      <w:r w:rsidRPr="00B75EBF">
        <w:lastRenderedPageBreak/>
        <w:t xml:space="preserve">Considering these findings, the </w:t>
      </w:r>
      <w:r w:rsidRPr="00B75EBF">
        <w:rPr>
          <w:i/>
          <w:iCs/>
        </w:rPr>
        <w:t>Z. muelleri</w:t>
      </w:r>
      <w:r w:rsidRPr="00B75EBF">
        <w:t xml:space="preserve"> seagrass response CPT used in the BBN was configured to respond to both SAR and macroalgae EQR (Figure </w:t>
      </w:r>
      <w:r>
        <w:t>4</w:t>
      </w:r>
      <w:r w:rsidRPr="00B75EBF">
        <w:t xml:space="preserve">; Supplementary material Table S2). For EQR values &gt; 0.6 (minimal to moderate macroalgal eutrophication), macroalgae was assumed to have no effect on seagrass, and the seagrass CPT was driven only by SAR. </w:t>
      </w:r>
      <w:r>
        <w:t>SAR w</w:t>
      </w:r>
      <w:r w:rsidRPr="00B75EBF">
        <w:t xml:space="preserve">as considered to have </w:t>
      </w:r>
      <w:r>
        <w:t xml:space="preserve">negligible effects at </w:t>
      </w:r>
      <w:r w:rsidRPr="00B75EBF">
        <w:t>SAR &lt; 5 mm y</w:t>
      </w:r>
      <w:r w:rsidRPr="00B75EBF">
        <w:rPr>
          <w:vertAlign w:val="superscript"/>
        </w:rPr>
        <w:t>-1</w:t>
      </w:r>
      <w:r w:rsidRPr="00B75EBF">
        <w:t xml:space="preserve">, but </w:t>
      </w:r>
      <w:r>
        <w:t xml:space="preserve">moderate to </w:t>
      </w:r>
      <w:r w:rsidRPr="00B75EBF">
        <w:t xml:space="preserve">severe decline at SAR &gt; 5 </w:t>
      </w:r>
      <w:r>
        <w:t>–</w:t>
      </w:r>
      <w:r w:rsidRPr="00B75EBF">
        <w:t xml:space="preserve"> </w:t>
      </w:r>
      <w:r w:rsidRPr="00B75EBF">
        <w:softHyphen/>
        <w:t>10 mm y</w:t>
      </w:r>
      <w:r w:rsidRPr="00B75EBF">
        <w:rPr>
          <w:vertAlign w:val="superscript"/>
        </w:rPr>
        <w:t>-1</w:t>
      </w:r>
      <w:r w:rsidRPr="00B75EBF">
        <w:t>, and extreme declines at SAR &gt; 10 mm y</w:t>
      </w:r>
      <w:r w:rsidRPr="00B75EBF">
        <w:rPr>
          <w:vertAlign w:val="superscript"/>
        </w:rPr>
        <w:t>-1</w:t>
      </w:r>
      <w:r w:rsidRPr="00B75EBF">
        <w:t xml:space="preserve">, independent of macroalgal effects. For macroalgae EQR &lt; 0.6 (its B-C threshold), SAR and macroalgae interact, with decreasing EQR and increasing SAR causing increasing declines of seagrass. </w:t>
      </w:r>
    </w:p>
    <w:p w14:paraId="3B664122" w14:textId="3BA33F07" w:rsidR="00A0780F" w:rsidRDefault="00A0780F" w:rsidP="00810A0B">
      <w:pPr>
        <w:pStyle w:val="Heading2"/>
      </w:pPr>
      <w:r w:rsidRPr="00860771">
        <w:t>Macrobenthos</w:t>
      </w:r>
    </w:p>
    <w:p w14:paraId="5CDD842D" w14:textId="41C40ED6" w:rsidR="00A0780F" w:rsidRDefault="00A0780F" w:rsidP="00A0780F">
      <w:pPr>
        <w:spacing w:before="0" w:after="120" w:line="480" w:lineRule="auto"/>
        <w:rPr>
          <w:lang w:val="en-NZ"/>
        </w:rPr>
      </w:pPr>
      <w:r w:rsidRPr="00860771">
        <w:t xml:space="preserve">Excessive macroalgal biomass, high % TOC in sediments and excessive muddiness can act synergistically to affect the health of macrobenthos by smothering their habitats and by creating anoxic and </w:t>
      </w:r>
      <w:proofErr w:type="spellStart"/>
      <w:r w:rsidRPr="00860771">
        <w:t>sulphidic</w:t>
      </w:r>
      <w:proofErr w:type="spellEnd"/>
      <w:r w:rsidRPr="00860771">
        <w:t xml:space="preserve"> conditions in their sedimentary environments </w:t>
      </w:r>
      <w:r w:rsidRPr="00860771">
        <w:rPr>
          <w:noProof/>
        </w:rPr>
        <w:t>(Green et al., 2014; Pratt et al., 2014; Robertson et al., 2015; Robertson et al., 2016)</w:t>
      </w:r>
      <w:r w:rsidRPr="00860771">
        <w:t xml:space="preserve">. The BBN incorporates these interacting effects </w:t>
      </w:r>
      <w:r>
        <w:t>(Figure 4)</w:t>
      </w:r>
      <w:r w:rsidRPr="00860771">
        <w:t xml:space="preserve"> using regression trees developed by </w:t>
      </w:r>
      <w:r w:rsidRPr="00860771">
        <w:rPr>
          <w:noProof/>
        </w:rPr>
        <w:t>Robertson et al. (2016)</w:t>
      </w:r>
      <w:r w:rsidRPr="00860771">
        <w:t xml:space="preserve"> that identified threshold values of % mud and % TOC delimiting macrobenthic taxon abundance and richness, expressed in terms of </w:t>
      </w:r>
      <w:proofErr w:type="gramStart"/>
      <w:r w:rsidRPr="00860771">
        <w:t>locally-calibrated</w:t>
      </w:r>
      <w:proofErr w:type="gramEnd"/>
      <w:r w:rsidRPr="00860771">
        <w:t xml:space="preserve"> AMBI (AZTI Marine Benthic Index: </w:t>
      </w:r>
      <w:r>
        <w:t>Borja et al., 2000</w:t>
      </w:r>
      <w:r w:rsidRPr="00860771">
        <w:t>) Biotic Coefficients (NZ AMBI). These ranged from ‘Normal’ (</w:t>
      </w:r>
      <w:r>
        <w:t xml:space="preserve">band B: </w:t>
      </w:r>
      <w:r w:rsidRPr="00860771">
        <w:t>1.2 – 3.3) to ‘Transitional to pollution’ (</w:t>
      </w:r>
      <w:r>
        <w:t xml:space="preserve">band C: </w:t>
      </w:r>
      <w:r w:rsidRPr="00860771">
        <w:t>3.3 – 4.3), to ‘Polluted’ (</w:t>
      </w:r>
      <w:r>
        <w:t xml:space="preserve">band D: </w:t>
      </w:r>
      <w:r w:rsidRPr="00860771">
        <w:t xml:space="preserve">&gt; 4.3), with increasing % mud. % TOC values became an increasingly important criterion if % mud was high (&gt; ~34% for abundance weighted AMBI). </w:t>
      </w:r>
      <w:r>
        <w:rPr>
          <w:noProof/>
        </w:rPr>
        <w:t>Green et al. (2014)</w:t>
      </w:r>
      <w:r w:rsidRPr="00860771">
        <w:rPr>
          <w:lang w:val="en-NZ"/>
        </w:rPr>
        <w:t xml:space="preserve"> described macroalgal eutrophication effects on macrobenthic health, indicating that macroalgal biomasses below 15 g dm (dry mass) m</w:t>
      </w:r>
      <w:r w:rsidRPr="00860771">
        <w:rPr>
          <w:vertAlign w:val="superscript"/>
          <w:lang w:val="en-NZ"/>
        </w:rPr>
        <w:t>-2</w:t>
      </w:r>
      <w:r w:rsidRPr="00860771">
        <w:rPr>
          <w:lang w:val="en-NZ"/>
        </w:rPr>
        <w:t xml:space="preserve"> had no negative effects on macrobenthos, while a value of 110 g dm m</w:t>
      </w:r>
      <w:r w:rsidRPr="00860771">
        <w:rPr>
          <w:vertAlign w:val="superscript"/>
          <w:lang w:val="en-NZ"/>
        </w:rPr>
        <w:t>-2</w:t>
      </w:r>
      <w:r w:rsidRPr="00860771">
        <w:rPr>
          <w:lang w:val="en-NZ"/>
        </w:rPr>
        <w:t xml:space="preserve"> was an approximate midpoint between ‘no effect’ and an ‘exhaustion threshold’ occurring at ~185 g dm m</w:t>
      </w:r>
      <w:r w:rsidRPr="00860771">
        <w:rPr>
          <w:vertAlign w:val="superscript"/>
          <w:lang w:val="en-NZ"/>
        </w:rPr>
        <w:t>-2</w:t>
      </w:r>
      <w:r w:rsidRPr="00860771">
        <w:rPr>
          <w:lang w:val="en-NZ"/>
        </w:rPr>
        <w:t>. The latter value corresponded well with the value of 175 g dm m</w:t>
      </w:r>
      <w:r w:rsidRPr="00860771">
        <w:rPr>
          <w:vertAlign w:val="superscript"/>
          <w:lang w:val="en-NZ"/>
        </w:rPr>
        <w:t>-2</w:t>
      </w:r>
      <w:r w:rsidRPr="00860771">
        <w:rPr>
          <w:lang w:val="en-NZ"/>
        </w:rPr>
        <w:t xml:space="preserve"> found </w:t>
      </w:r>
      <w:r w:rsidRPr="00860771">
        <w:rPr>
          <w:lang w:val="en-NZ"/>
        </w:rPr>
        <w:lastRenderedPageBreak/>
        <w:t xml:space="preserve">by </w:t>
      </w:r>
      <w:r>
        <w:rPr>
          <w:noProof/>
          <w:lang w:val="en-NZ"/>
        </w:rPr>
        <w:t>Sutula et al. (2014</w:t>
      </w:r>
      <w:proofErr w:type="gramStart"/>
      <w:r>
        <w:rPr>
          <w:noProof/>
          <w:lang w:val="en-NZ"/>
        </w:rPr>
        <w:t>)</w:t>
      </w:r>
      <w:r>
        <w:rPr>
          <w:lang w:val="en-NZ"/>
        </w:rPr>
        <w:t xml:space="preserve"> </w:t>
      </w:r>
      <w:r w:rsidRPr="00860771">
        <w:rPr>
          <w:lang w:val="en-NZ"/>
        </w:rPr>
        <w:t xml:space="preserve"> for</w:t>
      </w:r>
      <w:proofErr w:type="gramEnd"/>
      <w:r w:rsidRPr="00860771">
        <w:rPr>
          <w:lang w:val="en-NZ"/>
        </w:rPr>
        <w:t xml:space="preserve"> an exhaustion threshold for aRPD. These values were converted to EQR equivalents and combined with the % mud and % TOC thresholds to derive the macrobenthic CPT, in terms of NZ AMBI biotic coefficients</w:t>
      </w:r>
      <w:r>
        <w:rPr>
          <w:lang w:val="en-NZ"/>
        </w:rPr>
        <w:t xml:space="preserve"> </w:t>
      </w:r>
      <w:r>
        <w:rPr>
          <w:noProof/>
          <w:lang w:val="en-NZ"/>
        </w:rPr>
        <w:t>(Zeldis and Plew, 2022)</w:t>
      </w:r>
      <w:r w:rsidRPr="00860771">
        <w:rPr>
          <w:lang w:val="en-NZ"/>
        </w:rPr>
        <w:t>.</w:t>
      </w:r>
    </w:p>
    <w:p w14:paraId="2CF56913" w14:textId="685AA3CF" w:rsidR="00250CAD" w:rsidRDefault="00250CAD" w:rsidP="00250CAD">
      <w:pPr>
        <w:pStyle w:val="Heading2"/>
        <w:rPr>
          <w:lang w:val="en-NZ"/>
        </w:rPr>
      </w:pPr>
      <w:r>
        <w:rPr>
          <w:lang w:val="en-NZ"/>
        </w:rPr>
        <w:t>References</w:t>
      </w:r>
    </w:p>
    <w:p w14:paraId="4FD44E9D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Barr, N., Zeldis, J., Scheuer, K., and Schiel, D. (2020). Macroalgal bioindicators of recovery from eutrophication in a tidal lagoon following wastewater diversion and earthquake disturbance. </w:t>
      </w:r>
      <w:r w:rsidRPr="00250CAD">
        <w:rPr>
          <w:i/>
        </w:rPr>
        <w:t>Estuaries and Coasts</w:t>
      </w:r>
      <w:r w:rsidRPr="00250CAD">
        <w:t xml:space="preserve"> 43(2)</w:t>
      </w:r>
      <w:r w:rsidRPr="00250CAD">
        <w:rPr>
          <w:b/>
        </w:rPr>
        <w:t>,</w:t>
      </w:r>
      <w:r w:rsidRPr="00250CAD">
        <w:t xml:space="preserve"> 240-255. doi: https://doi.org/10.1007/s12237-019-00654-7.</w:t>
      </w:r>
    </w:p>
    <w:p w14:paraId="1ED8B621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Barr, N.G., Dudley, B.D., Rogers, K.M., and Cornelisen, C.D. (2013). Broad-scale patterns of tissue-δ15N and tissue-N indices in frondose Ulva spp.; developing a national baseline indicator of nitrogen-loading for coastal New Zealand. </w:t>
      </w:r>
      <w:r w:rsidRPr="00250CAD">
        <w:rPr>
          <w:i/>
        </w:rPr>
        <w:t>Marine Pollution Bulletin</w:t>
      </w:r>
      <w:r w:rsidRPr="00250CAD">
        <w:t xml:space="preserve"> 67(1)</w:t>
      </w:r>
      <w:r w:rsidRPr="00250CAD">
        <w:rPr>
          <w:b/>
        </w:rPr>
        <w:t>,</w:t>
      </w:r>
      <w:r w:rsidRPr="00250CAD">
        <w:t xml:space="preserve"> 203-216. doi: http://dx.doi.org/10.1016/j.marpolbul.2012.11.033.</w:t>
      </w:r>
    </w:p>
    <w:p w14:paraId="7ACFC256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Borja, A., Franco, J., and Pérez, V. (2000). A marine biotic index to establish the ecological quality of soft-bottom benthos within European estuarine and coastal environments. </w:t>
      </w:r>
      <w:r w:rsidRPr="00250CAD">
        <w:rPr>
          <w:i/>
        </w:rPr>
        <w:t>Marine Pollution Bulletin</w:t>
      </w:r>
      <w:r w:rsidRPr="00250CAD">
        <w:t xml:space="preserve"> 40(12)</w:t>
      </w:r>
      <w:r w:rsidRPr="00250CAD">
        <w:rPr>
          <w:b/>
        </w:rPr>
        <w:t>,</w:t>
      </w:r>
      <w:r w:rsidRPr="00250CAD">
        <w:t xml:space="preserve"> 1100-1114. doi: https://doi.org/10.1016/S0025-326X(00)00061-8.</w:t>
      </w:r>
    </w:p>
    <w:p w14:paraId="0F5F5FD8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Cummins, S.P., Roberts, D.E., and Zimmerman, K.D. (2004). Effects of the green macroalga Enteromorpha intestinalis on macrobenthic and seagrass assemblages in a shallow coastal estuary. </w:t>
      </w:r>
      <w:r w:rsidRPr="00250CAD">
        <w:rPr>
          <w:i/>
        </w:rPr>
        <w:t>Marine Ecology Progress Series</w:t>
      </w:r>
      <w:r w:rsidRPr="00250CAD">
        <w:t xml:space="preserve"> 266</w:t>
      </w:r>
      <w:r w:rsidRPr="00250CAD">
        <w:rPr>
          <w:b/>
        </w:rPr>
        <w:t>,</w:t>
      </w:r>
      <w:r w:rsidRPr="00250CAD">
        <w:t xml:space="preserve"> 77-87.</w:t>
      </w:r>
    </w:p>
    <w:p w14:paraId="58ECAC05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Eyre, B., and Ferguson, A.P. (2009). Denitrification efficiency for defining critical loads of carbon in shallow coastal ecosystems. </w:t>
      </w:r>
      <w:r w:rsidRPr="00250CAD">
        <w:rPr>
          <w:i/>
        </w:rPr>
        <w:t>Hydrobiologia</w:t>
      </w:r>
      <w:r w:rsidRPr="00250CAD">
        <w:t xml:space="preserve"> 629(1)</w:t>
      </w:r>
      <w:r w:rsidRPr="00250CAD">
        <w:rPr>
          <w:b/>
        </w:rPr>
        <w:t>,</w:t>
      </w:r>
      <w:r w:rsidRPr="00250CAD">
        <w:t xml:space="preserve"> 137-146. doi: 10.1007/s10750-009-9765-1.</w:t>
      </w:r>
    </w:p>
    <w:p w14:paraId="0A9031C2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Gibson, K., and Marsden, I.D. (2016). "Seagrass </w:t>
      </w:r>
      <w:r w:rsidRPr="00250CAD">
        <w:rPr>
          <w:i/>
        </w:rPr>
        <w:t>Zostera muelleri</w:t>
      </w:r>
      <w:r w:rsidRPr="00250CAD">
        <w:t xml:space="preserve"> in the Avon-Heathcote Estuary/Ihutai, summer 2015–2016", in: </w:t>
      </w:r>
      <w:r w:rsidRPr="00250CAD">
        <w:rPr>
          <w:i/>
        </w:rPr>
        <w:t>Estuarine Research Report.</w:t>
      </w:r>
      <w:r w:rsidRPr="00250CAD">
        <w:t xml:space="preserve"> University of Canterbury, Christchurch ).</w:t>
      </w:r>
    </w:p>
    <w:p w14:paraId="58D18F34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Green, L., Sutula, M., and Fong, P. (2014). How much is too much? Identifying benchmarks of adverse effects of macroalgae on the macrofauna in intertidal flats. </w:t>
      </w:r>
      <w:r w:rsidRPr="00250CAD">
        <w:rPr>
          <w:i/>
        </w:rPr>
        <w:t>Ecological Applications</w:t>
      </w:r>
      <w:r w:rsidRPr="00250CAD">
        <w:t xml:space="preserve"> 24(2)</w:t>
      </w:r>
      <w:r w:rsidRPr="00250CAD">
        <w:rPr>
          <w:b/>
        </w:rPr>
        <w:t>,</w:t>
      </w:r>
      <w:r w:rsidRPr="00250CAD">
        <w:t xml:space="preserve"> 300-314. doi: 10.1890/13-0524.1.</w:t>
      </w:r>
    </w:p>
    <w:p w14:paraId="7A6FB2C7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National Research Council (2000). </w:t>
      </w:r>
      <w:r w:rsidRPr="00250CAD">
        <w:rPr>
          <w:i/>
        </w:rPr>
        <w:t xml:space="preserve">Clean Coastal Waters: Understanding and Reducing the Effects of Nutrient Pollution. </w:t>
      </w:r>
      <w:r w:rsidRPr="00250CAD">
        <w:t>Washington, DC: The National Academies Press.</w:t>
      </w:r>
    </w:p>
    <w:p w14:paraId="2A2A63EC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Plew, D.R., Zeldis, J.R., Dudley, B.D., Whitehead, A.L., Stevens, L.M., Robertson, B.M., et al. (2020). Assessing the eutrophic susceptibility of New Zealand estuaries. </w:t>
      </w:r>
      <w:r w:rsidRPr="00250CAD">
        <w:rPr>
          <w:i/>
        </w:rPr>
        <w:t>Estuaries and Coasts</w:t>
      </w:r>
      <w:r w:rsidRPr="00250CAD">
        <w:t xml:space="preserve"> 43(8)</w:t>
      </w:r>
      <w:r w:rsidRPr="00250CAD">
        <w:rPr>
          <w:b/>
        </w:rPr>
        <w:t>,</w:t>
      </w:r>
      <w:r w:rsidRPr="00250CAD">
        <w:t xml:space="preserve"> 2015-2033. doi: https://doi.org/10.1007/s12237-020-00729-w.</w:t>
      </w:r>
    </w:p>
    <w:p w14:paraId="3748104E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Pratt, D.R., Lohrer, A.M., Pilditch, C.A., and Thrush, S.F. (2014). Changes in ecosystem function across sedimentary gradients in estuaries. </w:t>
      </w:r>
      <w:r w:rsidRPr="00250CAD">
        <w:rPr>
          <w:i/>
        </w:rPr>
        <w:t>Ecosystems</w:t>
      </w:r>
      <w:r w:rsidRPr="00250CAD">
        <w:t xml:space="preserve"> 17(1)</w:t>
      </w:r>
      <w:r w:rsidRPr="00250CAD">
        <w:rPr>
          <w:b/>
        </w:rPr>
        <w:t>,</w:t>
      </w:r>
      <w:r w:rsidRPr="00250CAD">
        <w:t xml:space="preserve"> 182-194. doi: 10.1007/s10021-013-9716-6.</w:t>
      </w:r>
    </w:p>
    <w:p w14:paraId="62A64352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Roberts, K.L., Stevens, L.M., Forrest, B.M., Dudley, B.D., Plew, D.R., Shankar, U., et al. (2022). "Use of a multi-metric macroalgal index to track changes in response to nutrient loads, New River Estuary", in: </w:t>
      </w:r>
      <w:r w:rsidRPr="00250CAD">
        <w:rPr>
          <w:i/>
        </w:rPr>
        <w:t>Salt Ecology Report / NIWA Client Report.</w:t>
      </w:r>
      <w:r w:rsidRPr="00250CAD">
        <w:t xml:space="preserve"> Salt Ecology / NIWA).</w:t>
      </w:r>
    </w:p>
    <w:p w14:paraId="1F718977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Robertson, B.P., Gardner, J.P.A., and Savage, C. (2015). Macrobenthic–mud relations strengthen the foundation for benthic index development: A case study from shallow, temperate New </w:t>
      </w:r>
      <w:r w:rsidRPr="00250CAD">
        <w:lastRenderedPageBreak/>
        <w:t xml:space="preserve">Zealand estuaries. </w:t>
      </w:r>
      <w:r w:rsidRPr="00250CAD">
        <w:rPr>
          <w:i/>
        </w:rPr>
        <w:t>Ecological Indicators</w:t>
      </w:r>
      <w:r w:rsidRPr="00250CAD">
        <w:t xml:space="preserve"> 58</w:t>
      </w:r>
      <w:r w:rsidRPr="00250CAD">
        <w:rPr>
          <w:b/>
        </w:rPr>
        <w:t>,</w:t>
      </w:r>
      <w:r w:rsidRPr="00250CAD">
        <w:t xml:space="preserve"> 161-174. doi: https://doi.org/10.1016/j.ecolind.2015.05.039.</w:t>
      </w:r>
    </w:p>
    <w:p w14:paraId="61B36A8D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Robertson, B.P., Savage, C., Gardner, J.P.A., Robertson, B.M., and Stevens, L.M. (2016). Optimising a widely-used coastal health index through quantitative ecological group classifications and associated thresholds. </w:t>
      </w:r>
      <w:r w:rsidRPr="00250CAD">
        <w:rPr>
          <w:i/>
        </w:rPr>
        <w:t>Ecological Indicators</w:t>
      </w:r>
      <w:r w:rsidRPr="00250CAD">
        <w:t xml:space="preserve"> 69</w:t>
      </w:r>
      <w:r w:rsidRPr="00250CAD">
        <w:rPr>
          <w:b/>
        </w:rPr>
        <w:t>,</w:t>
      </w:r>
      <w:r w:rsidRPr="00250CAD">
        <w:t xml:space="preserve"> 595-605. doi: http://dx.doi.org/10.1016/j.ecolind.2016.04.003.</w:t>
      </w:r>
    </w:p>
    <w:p w14:paraId="3B0B98A3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Siciliano, A., Thomsen, M., and Schiel, D. (2019). Effects of local anthropogenic stressors on a habitat cascade in an estuarine seagrass system. </w:t>
      </w:r>
      <w:r w:rsidRPr="00250CAD">
        <w:rPr>
          <w:i/>
        </w:rPr>
        <w:t>Marine and Freshwater Research</w:t>
      </w:r>
      <w:r w:rsidRPr="00250CAD">
        <w:t xml:space="preserve"> 70. doi: 10.1071/MF18414.</w:t>
      </w:r>
    </w:p>
    <w:p w14:paraId="46EB70E4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Stevens, L.M., Forrest, B.M., Dudley, B.D., Plew, D.R., Zeldis, J.R., Shankar, U., et al. (2022). Use of a multi-metric macroalgal index to document severe eutrophication in a New Zealand estuary. </w:t>
      </w:r>
      <w:r w:rsidRPr="00250CAD">
        <w:rPr>
          <w:i/>
        </w:rPr>
        <w:t>New Zealand Journal of Marine and Freshwater Research</w:t>
      </w:r>
      <w:r w:rsidRPr="00250CAD">
        <w:rPr>
          <w:b/>
        </w:rPr>
        <w:t>,</w:t>
      </w:r>
      <w:r w:rsidRPr="00250CAD">
        <w:t xml:space="preserve"> 1-20. doi: 10.1080/00288330.2022.2093226.</w:t>
      </w:r>
    </w:p>
    <w:p w14:paraId="5156C633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Sutula, M. (2011). "Review of Indicators for Development of Nutrient Numeric Endpoints in California Estuaries", in: </w:t>
      </w:r>
      <w:r w:rsidRPr="00250CAD">
        <w:rPr>
          <w:i/>
        </w:rPr>
        <w:t>Southern California Coastal Water Research Project Technical Report.</w:t>
      </w:r>
      <w:r w:rsidRPr="00250CAD">
        <w:t>).</w:t>
      </w:r>
    </w:p>
    <w:p w14:paraId="08FE7789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Sutula, M., Green, L., Cicchetti, G., Detenbeck, N., and Fong, P. (2014). Thresholds of Adverse Effects of Macroalgal Abundance and Sediment Organic Matter on Benthic Habitat Quality in Estuarine Intertidal Flats. </w:t>
      </w:r>
      <w:r w:rsidRPr="00250CAD">
        <w:rPr>
          <w:i/>
        </w:rPr>
        <w:t xml:space="preserve">Estuaries and Coasts </w:t>
      </w:r>
      <w:r w:rsidRPr="00250CAD">
        <w:t>37(6)</w:t>
      </w:r>
      <w:r w:rsidRPr="00250CAD">
        <w:rPr>
          <w:b/>
        </w:rPr>
        <w:t>,</w:t>
      </w:r>
      <w:r w:rsidRPr="00250CAD">
        <w:t xml:space="preserve"> 1532-1548.</w:t>
      </w:r>
    </w:p>
    <w:p w14:paraId="253C708D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Tan, Y.M., Dalby, O., Kendrick, G.A., Statton, J., Sinclair, E.A., Fraser, M.W., et al. (2020). Seagrass Restoration Is Possible: Insights and Lessons From Australia and New Zealand. </w:t>
      </w:r>
      <w:r w:rsidRPr="00250CAD">
        <w:rPr>
          <w:i/>
        </w:rPr>
        <w:t>Frontiers in Marine Science</w:t>
      </w:r>
      <w:r w:rsidRPr="00250CAD">
        <w:t xml:space="preserve"> 7(617). doi: 10.3389/fmars.2020.00617.</w:t>
      </w:r>
    </w:p>
    <w:p w14:paraId="1AB6AA64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Valiela, I., McClelland, J., Hauxwell, J., Behr, P.J., Hersh, D., and Foreman, K. (1997). Macroalgal blooms in shallow estuaries: controls and ecophysiological and ecosystem consequences. </w:t>
      </w:r>
      <w:r w:rsidRPr="00250CAD">
        <w:rPr>
          <w:i/>
        </w:rPr>
        <w:t>Limnology and Oceanography</w:t>
      </w:r>
      <w:r w:rsidRPr="00250CAD">
        <w:t xml:space="preserve"> 42(5)</w:t>
      </w:r>
      <w:r w:rsidRPr="00250CAD">
        <w:rPr>
          <w:b/>
        </w:rPr>
        <w:t>,</w:t>
      </w:r>
      <w:r w:rsidRPr="00250CAD">
        <w:t xml:space="preserve"> 1105-1118. doi: 10.4319/lo.1997.42.5_part_2.1105.</w:t>
      </w:r>
    </w:p>
    <w:p w14:paraId="6CB377A5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Zabarte-Maeztu, I., Matheson, F.E., Manley-Harris, M., Davies-Colley, R.J., and Hawes, I. (2021). Fine sediment effects on seagrasses: A global review, quantitative synthesis and multi-stressor model. </w:t>
      </w:r>
      <w:r w:rsidRPr="00250CAD">
        <w:rPr>
          <w:i/>
        </w:rPr>
        <w:t>Marine Environmental Research</w:t>
      </w:r>
      <w:r w:rsidRPr="00250CAD">
        <w:t xml:space="preserve"> 171</w:t>
      </w:r>
      <w:r w:rsidRPr="00250CAD">
        <w:rPr>
          <w:b/>
        </w:rPr>
        <w:t>,</w:t>
      </w:r>
      <w:r w:rsidRPr="00250CAD">
        <w:t xml:space="preserve"> 105480. doi: https://doi.org/10.1016/j.marenvres.2021.105480.</w:t>
      </w:r>
    </w:p>
    <w:p w14:paraId="3C01F36C" w14:textId="77777777" w:rsidR="00250CAD" w:rsidRPr="00250CAD" w:rsidRDefault="00250CAD" w:rsidP="00250CAD">
      <w:pPr>
        <w:pStyle w:val="EndNoteBibliography"/>
        <w:spacing w:after="0"/>
        <w:ind w:left="720" w:hanging="720"/>
      </w:pPr>
      <w:r w:rsidRPr="00250CAD">
        <w:t xml:space="preserve">Zeldis, J.R., Depree, C., Gongol, C., South, P.M., Marriner, A., and Schiel, D.R. (2020). Trophic indicators of ecological resilience in a tidal lagoon estuary following wastewater diversion and earthquake disturbance. </w:t>
      </w:r>
      <w:r w:rsidRPr="00250CAD">
        <w:rPr>
          <w:i/>
        </w:rPr>
        <w:t>Estuaries and Coasts</w:t>
      </w:r>
      <w:r w:rsidRPr="00250CAD">
        <w:t xml:space="preserve"> 43(2)</w:t>
      </w:r>
      <w:r w:rsidRPr="00250CAD">
        <w:rPr>
          <w:b/>
        </w:rPr>
        <w:t>,</w:t>
      </w:r>
      <w:r w:rsidRPr="00250CAD">
        <w:t xml:space="preserve"> 223-239. doi: https://doi.org/10.1007/s12237-019-00637-8.</w:t>
      </w:r>
    </w:p>
    <w:p w14:paraId="31E44117" w14:textId="77777777" w:rsidR="00250CAD" w:rsidRPr="00250CAD" w:rsidRDefault="00250CAD" w:rsidP="00250CAD">
      <w:pPr>
        <w:pStyle w:val="EndNoteBibliography"/>
        <w:ind w:left="720" w:hanging="720"/>
      </w:pPr>
      <w:r w:rsidRPr="00250CAD">
        <w:t xml:space="preserve">Zeldis, J.R., and Plew, D.R. (2022). Predicting and Scoring Estuary Ecological Health Using a Bayesian Belief Network. </w:t>
      </w:r>
      <w:r w:rsidRPr="00250CAD">
        <w:rPr>
          <w:i/>
        </w:rPr>
        <w:t>Frontiers in Marine Science</w:t>
      </w:r>
      <w:r w:rsidRPr="00250CAD">
        <w:t xml:space="preserve"> 9. doi: 10.3389/fmars.2022.898992.</w:t>
      </w:r>
    </w:p>
    <w:p w14:paraId="28B6F678" w14:textId="15CAA8C4" w:rsidR="00250CAD" w:rsidRDefault="00250CAD">
      <w:pPr>
        <w:spacing w:before="0" w:after="200" w:line="276" w:lineRule="auto"/>
        <w:rPr>
          <w:lang w:val="en-NZ"/>
        </w:rPr>
      </w:pPr>
      <w:r>
        <w:rPr>
          <w:lang w:val="en-NZ"/>
        </w:rPr>
        <w:br w:type="page"/>
      </w:r>
    </w:p>
    <w:p w14:paraId="5E584EE8" w14:textId="77777777" w:rsidR="00994A3D" w:rsidRPr="00994A3D" w:rsidRDefault="00654E8F" w:rsidP="0001436A">
      <w:pPr>
        <w:pStyle w:val="Heading1"/>
      </w:pPr>
      <w:r w:rsidRPr="00994A3D">
        <w:lastRenderedPageBreak/>
        <w:t>Supplementary Figures and Tables</w:t>
      </w:r>
    </w:p>
    <w:p w14:paraId="07970E94" w14:textId="580A599A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4C469A64" w14:textId="77777777" w:rsidR="00A57867" w:rsidRPr="00A57867" w:rsidRDefault="00A57867" w:rsidP="00A578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3"/>
        <w:gridCol w:w="4884"/>
      </w:tblGrid>
      <w:tr w:rsidR="0091057F" w:rsidRPr="00E16C51" w14:paraId="3084BDDE" w14:textId="77777777" w:rsidTr="0091057F">
        <w:tc>
          <w:tcPr>
            <w:tcW w:w="4883" w:type="dxa"/>
          </w:tcPr>
          <w:p w14:paraId="22E85F17" w14:textId="16EAEB7A" w:rsidR="0091057F" w:rsidRPr="00E16C51" w:rsidRDefault="0091057F" w:rsidP="0058151D">
            <w:pPr>
              <w:rPr>
                <w:rFonts w:ascii="Abadi" w:hAnsi="Abadi"/>
              </w:rPr>
            </w:pPr>
            <w:r w:rsidRPr="00E16C51">
              <w:rPr>
                <w:rFonts w:ascii="Abadi" w:hAnsi="Abadi"/>
              </w:rPr>
              <w:t>A</w:t>
            </w:r>
            <w:r w:rsidR="00B33E79" w:rsidRPr="00E16C51">
              <w:rPr>
                <w:rFonts w:ascii="Abadi" w:hAnsi="Abadi"/>
                <w:noProof/>
              </w:rPr>
              <w:drawing>
                <wp:inline distT="0" distB="0" distL="0" distR="0" wp14:anchorId="4D58741F" wp14:editId="58AD36A9">
                  <wp:extent cx="2880000" cy="216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4794BF89" w14:textId="45A20CEB" w:rsidR="0091057F" w:rsidRPr="00E16C51" w:rsidRDefault="001E1871" w:rsidP="0058151D">
            <w:pPr>
              <w:rPr>
                <w:rFonts w:ascii="Abadi" w:hAnsi="Abadi"/>
              </w:rPr>
            </w:pPr>
            <w:r w:rsidRPr="00E16C51">
              <w:rPr>
                <w:rFonts w:ascii="Abadi" w:hAnsi="Abadi"/>
              </w:rPr>
              <w:t>B</w:t>
            </w:r>
            <w:r w:rsidR="00E16C51" w:rsidRPr="00E16C51">
              <w:rPr>
                <w:rFonts w:ascii="Abadi" w:hAnsi="Abadi"/>
                <w:noProof/>
              </w:rPr>
              <w:drawing>
                <wp:inline distT="0" distB="0" distL="0" distR="0" wp14:anchorId="74D672C0" wp14:editId="652BB435">
                  <wp:extent cx="2880000" cy="216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7F" w:rsidRPr="00E16C51" w14:paraId="361EC079" w14:textId="77777777" w:rsidTr="0091057F">
        <w:tc>
          <w:tcPr>
            <w:tcW w:w="4883" w:type="dxa"/>
          </w:tcPr>
          <w:p w14:paraId="6F74B1FB" w14:textId="3ACE2CF2" w:rsidR="0091057F" w:rsidRPr="00E16C51" w:rsidRDefault="00E16C51" w:rsidP="0058151D">
            <w:pPr>
              <w:rPr>
                <w:rFonts w:ascii="Abadi" w:hAnsi="Abadi"/>
              </w:rPr>
            </w:pPr>
            <w:r w:rsidRPr="00E16C51">
              <w:rPr>
                <w:rFonts w:ascii="Abadi" w:hAnsi="Abadi"/>
              </w:rPr>
              <w:t>C</w:t>
            </w:r>
            <w:r w:rsidR="00B33E79" w:rsidRPr="00E16C51">
              <w:rPr>
                <w:rFonts w:ascii="Abadi" w:hAnsi="Abadi"/>
                <w:noProof/>
              </w:rPr>
              <w:drawing>
                <wp:inline distT="0" distB="0" distL="0" distR="0" wp14:anchorId="129F1CD4" wp14:editId="510FC5FF">
                  <wp:extent cx="2880000" cy="21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6ADCDD32" w14:textId="3D352829" w:rsidR="0091057F" w:rsidRPr="00E16C51" w:rsidRDefault="00E16C51" w:rsidP="0058151D">
            <w:pPr>
              <w:rPr>
                <w:rFonts w:ascii="Abadi" w:hAnsi="Abadi"/>
              </w:rPr>
            </w:pPr>
            <w:r w:rsidRPr="00E16C51">
              <w:rPr>
                <w:rFonts w:ascii="Abadi" w:hAnsi="Abadi"/>
              </w:rPr>
              <w:t>D</w:t>
            </w:r>
            <w:r w:rsidRPr="00E16C51">
              <w:rPr>
                <w:rFonts w:ascii="Abadi" w:hAnsi="Abadi"/>
                <w:noProof/>
              </w:rPr>
              <w:drawing>
                <wp:inline distT="0" distB="0" distL="0" distR="0" wp14:anchorId="10F06F8B" wp14:editId="0DA3696A">
                  <wp:extent cx="2880000" cy="216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C8DA1" w14:textId="3B1BF83D" w:rsidR="00306E1B" w:rsidRDefault="00A57867" w:rsidP="6ADFBB75">
      <w:pPr>
        <w:keepNext/>
      </w:pPr>
      <w:r w:rsidRPr="6ADFBB75">
        <w:rPr>
          <w:b/>
          <w:bCs/>
        </w:rPr>
        <w:t xml:space="preserve">Supplementary </w:t>
      </w:r>
      <w:r w:rsidR="00250CAD">
        <w:rPr>
          <w:b/>
          <w:bCs/>
        </w:rPr>
        <w:t xml:space="preserve">material </w:t>
      </w:r>
      <w:r w:rsidRPr="6ADFBB75">
        <w:rPr>
          <w:b/>
          <w:bCs/>
        </w:rPr>
        <w:t xml:space="preserve">Figure </w:t>
      </w:r>
      <w:r w:rsidR="004635DF">
        <w:rPr>
          <w:b/>
          <w:bCs/>
        </w:rPr>
        <w:t>S</w:t>
      </w:r>
      <w:r w:rsidR="00F74165">
        <w:rPr>
          <w:b/>
          <w:bCs/>
        </w:rPr>
        <w:t>1</w:t>
      </w:r>
      <w:r w:rsidRPr="6ADFBB75">
        <w:rPr>
          <w:b/>
          <w:bCs/>
        </w:rPr>
        <w:t>.</w:t>
      </w:r>
      <w:r>
        <w:t xml:space="preserve"> </w:t>
      </w:r>
      <w:r w:rsidR="00E16C51">
        <w:t xml:space="preserve"> </w:t>
      </w:r>
      <w:r>
        <w:t>Log</w:t>
      </w:r>
      <w:r w:rsidR="005151FF">
        <w:t>-</w:t>
      </w:r>
      <w:r>
        <w:t>linear regression g</w:t>
      </w:r>
      <w:r w:rsidR="00E05378">
        <w:t xml:space="preserve">raphical interpretations used to determine best fit sediment accumulation rates at  A. </w:t>
      </w:r>
      <w:r w:rsidR="008E5B6E">
        <w:t xml:space="preserve">the </w:t>
      </w:r>
      <w:r w:rsidR="0031187A">
        <w:t xml:space="preserve">upper core </w:t>
      </w:r>
      <w:r w:rsidR="001D717F">
        <w:t xml:space="preserve">fitted from 10 to </w:t>
      </w:r>
      <w:r w:rsidR="008E5B6E">
        <w:t xml:space="preserve">61 cm, B. the upper core fitted from 60 to </w:t>
      </w:r>
      <w:r w:rsidR="00B4024D">
        <w:t xml:space="preserve">71 cm, C. the central core fitted from 5 to 41 cm, and D. the central core fitted from 40 to 81 cm. </w:t>
      </w:r>
      <w:r w:rsidR="00D03DB7">
        <w:t xml:space="preserve">Red crosses show the unsupported </w:t>
      </w:r>
      <w:r w:rsidR="00D03DB7" w:rsidRPr="6ADFBB75">
        <w:rPr>
          <w:vertAlign w:val="superscript"/>
        </w:rPr>
        <w:t>210</w:t>
      </w:r>
      <w:r w:rsidR="00D03DB7">
        <w:t>Pb determine</w:t>
      </w:r>
      <w:r w:rsidR="6E596CE7">
        <w:t>d</w:t>
      </w:r>
      <w:r w:rsidR="00D03DB7">
        <w:t xml:space="preserve"> at each core slice depth, the blue line shows the fitted </w:t>
      </w:r>
      <w:r w:rsidR="00CB6810">
        <w:t xml:space="preserve">proposed accumulation rate, and the horizontal red line shows the inferred maximum </w:t>
      </w:r>
      <w:r w:rsidR="0013092A" w:rsidRPr="6ADFBB75">
        <w:rPr>
          <w:vertAlign w:val="superscript"/>
        </w:rPr>
        <w:t>137</w:t>
      </w:r>
      <w:r w:rsidR="0013092A">
        <w:t>Cs deposition depth.</w:t>
      </w:r>
    </w:p>
    <w:p w14:paraId="10A11472" w14:textId="7CC885B4" w:rsidR="00682A87" w:rsidRDefault="00306E1B" w:rsidP="00682A87">
      <w:pPr>
        <w:pStyle w:val="Heading2"/>
      </w:pPr>
      <w:r>
        <w:br w:type="column"/>
      </w:r>
      <w:r w:rsidR="00682A87">
        <w:lastRenderedPageBreak/>
        <w:t>Supplementary Tables</w:t>
      </w:r>
    </w:p>
    <w:p w14:paraId="50CF88B8" w14:textId="3E3EF746" w:rsidR="002A3A51" w:rsidRDefault="00B577A5" w:rsidP="7EBCDB70">
      <w:pPr>
        <w:keepNext/>
        <w:rPr>
          <w:b/>
          <w:bCs/>
        </w:rPr>
      </w:pPr>
      <w:r w:rsidRPr="00494541">
        <w:rPr>
          <w:b/>
          <w:bCs/>
        </w:rPr>
        <w:t xml:space="preserve">Supplementary </w:t>
      </w:r>
      <w:r w:rsidR="00494541">
        <w:rPr>
          <w:b/>
          <w:bCs/>
        </w:rPr>
        <w:t xml:space="preserve">material </w:t>
      </w:r>
      <w:r w:rsidRPr="00494541">
        <w:rPr>
          <w:b/>
          <w:bCs/>
        </w:rPr>
        <w:t xml:space="preserve">Table </w:t>
      </w:r>
      <w:r w:rsidR="004635DF">
        <w:rPr>
          <w:b/>
          <w:bCs/>
        </w:rPr>
        <w:t>S</w:t>
      </w:r>
      <w:r w:rsidRPr="00494541">
        <w:rPr>
          <w:b/>
          <w:bCs/>
        </w:rPr>
        <w:t>1</w:t>
      </w:r>
      <w:r w:rsidR="00B47D7B" w:rsidRPr="00494541">
        <w:rPr>
          <w:b/>
          <w:bCs/>
        </w:rPr>
        <w:t xml:space="preserve">. </w:t>
      </w:r>
      <w:r w:rsidR="002A3A51" w:rsidRPr="00494541">
        <w:rPr>
          <w:b/>
          <w:bCs/>
        </w:rPr>
        <w:t>EQR CPT</w:t>
      </w:r>
      <w:r w:rsidR="00C34AB0" w:rsidRPr="00494541">
        <w:rPr>
          <w:b/>
          <w:bCs/>
        </w:rPr>
        <w:t xml:space="preserve">.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1628"/>
        <w:gridCol w:w="1353"/>
        <w:gridCol w:w="1427"/>
        <w:gridCol w:w="1382"/>
        <w:gridCol w:w="1068"/>
      </w:tblGrid>
      <w:tr w:rsidR="7EBCDB70" w14:paraId="2A68151A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5EA79" w14:textId="2031D94D" w:rsidR="1EA4E909" w:rsidRDefault="1EA4E909" w:rsidP="7EBCDB70">
            <w:pPr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% interti</w:t>
            </w:r>
            <w:r w:rsidR="3F443D56"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d</w:t>
            </w: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al area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C0AB39" w14:textId="50501FA1" w:rsidR="1EA4E909" w:rsidRDefault="1EA4E909" w:rsidP="7EBCDB70">
            <w:pPr>
              <w:rPr>
                <w:rFonts w:ascii="Calibri" w:eastAsia="Calibri" w:hAnsi="Calibri" w:cs="Calibri"/>
                <w:color w:val="000000" w:themeColor="text1"/>
                <w:sz w:val="22"/>
                <w:vertAlign w:val="superscript"/>
              </w:rPr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Potential TN</w:t>
            </w:r>
          </w:p>
          <w:p w14:paraId="12BC5B74" w14:textId="66779494" w:rsidR="1EA4E909" w:rsidRDefault="1EA4E909" w:rsidP="7EBCDB70">
            <w:pPr>
              <w:rPr>
                <w:rFonts w:ascii="Calibri" w:eastAsia="Calibri" w:hAnsi="Calibri" w:cs="Calibri"/>
                <w:color w:val="000000" w:themeColor="text1"/>
                <w:sz w:val="22"/>
                <w:vertAlign w:val="superscript"/>
              </w:rPr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(</w:t>
            </w:r>
            <w:proofErr w:type="gramStart"/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mg</w:t>
            </w:r>
            <w:proofErr w:type="gramEnd"/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m</w:t>
            </w:r>
            <w:r w:rsidRPr="7EBCDB70">
              <w:rPr>
                <w:rFonts w:ascii="Calibri" w:eastAsia="Calibri" w:hAnsi="Calibri" w:cs="Calibri"/>
                <w:color w:val="000000" w:themeColor="text1"/>
                <w:sz w:val="22"/>
                <w:vertAlign w:val="superscript"/>
              </w:rPr>
              <w:t>-3</w:t>
            </w:r>
            <w:r w:rsidR="2FCF140B" w:rsidRPr="7EBCDB70">
              <w:rPr>
                <w:rFonts w:ascii="Calibri" w:eastAsia="Calibri" w:hAnsi="Calibri" w:cs="Calibri"/>
                <w:color w:val="000000" w:themeColor="text1"/>
                <w:sz w:val="22"/>
                <w:vertAlign w:val="superscript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BFF974" w14:textId="139E808D" w:rsidR="2FCF140B" w:rsidRPr="00682A87" w:rsidRDefault="2FCF140B" w:rsidP="7EBCDB70">
            <w:pPr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EQR&gt;0.8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7C530" w14:textId="4CA236D0" w:rsidR="2FCF140B" w:rsidRPr="00682A87" w:rsidRDefault="2FCF140B" w:rsidP="7EBCDB70">
            <w:pPr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0.8&gt;EQR&gt;0.6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BBA475" w14:textId="16DE5A89" w:rsidR="2FCF140B" w:rsidRPr="00682A87" w:rsidRDefault="2FCF140B" w:rsidP="7EBCDB70">
            <w:pPr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0.6&gt;EQR&gt;0.4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47F6EA" w14:textId="46795205" w:rsidR="2FCF140B" w:rsidRPr="00682A87" w:rsidRDefault="2FCF140B" w:rsidP="7EBCDB70">
            <w:pPr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EQR&lt;0.4</w:t>
            </w:r>
          </w:p>
        </w:tc>
      </w:tr>
      <w:tr w:rsidR="7EBCDB70" w14:paraId="526F3094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3C5BE4" w14:textId="28B9DF67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58C21" w14:textId="2E3D088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E0587" w14:textId="4EBEC841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2E8FC" w14:textId="022EA03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F19312" w14:textId="7EB6DA2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CD2728" w14:textId="49C1EA3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242B272A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16C03" w14:textId="71CC939A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9FC9E" w14:textId="69529286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50 to 100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017264" w14:textId="7CD3CE9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1380B" w14:textId="032B836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C1DF2A" w14:textId="4B088AB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7A1931" w14:textId="6FB65FA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1BE8DEDC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1C4965" w14:textId="0BB03ED6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B0509" w14:textId="5821484F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100 to 150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486FB" w14:textId="2F7EFBA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454F9" w14:textId="4E8F9FF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A17250" w14:textId="28B2B2D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1CF864" w14:textId="387FDC8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1894A74F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50F2A" w14:textId="7C05C962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DA2E7" w14:textId="1D129ED9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150 to 200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AF479" w14:textId="61D81AAF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56EA2" w14:textId="5C2AC16F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A13D51" w14:textId="4340847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3DEE8D" w14:textId="13FE415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5422F4AF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AF1E3E" w14:textId="39212605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EE0F84" w14:textId="68B86FF0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200 to 300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A86AEB" w14:textId="3102937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99.95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14EF3B" w14:textId="1E14502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ED5BC9" w14:textId="23AACA8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9E0A0E" w14:textId="16A151C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79516D6B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91D2B8" w14:textId="3C8D90BA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B5D558" w14:textId="49E86F76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300 to 400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02553" w14:textId="5DAD54C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99.31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3A29FD" w14:textId="005BDAD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0.69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28D9C9" w14:textId="6D57A61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534968" w14:textId="43C801F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35F90E31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DC6820" w14:textId="1583235A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7C5C2" w14:textId="6516195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400 to 500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BE66C" w14:textId="0725EC8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94.83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93979E" w14:textId="37B870B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AFC859" w14:textId="20F11B2F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E16CC" w14:textId="13871EE1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1589DDB3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569B3" w14:textId="382E97A0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5428CC" w14:textId="004DB639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500 to 600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32981C" w14:textId="796796E8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78.97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AF79D" w14:textId="284D668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21.03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171905" w14:textId="0B1274C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6153B" w14:textId="6E19A121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1FD5CE80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704FBE" w14:textId="21AC2AEE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7D5D2E" w14:textId="3212CD1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600 to 700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9B6445" w14:textId="4E441AD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49.96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4E83E7" w14:textId="7F536A7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50.04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E9AEC" w14:textId="0C38D2E4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66491" w14:textId="69996C7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395BE366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199D21" w14:textId="225E9BD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C91408" w14:textId="0055D448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700 to 1000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063EF" w14:textId="0B7864A1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9.78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4DC608" w14:textId="77714B0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89.67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215945" w14:textId="70AB9C3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D111E8" w14:textId="026DC2D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189F6E7C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5FD78" w14:textId="438B3D96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6F720" w14:textId="7428D1CA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1000 to 2000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33FAEF" w14:textId="63CDC65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057BB" w14:textId="48CAC2D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25.03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273BF" w14:textId="41B6B37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57.26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9E34E" w14:textId="3BA14F7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17.68</w:t>
            </w:r>
          </w:p>
        </w:tc>
      </w:tr>
      <w:tr w:rsidR="7EBCDB70" w14:paraId="26C24A0E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67CFE" w14:textId="1E75409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1A290F" w14:textId="5558C048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9FCBE5" w14:textId="27AF74D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97.13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14A67B" w14:textId="74FCB2B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2.85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1A138F" w14:textId="00175B4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80656" w14:textId="44A7A9E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7A49A088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58B541" w14:textId="2E2EA79D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837866" w14:textId="3B1BD53E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50 to 100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48918" w14:textId="66D67894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93.21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2FB822" w14:textId="7480CA5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6.7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5E8DE7" w14:textId="7C24626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B997B" w14:textId="6209205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0681ABB5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C7E4B3" w14:textId="0E9FF04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1AA550" w14:textId="095CC60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100 to 150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A5B1B" w14:textId="279EA90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85.87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D4E73F" w14:textId="6FD553F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13.8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BC2618" w14:textId="6FA7E8A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80AF6" w14:textId="45765C8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019AA2FB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5F7962" w14:textId="58A53EC9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A3C46" w14:textId="4C1139CC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150 to 200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A88F79" w14:textId="48DDF68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74.38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77F6D" w14:textId="43E48BC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24.55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8CA1C7" w14:textId="73E9779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1.07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FD01AB" w14:textId="7E04C126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466E7683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9B7802" w14:textId="6167281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49E17" w14:textId="255D862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200 to 300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F0614" w14:textId="58BEFD54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50.91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7BB722" w14:textId="05D1D4E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43.98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D96578" w14:textId="0A0EB99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A9C14A" w14:textId="0DCA91D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0.06</w:t>
            </w:r>
          </w:p>
        </w:tc>
      </w:tr>
      <w:tr w:rsidR="7EBCDB70" w14:paraId="62B0964A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3EE5C6" w14:textId="537B5608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956619" w14:textId="42894955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300 to 400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130627" w14:textId="3C547CC6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21.23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A18D3" w14:textId="7D2296E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57.8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87A996" w14:textId="4FCE5FC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20.18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C8BFB9" w14:textId="45A7788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0.79</w:t>
            </w:r>
          </w:p>
        </w:tc>
      </w:tr>
      <w:tr w:rsidR="7EBCDB70" w14:paraId="250A3204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D721F9" w14:textId="413BFD7E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7D590D" w14:textId="0759BC62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400 to 500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F2807" w14:textId="34A50AF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5.36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20E9F" w14:textId="6CF0C908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44.11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740A8C" w14:textId="2597417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44.83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D83977" w14:textId="0D01501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5.7</w:t>
            </w:r>
          </w:p>
        </w:tc>
      </w:tr>
      <w:tr w:rsidR="7EBCDB70" w14:paraId="3F8CC7F0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B2B03" w14:textId="19EC00E1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2A40BB" w14:textId="4E8993FE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500 to 600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880B1A" w14:textId="2D599A21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0.81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9E1F4A" w14:textId="7EAC66D0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19.78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ED8336" w14:textId="72BF369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56.97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98B4F5" w14:textId="056E6BE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22.44</w:t>
            </w:r>
          </w:p>
        </w:tc>
      </w:tr>
      <w:tr w:rsidR="7EBCDB70" w14:paraId="39C9CF47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BBB4D4" w14:textId="7A1A1F46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D689B2" w14:textId="34D1270C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600 to 700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DA0E6A" w14:textId="379BC54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41AB02" w14:textId="5C8A40B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5.32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6BE48" w14:textId="104834B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42.68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F1A4E5" w14:textId="570A9FF6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51.92</w:t>
            </w:r>
          </w:p>
        </w:tc>
      </w:tr>
      <w:tr w:rsidR="7EBCDB70" w14:paraId="35C02367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E31A8" w14:textId="12B2AB2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465EB9" w14:textId="5078F17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700 to 1000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5805DC" w14:textId="7BF23898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5F58D" w14:textId="519BC0F6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0.34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195B6A" w14:textId="19B799E8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8.77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0F4015" w14:textId="13E41D5F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90.89</w:t>
            </w:r>
          </w:p>
        </w:tc>
      </w:tr>
      <w:tr w:rsidR="7EBCDB70" w14:paraId="2E301B45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1A9ED" w14:textId="1D204532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 to 30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48C064" w14:textId="4053D1CD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1000 to 2000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4D043D" w14:textId="3715B3E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31E570" w14:textId="3ABCA3B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38821" w14:textId="5B21835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D091A" w14:textId="02B95A0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99.98</w:t>
            </w:r>
          </w:p>
        </w:tc>
      </w:tr>
      <w:tr w:rsidR="7EBCDB70" w14:paraId="129DFB13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6C36E4" w14:textId="656B2E2F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C56C80" w14:textId="6A5EC89C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0 to 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341A3" w14:textId="4B773B2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97.13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FED65A" w14:textId="104BEB1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2.85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F0254" w14:textId="3F6E27D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D2B1F9" w14:textId="7F7151C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46D33FF5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4F964B" w14:textId="5155658C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1E92B7" w14:textId="0168FDC1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50 to 100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84501" w14:textId="772E0F0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93.21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67042" w14:textId="79C2B93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6.7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EBC007" w14:textId="25478BB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02E21" w14:textId="7AA8C85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46D87225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3C08F3" w14:textId="30BC7041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4D89AF" w14:textId="0530AEAB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100 to 150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6B1C0E" w14:textId="29CE05C4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85.87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5BAE27" w14:textId="22077589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13.8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D5DED" w14:textId="52D94F7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4889E5" w14:textId="38CDC63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7A53AFF4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14E8D" w14:textId="55CFD9C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299312" w14:textId="1D24F179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150 to 200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7105C" w14:textId="57F7A6A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74.38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B87F78" w14:textId="0808536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24.55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E5D7E" w14:textId="3E09CA66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1.07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9C9182" w14:textId="133EA9A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</w:tr>
      <w:tr w:rsidR="7EBCDB70" w14:paraId="39D2CA0B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569CC" w14:textId="201823A7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5F777B" w14:textId="2A876E3D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200 to 300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6B9EB7" w14:textId="2639B22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50.91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FD3447" w14:textId="209363F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43.98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F1D0EB" w14:textId="3D877C8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475B6D" w14:textId="75C222E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0.06</w:t>
            </w:r>
          </w:p>
        </w:tc>
      </w:tr>
      <w:tr w:rsidR="7EBCDB70" w14:paraId="397A5AF6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4B3375" w14:textId="17339DE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0D644F" w14:textId="1E311350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300 to 400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9817FC" w14:textId="720AD70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21.23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DA5E81" w14:textId="65922CDB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57.8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DA164C" w14:textId="171EC15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20.18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B0B6F9" w14:textId="6AE8E564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0.79</w:t>
            </w:r>
          </w:p>
        </w:tc>
      </w:tr>
      <w:tr w:rsidR="7EBCDB70" w14:paraId="75BF85EA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521022" w14:textId="04412609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340C6" w14:textId="05AE1C41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400 to 500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E27E60" w14:textId="04F2B35A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5.36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3E4088" w14:textId="5FBCF05F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44.11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9B4D30" w14:textId="3507494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44.83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504E3B" w14:textId="7247459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5.7</w:t>
            </w:r>
          </w:p>
        </w:tc>
      </w:tr>
      <w:tr w:rsidR="7EBCDB70" w14:paraId="6E05BA45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7469EE" w14:textId="682A8977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94A59" w14:textId="55CD9CB2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500 to 600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D48C5F" w14:textId="7980C32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0.81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B9D8EF" w14:textId="6DF2F7B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19.78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359F8" w14:textId="7205ECF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56.97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894052" w14:textId="132D033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22.44</w:t>
            </w:r>
          </w:p>
        </w:tc>
      </w:tr>
      <w:tr w:rsidR="7EBCDB70" w14:paraId="18FC0907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CCCAC6" w14:textId="7FFE19F3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9368D" w14:textId="1E6A09F2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600 to 700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C44836" w14:textId="6C8F12FC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19EEB" w14:textId="487EA0B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5.32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2D7929" w14:textId="09194D28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42.68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E54F63" w14:textId="17898FD3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51.92</w:t>
            </w:r>
          </w:p>
        </w:tc>
      </w:tr>
      <w:tr w:rsidR="7EBCDB70" w14:paraId="61AFDF2E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8C9B2F" w14:textId="36D3CB62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C43E48" w14:textId="1FC285F6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700 to 1000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BA5DA" w14:textId="1BD5C6A7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854316" w14:textId="04978B0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0.34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5D850" w14:textId="7E77DC12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8.77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AA97F6" w14:textId="30224F9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90.89</w:t>
            </w:r>
          </w:p>
        </w:tc>
      </w:tr>
      <w:tr w:rsidR="7EBCDB70" w14:paraId="4CDA9B6B" w14:textId="77777777" w:rsidTr="7EBCD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FD3DB2" w14:textId="2C31BD97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30 to 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4FA910" w14:textId="3422DE14" w:rsidR="7EBCDB70" w:rsidRDefault="7EBCDB70" w:rsidP="7EBCDB70">
            <w:pPr>
              <w:spacing w:before="0" w:after="0"/>
            </w:pPr>
            <w:r w:rsidRPr="7EBCDB70">
              <w:rPr>
                <w:rFonts w:ascii="Calibri" w:eastAsia="Calibri" w:hAnsi="Calibri" w:cs="Calibri"/>
                <w:color w:val="000000" w:themeColor="text1"/>
                <w:sz w:val="22"/>
              </w:rPr>
              <w:t>1000 to 2000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E89FA2" w14:textId="67C45945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2DEC7" w14:textId="6DEE5F2E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7377EE" w14:textId="6AA46616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0.02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BEE165" w14:textId="7D8C136D" w:rsidR="7EBCDB70" w:rsidRPr="00682A87" w:rsidRDefault="7EBCDB70" w:rsidP="7EBCDB70">
            <w:pPr>
              <w:spacing w:before="0" w:after="0"/>
            </w:pPr>
            <w:r w:rsidRPr="00682A87">
              <w:rPr>
                <w:rFonts w:ascii="Calibri" w:eastAsia="Calibri" w:hAnsi="Calibri" w:cs="Calibri"/>
                <w:color w:val="000000" w:themeColor="text1"/>
                <w:sz w:val="22"/>
              </w:rPr>
              <w:t>99.98</w:t>
            </w:r>
          </w:p>
        </w:tc>
      </w:tr>
    </w:tbl>
    <w:p w14:paraId="09527296" w14:textId="01D08128" w:rsidR="00494541" w:rsidRPr="00494541" w:rsidRDefault="00494541" w:rsidP="7EBCDB70">
      <w:pPr>
        <w:keepNext/>
        <w:rPr>
          <w:b/>
          <w:bCs/>
        </w:rPr>
      </w:pPr>
    </w:p>
    <w:p w14:paraId="6BC8932A" w14:textId="65DB5652" w:rsidR="002A3A51" w:rsidRDefault="002A3A51" w:rsidP="6ADFBB75">
      <w:pPr>
        <w:keepNext/>
        <w:rPr>
          <w:b/>
          <w:bCs/>
          <w:lang w:val="en-NZ"/>
        </w:rPr>
      </w:pPr>
      <w:r w:rsidRPr="00C34AB0">
        <w:rPr>
          <w:b/>
          <w:bCs/>
        </w:rPr>
        <w:t xml:space="preserve">Supplementary </w:t>
      </w:r>
      <w:r w:rsidR="004635DF">
        <w:rPr>
          <w:b/>
          <w:bCs/>
        </w:rPr>
        <w:t xml:space="preserve">material </w:t>
      </w:r>
      <w:r w:rsidRPr="00C34AB0">
        <w:rPr>
          <w:b/>
          <w:bCs/>
        </w:rPr>
        <w:t xml:space="preserve">Table </w:t>
      </w:r>
      <w:r w:rsidR="004635DF">
        <w:rPr>
          <w:b/>
          <w:bCs/>
        </w:rPr>
        <w:t>S</w:t>
      </w:r>
      <w:r w:rsidRPr="00C34AB0">
        <w:rPr>
          <w:b/>
          <w:bCs/>
        </w:rPr>
        <w:t xml:space="preserve">2. </w:t>
      </w:r>
      <w:r w:rsidR="003E36BC" w:rsidRPr="00C34AB0">
        <w:rPr>
          <w:b/>
          <w:bCs/>
          <w:lang w:val="en-NZ"/>
        </w:rPr>
        <w:t xml:space="preserve">Predicted effects of </w:t>
      </w:r>
      <w:r w:rsidR="006368EB" w:rsidRPr="00C34AB0">
        <w:rPr>
          <w:b/>
          <w:bCs/>
          <w:lang w:val="en-NZ"/>
        </w:rPr>
        <w:t>sediment accumulation rate (SAR, mm</w:t>
      </w:r>
      <w:r w:rsidR="0038414D">
        <w:rPr>
          <w:b/>
          <w:bCs/>
          <w:lang w:val="en-NZ"/>
        </w:rPr>
        <w:t xml:space="preserve"> </w:t>
      </w:r>
      <w:r w:rsidR="006368EB" w:rsidRPr="00C34AB0">
        <w:rPr>
          <w:b/>
          <w:bCs/>
          <w:lang w:val="en-NZ"/>
        </w:rPr>
        <w:t>y</w:t>
      </w:r>
      <w:r w:rsidR="006368EB" w:rsidRPr="0038414D">
        <w:rPr>
          <w:b/>
          <w:bCs/>
          <w:vertAlign w:val="superscript"/>
          <w:lang w:val="en-NZ"/>
        </w:rPr>
        <w:t>-1</w:t>
      </w:r>
      <w:r w:rsidR="006368EB" w:rsidRPr="00C34AB0">
        <w:rPr>
          <w:b/>
          <w:bCs/>
          <w:lang w:val="en-NZ"/>
        </w:rPr>
        <w:t xml:space="preserve">) and macroalgal </w:t>
      </w:r>
      <w:r w:rsidR="00100567" w:rsidRPr="00C34AB0">
        <w:rPr>
          <w:b/>
          <w:bCs/>
          <w:lang w:val="en-NZ"/>
        </w:rPr>
        <w:t>Ecological Quality Rating (</w:t>
      </w:r>
      <w:r w:rsidR="006368EB" w:rsidRPr="00C34AB0">
        <w:rPr>
          <w:b/>
          <w:bCs/>
          <w:lang w:val="en-NZ"/>
        </w:rPr>
        <w:t>EQR</w:t>
      </w:r>
      <w:r w:rsidR="00100567" w:rsidRPr="00C34AB0">
        <w:rPr>
          <w:b/>
          <w:bCs/>
          <w:lang w:val="en-NZ"/>
        </w:rPr>
        <w:t xml:space="preserve">) </w:t>
      </w:r>
      <w:r w:rsidR="003E36BC" w:rsidRPr="00C34AB0">
        <w:rPr>
          <w:b/>
          <w:bCs/>
          <w:lang w:val="en-NZ"/>
        </w:rPr>
        <w:t>on seagrass</w:t>
      </w:r>
      <w:r w:rsidR="00100567" w:rsidRPr="00C34AB0">
        <w:rPr>
          <w:b/>
          <w:bCs/>
          <w:lang w:val="en-NZ"/>
        </w:rPr>
        <w:t xml:space="preserve"> decline</w:t>
      </w:r>
      <w:r w:rsidR="003E36BC" w:rsidRPr="00C34AB0">
        <w:rPr>
          <w:b/>
          <w:bCs/>
          <w:lang w:val="en-NZ"/>
        </w:rPr>
        <w:t xml:space="preserve">. 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780"/>
        <w:gridCol w:w="1172"/>
        <w:gridCol w:w="1333"/>
        <w:gridCol w:w="1111"/>
        <w:gridCol w:w="1259"/>
        <w:gridCol w:w="1709"/>
      </w:tblGrid>
      <w:tr w:rsidR="00CF5D75" w:rsidRPr="009071A5" w14:paraId="2025457E" w14:textId="77777777" w:rsidTr="007905D4">
        <w:trPr>
          <w:trHeight w:val="300"/>
          <w:jc w:val="center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F0793" w14:textId="7573EA65" w:rsidR="00CF5D75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Parent node band</w:t>
            </w: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D983" w14:textId="5BA6575A" w:rsidR="00CF5D75" w:rsidRPr="009071A5" w:rsidRDefault="00CF5D75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Band percent probabilities</w:t>
            </w:r>
            <w:r w:rsidR="0074610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: seagrass decline</w:t>
            </w:r>
          </w:p>
        </w:tc>
      </w:tr>
      <w:tr w:rsidR="00532049" w:rsidRPr="009071A5" w14:paraId="4A4E3333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25A" w14:textId="6EAE406B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SAR (mm y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NZ" w:eastAsia="en-NZ"/>
              </w:rPr>
              <w:t>-1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8B55A" w14:textId="2DEA324C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EQR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E5A" w14:textId="3B1BF3B4" w:rsidR="00532049" w:rsidRPr="009071A5" w:rsidRDefault="00535FD5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Extrem</w:t>
            </w:r>
            <w:r w:rsidR="00BC19D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e</w:t>
            </w:r>
            <w:r w:rsidR="00532049"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decline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48AC" w14:textId="02305349" w:rsidR="00532049" w:rsidRPr="009071A5" w:rsidRDefault="00BC19D5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Severe</w:t>
            </w:r>
            <w:r w:rsidR="00532049" w:rsidRPr="009071A5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 xml:space="preserve"> decline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D07D" w14:textId="6E2B01E6" w:rsidR="00532049" w:rsidRPr="009071A5" w:rsidRDefault="00BC19D5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 xml:space="preserve">Moderate </w:t>
            </w:r>
            <w:r w:rsidR="00532049" w:rsidRPr="009071A5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decline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3BB9" w14:textId="4710ACF7" w:rsidR="00532049" w:rsidRPr="009071A5" w:rsidRDefault="00BC19D5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Neglig</w:t>
            </w:r>
            <w:r w:rsidR="007905D4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ible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 xml:space="preserve"> to minor </w:t>
            </w:r>
            <w:r w:rsidR="00532049" w:rsidRPr="009071A5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decline</w:t>
            </w:r>
          </w:p>
        </w:tc>
      </w:tr>
      <w:tr w:rsidR="00BC19D5" w:rsidRPr="009071A5" w14:paraId="39CF3B97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7602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 to &lt;0.1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5FB" w14:textId="22C2ACFD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="005E6BBB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06AB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AF6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54DD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6A6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96</w:t>
            </w:r>
          </w:p>
        </w:tc>
      </w:tr>
      <w:tr w:rsidR="00BC19D5" w:rsidRPr="009071A5" w14:paraId="74DD8FAA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EF2A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0.1 to &lt;0.5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F9E6" w14:textId="021A56CC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Pr="0019786A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5A6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AE0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108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FAE8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89</w:t>
            </w:r>
          </w:p>
        </w:tc>
      </w:tr>
      <w:tr w:rsidR="00BC19D5" w:rsidRPr="009071A5" w14:paraId="0C054BBA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07C" w14:textId="47BEA47A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0.5 to &lt;1.0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59C42" w14:textId="284D82C8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Pr="0019786A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984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C91D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4769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3F2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80</w:t>
            </w:r>
          </w:p>
        </w:tc>
      </w:tr>
      <w:tr w:rsidR="00BC19D5" w:rsidRPr="009071A5" w14:paraId="04C83217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C5C2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 to &lt;2.0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7D3E" w14:textId="2C766670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Pr="0019786A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E3B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5496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A5FA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D75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70</w:t>
            </w:r>
          </w:p>
        </w:tc>
      </w:tr>
      <w:tr w:rsidR="00BC19D5" w:rsidRPr="009071A5" w14:paraId="2B3EAEB5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501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2.0 to &lt;5.0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C721" w14:textId="43A2E5D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Pr="0019786A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0691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0C0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3B0E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1BE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</w:tr>
      <w:tr w:rsidR="00BC19D5" w:rsidRPr="009071A5" w14:paraId="7511BE58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093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5.0 to &lt;10.0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A16E" w14:textId="64E785C1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Pr="0019786A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47C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5B2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6E6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DB58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0D63AEA9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2E14" w14:textId="38355B0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  <w:r w:rsidR="00DF4A41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.0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20.0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95B3" w14:textId="135169BD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  <w:r w:rsidRPr="0019786A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519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3E74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10C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916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073190CC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FAD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 to &lt;0.1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883A" w14:textId="6D3CF3BA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 w:rsidR="00145609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D85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6DA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E360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CF8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96</w:t>
            </w:r>
          </w:p>
        </w:tc>
      </w:tr>
      <w:tr w:rsidR="00BC19D5" w:rsidRPr="009071A5" w14:paraId="6EC168B5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8867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0.1 to &lt;0.5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3EE" w14:textId="6CE8E112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F0E4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33D8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B738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957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89</w:t>
            </w:r>
          </w:p>
        </w:tc>
      </w:tr>
      <w:tr w:rsidR="00BC19D5" w:rsidRPr="009071A5" w14:paraId="0C1E62E9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DA3F" w14:textId="0564A6BB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0.5 to &lt;1.0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B58" w14:textId="13054BF2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DB40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D647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C30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CAF2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80</w:t>
            </w:r>
          </w:p>
        </w:tc>
      </w:tr>
      <w:tr w:rsidR="00BC19D5" w:rsidRPr="009071A5" w14:paraId="28CA27D8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294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 to &lt;2.0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1882" w14:textId="0D6F87FF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44E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D33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7B3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56A1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70</w:t>
            </w:r>
          </w:p>
        </w:tc>
      </w:tr>
      <w:tr w:rsidR="00BC19D5" w:rsidRPr="009071A5" w14:paraId="3D10F4BC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5CA3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2.0 to &lt;5.0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AE2" w14:textId="259121D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08B6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E1F8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53E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6AB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</w:tr>
      <w:tr w:rsidR="00BC19D5" w:rsidRPr="009071A5" w14:paraId="077A3110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861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5.0 to &lt;10.0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10A" w14:textId="6D2CD9AE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F145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63B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7D3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A95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18CA17AA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880" w14:textId="5DFE6CC3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  <w:r w:rsidR="006079F6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.0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20.0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E5A" w14:textId="7ECE7039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E33E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A579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F00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0935" w14:textId="77777777" w:rsidR="00145609" w:rsidRPr="009071A5" w:rsidRDefault="0014560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41F670D0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8D55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 to &lt;0.1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EAC" w14:textId="6C510102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="00693AD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F08C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2A3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0A5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415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15</w:t>
            </w:r>
          </w:p>
        </w:tc>
      </w:tr>
      <w:tr w:rsidR="00BC19D5" w:rsidRPr="009071A5" w14:paraId="2408A02E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A478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0.1 to &lt;0.5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5F51" w14:textId="0F7543A3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Pr="00D8636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A74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0C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78B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65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3840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</w:tr>
      <w:tr w:rsidR="00BC19D5" w:rsidRPr="009071A5" w14:paraId="2E68CCA6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FA3" w14:textId="6BCC37F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0.5 to &lt;1.0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92A1" w14:textId="2EB59E69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Pr="00D8636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126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3E0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BA46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D75D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</w:tr>
      <w:tr w:rsidR="00BC19D5" w:rsidRPr="009071A5" w14:paraId="2537F35A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C92F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 to &lt;2.0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D17D" w14:textId="566AAA4C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Pr="00D8636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71D8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F3E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7B1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45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5E8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</w:tr>
      <w:tr w:rsidR="00BC19D5" w:rsidRPr="009071A5" w14:paraId="5D09448E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703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2.0 to &lt;5.0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4DB2" w14:textId="7B724DFD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Pr="00D8636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608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58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356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C2E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</w:tr>
      <w:tr w:rsidR="00BC19D5" w:rsidRPr="009071A5" w14:paraId="2E952E04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F3E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5.0 to &lt;10.0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1754" w14:textId="4D9604B3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Pr="00D8636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C82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66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94B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D1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B387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45F8BCB1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F8E" w14:textId="6E639D56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  <w:r w:rsidR="006079F6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.0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20.0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44BA" w14:textId="033BBD91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0.4</w:t>
            </w:r>
            <w:r w:rsidRPr="00D8636E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&lt;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1F9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7C9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3D4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B37F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3251E919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CEC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 to &lt;0.1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95C8" w14:textId="1DFBBB3C" w:rsidR="00532049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="00532049"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F0CC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577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60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9A85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DC7" w14:textId="77777777" w:rsidR="00532049" w:rsidRPr="009071A5" w:rsidRDefault="00532049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65285C0B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CF3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0.1 to &lt;0.5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A17" w14:textId="094E1A53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0697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E92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E0A5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2A6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1E99FA1E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7DB" w14:textId="580B07C4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0.5 to &lt;1.0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520B" w14:textId="0F0AEFFD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690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2B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44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64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B05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7D97ADD7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1FA7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1.0 to &lt;2.0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979" w14:textId="318226E6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C72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B49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37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BB63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A3D4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7030986E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94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2.0 to &lt;5.0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4335" w14:textId="4EA1CD9B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49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473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34B7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0827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00908118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31E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5.0 to &lt;10.0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42D1" w14:textId="7934DDB2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94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80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77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406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691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  <w:tr w:rsidR="00BC19D5" w:rsidRPr="009071A5" w14:paraId="48088027" w14:textId="77777777" w:rsidTr="007905D4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3615" w14:textId="2581C14C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10</w:t>
            </w:r>
            <w:r w:rsidR="006079F6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.0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 to 20.0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9E98" w14:textId="6D773DAC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 xml:space="preserve">0 to </w:t>
            </w: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&lt;0.4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FFCA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8AB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B42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339" w14:textId="77777777" w:rsidR="00693ADE" w:rsidRPr="009071A5" w:rsidRDefault="00693ADE" w:rsidP="006604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</w:pPr>
            <w:r w:rsidRPr="009071A5">
              <w:rPr>
                <w:rFonts w:ascii="Calibri" w:eastAsia="Times New Roman" w:hAnsi="Calibri" w:cs="Calibri"/>
                <w:color w:val="000000"/>
                <w:sz w:val="22"/>
                <w:lang w:val="en-NZ" w:eastAsia="en-NZ"/>
              </w:rPr>
              <w:t>1</w:t>
            </w:r>
          </w:p>
        </w:tc>
      </w:tr>
    </w:tbl>
    <w:p w14:paraId="0E151CBD" w14:textId="77777777" w:rsidR="00C34AB0" w:rsidRDefault="00C34AB0" w:rsidP="6ADFBB75">
      <w:pPr>
        <w:keepNext/>
        <w:rPr>
          <w:b/>
          <w:bCs/>
        </w:rPr>
      </w:pPr>
    </w:p>
    <w:p w14:paraId="7A057099" w14:textId="77777777" w:rsidR="002F6998" w:rsidRPr="00C34AB0" w:rsidRDefault="002F6998" w:rsidP="6ADFBB75">
      <w:pPr>
        <w:keepNext/>
        <w:rPr>
          <w:b/>
          <w:bCs/>
        </w:rPr>
      </w:pPr>
    </w:p>
    <w:p w14:paraId="1DDECF04" w14:textId="77777777" w:rsidR="00250CAD" w:rsidRDefault="00250CAD" w:rsidP="00654E8F">
      <w:pPr>
        <w:spacing w:before="240"/>
      </w:pPr>
    </w:p>
    <w:p w14:paraId="4ED97F0F" w14:textId="77777777" w:rsidR="00250CAD" w:rsidRDefault="00250CAD" w:rsidP="00654E8F">
      <w:pPr>
        <w:spacing w:before="240"/>
      </w:pPr>
    </w:p>
    <w:p w14:paraId="58F1AED1" w14:textId="08EEDABD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C61E" w14:textId="77777777" w:rsidR="00BC3DAC" w:rsidRDefault="00BC3DAC" w:rsidP="00117666">
      <w:pPr>
        <w:spacing w:after="0"/>
      </w:pPr>
      <w:r>
        <w:separator/>
      </w:r>
    </w:p>
  </w:endnote>
  <w:endnote w:type="continuationSeparator" w:id="0">
    <w:p w14:paraId="2B63F2DA" w14:textId="77777777" w:rsidR="00BC3DAC" w:rsidRDefault="00BC3DAC" w:rsidP="00117666">
      <w:pPr>
        <w:spacing w:after="0"/>
      </w:pPr>
      <w:r>
        <w:continuationSeparator/>
      </w:r>
    </w:p>
  </w:endnote>
  <w:endnote w:type="continuationNotice" w:id="1">
    <w:p w14:paraId="253C20A9" w14:textId="77777777" w:rsidR="00BC3DAC" w:rsidRDefault="00BC3D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6250B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250B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6250B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6250B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250B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6250B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B8F2" w14:textId="77777777" w:rsidR="00BC3DAC" w:rsidRDefault="00BC3DAC" w:rsidP="00117666">
      <w:pPr>
        <w:spacing w:after="0"/>
      </w:pPr>
      <w:r>
        <w:separator/>
      </w:r>
    </w:p>
  </w:footnote>
  <w:footnote w:type="continuationSeparator" w:id="0">
    <w:p w14:paraId="4054FE02" w14:textId="77777777" w:rsidR="00BC3DAC" w:rsidRDefault="00BC3DAC" w:rsidP="00117666">
      <w:pPr>
        <w:spacing w:after="0"/>
      </w:pPr>
      <w:r>
        <w:continuationSeparator/>
      </w:r>
    </w:p>
  </w:footnote>
  <w:footnote w:type="continuationNotice" w:id="1">
    <w:p w14:paraId="28C8B197" w14:textId="77777777" w:rsidR="00BC3DAC" w:rsidRDefault="00BC3D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6250B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6250B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-Marine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za9sw2trfrdketd5sxptt2x5fxf22w999d&quot;&gt;Rachel_Library&lt;record-ids&gt;&lt;item&gt;31184&lt;/item&gt;&lt;item&gt;31188&lt;/item&gt;&lt;item&gt;31968&lt;/item&gt;&lt;item&gt;32738&lt;/item&gt;&lt;item&gt;32742&lt;/item&gt;&lt;item&gt;32747&lt;/item&gt;&lt;item&gt;32751&lt;/item&gt;&lt;item&gt;32753&lt;/item&gt;&lt;item&gt;32754&lt;/item&gt;&lt;item&gt;32755&lt;/item&gt;&lt;item&gt;32757&lt;/item&gt;&lt;item&gt;32759&lt;/item&gt;&lt;item&gt;32760&lt;/item&gt;&lt;item&gt;32761&lt;/item&gt;&lt;item&gt;32765&lt;/item&gt;&lt;item&gt;32768&lt;/item&gt;&lt;item&gt;32770&lt;/item&gt;&lt;item&gt;32960&lt;/item&gt;&lt;/record-ids&gt;&lt;/item&gt;&lt;/Libraries&gt;"/>
  </w:docVars>
  <w:rsids>
    <w:rsidRoot w:val="00803D24"/>
    <w:rsid w:val="00006029"/>
    <w:rsid w:val="0001436A"/>
    <w:rsid w:val="00034304"/>
    <w:rsid w:val="00035434"/>
    <w:rsid w:val="00052A14"/>
    <w:rsid w:val="00077D53"/>
    <w:rsid w:val="000E2F5F"/>
    <w:rsid w:val="000E3E80"/>
    <w:rsid w:val="00100567"/>
    <w:rsid w:val="0010154D"/>
    <w:rsid w:val="00105FD9"/>
    <w:rsid w:val="00117666"/>
    <w:rsid w:val="0013092A"/>
    <w:rsid w:val="00145609"/>
    <w:rsid w:val="001549D3"/>
    <w:rsid w:val="00160065"/>
    <w:rsid w:val="00177D84"/>
    <w:rsid w:val="001D717F"/>
    <w:rsid w:val="001E1871"/>
    <w:rsid w:val="00250CAD"/>
    <w:rsid w:val="00267D18"/>
    <w:rsid w:val="00272D61"/>
    <w:rsid w:val="002868E2"/>
    <w:rsid w:val="002869C3"/>
    <w:rsid w:val="002936E4"/>
    <w:rsid w:val="002A3A51"/>
    <w:rsid w:val="002B4A57"/>
    <w:rsid w:val="002C74CA"/>
    <w:rsid w:val="002E172F"/>
    <w:rsid w:val="002F6998"/>
    <w:rsid w:val="00306E1B"/>
    <w:rsid w:val="0031187A"/>
    <w:rsid w:val="003544FB"/>
    <w:rsid w:val="0038414D"/>
    <w:rsid w:val="003D2F2D"/>
    <w:rsid w:val="003E36BC"/>
    <w:rsid w:val="00401590"/>
    <w:rsid w:val="00427C56"/>
    <w:rsid w:val="0044146D"/>
    <w:rsid w:val="00447801"/>
    <w:rsid w:val="00452E9C"/>
    <w:rsid w:val="004635DF"/>
    <w:rsid w:val="004735C8"/>
    <w:rsid w:val="004862AB"/>
    <w:rsid w:val="00494541"/>
    <w:rsid w:val="004961FF"/>
    <w:rsid w:val="00512587"/>
    <w:rsid w:val="005151FF"/>
    <w:rsid w:val="00517A89"/>
    <w:rsid w:val="005250F2"/>
    <w:rsid w:val="00532049"/>
    <w:rsid w:val="00535FD5"/>
    <w:rsid w:val="0058151D"/>
    <w:rsid w:val="00593EEA"/>
    <w:rsid w:val="005A5EEE"/>
    <w:rsid w:val="005E6BBB"/>
    <w:rsid w:val="00602C28"/>
    <w:rsid w:val="006079F6"/>
    <w:rsid w:val="00621A63"/>
    <w:rsid w:val="006250BD"/>
    <w:rsid w:val="006368EB"/>
    <w:rsid w:val="006375C7"/>
    <w:rsid w:val="00654E8F"/>
    <w:rsid w:val="00660404"/>
    <w:rsid w:val="00660D05"/>
    <w:rsid w:val="006820B1"/>
    <w:rsid w:val="00682A87"/>
    <w:rsid w:val="00693ADE"/>
    <w:rsid w:val="006B7D14"/>
    <w:rsid w:val="00701727"/>
    <w:rsid w:val="0070566C"/>
    <w:rsid w:val="00714C50"/>
    <w:rsid w:val="00725A7D"/>
    <w:rsid w:val="0074610E"/>
    <w:rsid w:val="007501BE"/>
    <w:rsid w:val="007905D4"/>
    <w:rsid w:val="00790BB3"/>
    <w:rsid w:val="00793058"/>
    <w:rsid w:val="007C206C"/>
    <w:rsid w:val="00803D24"/>
    <w:rsid w:val="00810A0B"/>
    <w:rsid w:val="00817DD6"/>
    <w:rsid w:val="00885156"/>
    <w:rsid w:val="008A7EA5"/>
    <w:rsid w:val="008E5B6E"/>
    <w:rsid w:val="00901ABB"/>
    <w:rsid w:val="009046FF"/>
    <w:rsid w:val="009071A5"/>
    <w:rsid w:val="0091057F"/>
    <w:rsid w:val="009151AA"/>
    <w:rsid w:val="0093429D"/>
    <w:rsid w:val="00943573"/>
    <w:rsid w:val="00970F7D"/>
    <w:rsid w:val="00994A3D"/>
    <w:rsid w:val="009C2B12"/>
    <w:rsid w:val="009C70F3"/>
    <w:rsid w:val="00A0780F"/>
    <w:rsid w:val="00A125ED"/>
    <w:rsid w:val="00A174D9"/>
    <w:rsid w:val="00A569CD"/>
    <w:rsid w:val="00A57867"/>
    <w:rsid w:val="00A62267"/>
    <w:rsid w:val="00AB6715"/>
    <w:rsid w:val="00AF5521"/>
    <w:rsid w:val="00B1671E"/>
    <w:rsid w:val="00B25EB8"/>
    <w:rsid w:val="00B33E79"/>
    <w:rsid w:val="00B354E1"/>
    <w:rsid w:val="00B37F4D"/>
    <w:rsid w:val="00B4024D"/>
    <w:rsid w:val="00B47D7B"/>
    <w:rsid w:val="00B56A87"/>
    <w:rsid w:val="00B577A5"/>
    <w:rsid w:val="00B940C2"/>
    <w:rsid w:val="00BB191A"/>
    <w:rsid w:val="00BC19D5"/>
    <w:rsid w:val="00BC3DAC"/>
    <w:rsid w:val="00C128E2"/>
    <w:rsid w:val="00C34AB0"/>
    <w:rsid w:val="00C41721"/>
    <w:rsid w:val="00C505E7"/>
    <w:rsid w:val="00C52A7B"/>
    <w:rsid w:val="00C56BAF"/>
    <w:rsid w:val="00C679AA"/>
    <w:rsid w:val="00C75972"/>
    <w:rsid w:val="00CB4E86"/>
    <w:rsid w:val="00CB6810"/>
    <w:rsid w:val="00CC0A3A"/>
    <w:rsid w:val="00CC5EE3"/>
    <w:rsid w:val="00CD066B"/>
    <w:rsid w:val="00CE13AB"/>
    <w:rsid w:val="00CE4FEE"/>
    <w:rsid w:val="00CF5D75"/>
    <w:rsid w:val="00D03DB7"/>
    <w:rsid w:val="00D330AC"/>
    <w:rsid w:val="00D764ED"/>
    <w:rsid w:val="00DA074E"/>
    <w:rsid w:val="00DB59C3"/>
    <w:rsid w:val="00DC259A"/>
    <w:rsid w:val="00DC47B8"/>
    <w:rsid w:val="00DE23E8"/>
    <w:rsid w:val="00DF4A41"/>
    <w:rsid w:val="00E05378"/>
    <w:rsid w:val="00E15C6E"/>
    <w:rsid w:val="00E16C51"/>
    <w:rsid w:val="00E3129C"/>
    <w:rsid w:val="00E52377"/>
    <w:rsid w:val="00E64E17"/>
    <w:rsid w:val="00E866C9"/>
    <w:rsid w:val="00EA3D3C"/>
    <w:rsid w:val="00ED5C2A"/>
    <w:rsid w:val="00F208E6"/>
    <w:rsid w:val="00F33B29"/>
    <w:rsid w:val="00F46900"/>
    <w:rsid w:val="00F61D89"/>
    <w:rsid w:val="00F74165"/>
    <w:rsid w:val="00FC323B"/>
    <w:rsid w:val="00FD32A2"/>
    <w:rsid w:val="0420C637"/>
    <w:rsid w:val="0B38B4B3"/>
    <w:rsid w:val="0FA740DD"/>
    <w:rsid w:val="1143113E"/>
    <w:rsid w:val="1BE19044"/>
    <w:rsid w:val="1EA4E909"/>
    <w:rsid w:val="202085B0"/>
    <w:rsid w:val="20B1279A"/>
    <w:rsid w:val="2FCF140B"/>
    <w:rsid w:val="3BF8C334"/>
    <w:rsid w:val="3F443D56"/>
    <w:rsid w:val="49DDF260"/>
    <w:rsid w:val="565CB24C"/>
    <w:rsid w:val="5E824D62"/>
    <w:rsid w:val="6ADFBB75"/>
    <w:rsid w:val="6E596CE7"/>
    <w:rsid w:val="6EADA3C4"/>
    <w:rsid w:val="75C93C7C"/>
    <w:rsid w:val="7EBCD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link w:val="SupplementaryMaterialChar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44146D"/>
    <w:rPr>
      <w:color w:val="2B579A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50CAD"/>
    <w:pPr>
      <w:spacing w:after="0"/>
      <w:jc w:val="center"/>
    </w:pPr>
    <w:rPr>
      <w:rFonts w:cs="Times New Roman"/>
      <w:noProof/>
    </w:rPr>
  </w:style>
  <w:style w:type="character" w:customStyle="1" w:styleId="SupplementaryMaterialChar">
    <w:name w:val="Supplementary Material Char"/>
    <w:basedOn w:val="TitleChar"/>
    <w:link w:val="SupplementaryMaterial"/>
    <w:rsid w:val="00250CAD"/>
    <w:rPr>
      <w:rFonts w:ascii="Times New Roman" w:hAnsi="Times New Roman" w:cs="Times New Roman"/>
      <w:b/>
      <w:i/>
      <w:sz w:val="32"/>
      <w:szCs w:val="32"/>
    </w:rPr>
  </w:style>
  <w:style w:type="character" w:customStyle="1" w:styleId="EndNoteBibliographyTitleChar">
    <w:name w:val="EndNote Bibliography Title Char"/>
    <w:basedOn w:val="SupplementaryMaterialChar"/>
    <w:link w:val="EndNoteBibliographyTitle"/>
    <w:rsid w:val="00250CAD"/>
    <w:rPr>
      <w:rFonts w:ascii="Times New Roman" w:hAnsi="Times New Roman" w:cs="Times New Roman"/>
      <w:b w:val="0"/>
      <w:i w:val="0"/>
      <w:noProof/>
      <w:sz w:val="24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250CAD"/>
    <w:rPr>
      <w:rFonts w:cs="Times New Roman"/>
      <w:noProof/>
    </w:rPr>
  </w:style>
  <w:style w:type="character" w:customStyle="1" w:styleId="EndNoteBibliographyChar">
    <w:name w:val="EndNote Bibliography Char"/>
    <w:basedOn w:val="SupplementaryMaterialChar"/>
    <w:link w:val="EndNoteBibliography"/>
    <w:rsid w:val="00250CAD"/>
    <w:rPr>
      <w:rFonts w:ascii="Times New Roman" w:hAnsi="Times New Roman" w:cs="Times New Roman"/>
      <w:b w:val="0"/>
      <w:i w:val="0"/>
      <w:noProof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5B23EFB-5FE6-4633-9E16-74E7DF560BFF}">
    <t:Anchor>
      <t:Comment id="678062024"/>
    </t:Anchor>
    <t:History>
      <t:Event id="{60EC9D90-5441-46E2-8145-2976C001A34C}" time="2023-07-25T03:24:56.678Z">
        <t:Attribution userId="S::Rachel.Hale@niwa.co.nz::8e9f536c-89e6-47d9-9c3a-e5d9dc684918" userProvider="AD" userName="Rachel Hale"/>
        <t:Anchor>
          <t:Comment id="678062024"/>
        </t:Anchor>
        <t:Create/>
      </t:Event>
      <t:Event id="{368B2190-70EE-4279-952B-165D0FC97CB2}" time="2023-07-25T03:24:56.678Z">
        <t:Attribution userId="S::Rachel.Hale@niwa.co.nz::8e9f536c-89e6-47d9-9c3a-e5d9dc684918" userProvider="AD" userName="Rachel Hale"/>
        <t:Anchor>
          <t:Comment id="678062024"/>
        </t:Anchor>
        <t:Assign userId="S::David.Plew@niwa.co.nz::9989399c-e6e7-4c26-aca1-dfb812677834" userProvider="AD" userName="David Plew"/>
      </t:Event>
      <t:Event id="{FA3EE4B3-48FD-4377-AAB3-813594D08E21}" time="2023-07-25T03:24:56.678Z">
        <t:Attribution userId="S::Rachel.Hale@niwa.co.nz::8e9f536c-89e6-47d9-9c3a-e5d9dc684918" userProvider="AD" userName="Rachel Hale"/>
        <t:Anchor>
          <t:Comment id="678062024"/>
        </t:Anchor>
        <t:SetTitle title="@David Plew the supplementary for the new BB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2534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Rachel Hale</cp:lastModifiedBy>
  <cp:revision>84</cp:revision>
  <cp:lastPrinted>2013-10-03T12:51:00Z</cp:lastPrinted>
  <dcterms:created xsi:type="dcterms:W3CDTF">2022-11-17T16:58:00Z</dcterms:created>
  <dcterms:modified xsi:type="dcterms:W3CDTF">2023-12-19T02:13:00Z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