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D45CF" w14:textId="79BB60FA" w:rsidR="007A71A3" w:rsidRDefault="0009281A" w:rsidP="00EC37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905AD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C37F5" w:rsidRPr="00C4289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A71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6F60" w:rsidRPr="006E06EC">
        <w:rPr>
          <w:rFonts w:ascii="Times New Roman" w:hAnsi="Times New Roman" w:cs="Times New Roman"/>
          <w:sz w:val="24"/>
          <w:szCs w:val="24"/>
        </w:rPr>
        <w:t>Chordoma cell flow cytometry gating strategy</w:t>
      </w:r>
    </w:p>
    <w:p w14:paraId="01FD4A86" w14:textId="1724499E" w:rsidR="00D356C2" w:rsidRDefault="00D356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628E712" wp14:editId="74F5BC37">
            <wp:extent cx="5410200" cy="1651000"/>
            <wp:effectExtent l="0" t="0" r="0" b="0"/>
            <wp:docPr id="977685487" name="Picture 1" descr="A close-up of a blue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85487" name="Picture 1" descr="A close-up of a blue objec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C1054" w14:textId="24844950" w:rsidR="00300BFC" w:rsidRPr="00300BFC" w:rsidRDefault="007A71A3">
      <w:pPr>
        <w:rPr>
          <w:rFonts w:ascii="Times New Roman" w:hAnsi="Times New Roman" w:cs="Times New Roman"/>
          <w:sz w:val="20"/>
          <w:szCs w:val="20"/>
        </w:rPr>
      </w:pPr>
      <w:r w:rsidRPr="00300BFC">
        <w:rPr>
          <w:rFonts w:ascii="Times New Roman" w:hAnsi="Times New Roman" w:cs="Times New Roman"/>
          <w:sz w:val="20"/>
          <w:szCs w:val="20"/>
        </w:rPr>
        <w:t>Supplementary Figure 1. A) Flow cytometry gating strategy demonstrating isolation of CD24</w:t>
      </w:r>
      <w:r w:rsidRPr="00300BFC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300BFC">
        <w:rPr>
          <w:rFonts w:ascii="Times New Roman" w:hAnsi="Times New Roman" w:cs="Times New Roman"/>
          <w:sz w:val="20"/>
          <w:szCs w:val="20"/>
        </w:rPr>
        <w:t>CD133</w:t>
      </w:r>
      <w:r w:rsidRPr="00300BFC">
        <w:rPr>
          <w:rFonts w:ascii="Times New Roman" w:hAnsi="Times New Roman" w:cs="Times New Roman"/>
          <w:sz w:val="20"/>
          <w:szCs w:val="20"/>
          <w:vertAlign w:val="superscript"/>
        </w:rPr>
        <w:t xml:space="preserve">+ </w:t>
      </w:r>
      <w:r w:rsidRPr="00300BFC">
        <w:rPr>
          <w:rFonts w:ascii="Times New Roman" w:hAnsi="Times New Roman" w:cs="Times New Roman"/>
          <w:sz w:val="20"/>
          <w:szCs w:val="20"/>
        </w:rPr>
        <w:t>CSCs</w:t>
      </w:r>
      <w:r w:rsidR="00300BFC" w:rsidRPr="00300BFC">
        <w:rPr>
          <w:rFonts w:ascii="Times New Roman" w:hAnsi="Times New Roman" w:cs="Times New Roman"/>
          <w:sz w:val="20"/>
          <w:szCs w:val="20"/>
        </w:rPr>
        <w:t xml:space="preserve"> in chordoma cell line MugChor1. CSCs, cancer stem cells. </w:t>
      </w:r>
    </w:p>
    <w:p w14:paraId="5CA77AFB" w14:textId="02ECD174" w:rsidR="007A71A3" w:rsidRDefault="007A71A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69DFD0B" w14:textId="1514DE79" w:rsidR="00905AD4" w:rsidRDefault="007A71A3" w:rsidP="00EC37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2.</w:t>
      </w:r>
      <w:r w:rsidR="00EC37F5" w:rsidRPr="00C4289D">
        <w:rPr>
          <w:rFonts w:ascii="Times New Roman" w:hAnsi="Times New Roman" w:cs="Times New Roman"/>
          <w:sz w:val="24"/>
          <w:szCs w:val="24"/>
        </w:rPr>
        <w:t xml:space="preserve"> </w:t>
      </w:r>
      <w:r w:rsidR="00312219" w:rsidRPr="00456355">
        <w:rPr>
          <w:rFonts w:ascii="Times" w:hAnsi="Times" w:cs="Times New Roman"/>
          <w:sz w:val="24"/>
          <w:szCs w:val="24"/>
        </w:rPr>
        <w:t>Proportions of PD-L1</w:t>
      </w:r>
      <w:r w:rsidR="00312219" w:rsidRPr="00456355">
        <w:rPr>
          <w:rFonts w:ascii="Times" w:hAnsi="Times" w:cs="Times New Roman"/>
          <w:sz w:val="24"/>
          <w:szCs w:val="24"/>
          <w:vertAlign w:val="superscript"/>
        </w:rPr>
        <w:t>+</w:t>
      </w:r>
      <w:r w:rsidR="00312219" w:rsidRPr="00456355">
        <w:rPr>
          <w:rFonts w:ascii="Times" w:hAnsi="Times" w:cs="Times New Roman"/>
          <w:sz w:val="24"/>
          <w:szCs w:val="24"/>
        </w:rPr>
        <w:t xml:space="preserve"> chordoma cells, total CSC</w:t>
      </w:r>
      <w:r w:rsidR="00312219">
        <w:rPr>
          <w:rFonts w:ascii="Times" w:hAnsi="Times" w:cs="Times New Roman"/>
          <w:sz w:val="24"/>
          <w:szCs w:val="24"/>
        </w:rPr>
        <w:t>s</w:t>
      </w:r>
      <w:r w:rsidR="00312219" w:rsidRPr="00456355">
        <w:rPr>
          <w:rFonts w:ascii="Times" w:hAnsi="Times" w:cs="Times New Roman"/>
          <w:sz w:val="24"/>
          <w:szCs w:val="24"/>
        </w:rPr>
        <w:t>, and PD-L1</w:t>
      </w:r>
      <w:r w:rsidR="00312219" w:rsidRPr="00456355">
        <w:rPr>
          <w:rFonts w:ascii="Times" w:hAnsi="Times" w:cs="Times New Roman"/>
          <w:sz w:val="24"/>
          <w:szCs w:val="24"/>
          <w:vertAlign w:val="superscript"/>
        </w:rPr>
        <w:t>+</w:t>
      </w:r>
      <w:r w:rsidR="00312219" w:rsidRPr="00456355">
        <w:rPr>
          <w:rFonts w:ascii="Times" w:hAnsi="Times" w:cs="Times New Roman"/>
          <w:sz w:val="24"/>
          <w:szCs w:val="24"/>
        </w:rPr>
        <w:t xml:space="preserve"> CSCs</w:t>
      </w:r>
      <w:r w:rsidR="00312219">
        <w:rPr>
          <w:rFonts w:ascii="Times" w:hAnsi="Times" w:cs="Times New Roman"/>
          <w:sz w:val="24"/>
          <w:szCs w:val="24"/>
        </w:rPr>
        <w:t xml:space="preserve"> by Clinical Correlate</w:t>
      </w:r>
    </w:p>
    <w:p w14:paraId="27CD7FBC" w14:textId="466BF314" w:rsidR="00905AD4" w:rsidRDefault="00D51463" w:rsidP="00EC37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592A39" wp14:editId="52DAFA07">
            <wp:extent cx="5283200" cy="6272033"/>
            <wp:effectExtent l="0" t="0" r="0" b="1905"/>
            <wp:docPr id="563364366" name="Picture 2" descr="A collage of several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64366" name="Picture 2" descr="A collage of several graph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557" cy="630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5552F" w14:textId="4DE41BBE" w:rsidR="00EC37F5" w:rsidRPr="00D51463" w:rsidRDefault="000F0D9C" w:rsidP="00D51463">
      <w:pPr>
        <w:spacing w:after="0" w:line="240" w:lineRule="auto"/>
        <w:rPr>
          <w:rFonts w:ascii="Times" w:hAnsi="Times" w:cs="Times New Roman"/>
          <w:sz w:val="20"/>
          <w:szCs w:val="20"/>
        </w:rPr>
      </w:pPr>
      <w:r w:rsidRPr="000F0D9C">
        <w:rPr>
          <w:rFonts w:ascii="Times" w:hAnsi="Times" w:cs="Times New Roman"/>
          <w:sz w:val="20"/>
          <w:szCs w:val="20"/>
        </w:rPr>
        <w:t xml:space="preserve">Supplementary Figure </w:t>
      </w:r>
      <w:r w:rsidR="006C130C">
        <w:rPr>
          <w:rFonts w:ascii="Times" w:hAnsi="Times" w:cs="Times New Roman"/>
          <w:sz w:val="20"/>
          <w:szCs w:val="20"/>
        </w:rPr>
        <w:t>2</w:t>
      </w:r>
      <w:r w:rsidRPr="000F0D9C">
        <w:rPr>
          <w:rFonts w:ascii="Times" w:hAnsi="Times" w:cs="Times New Roman"/>
          <w:sz w:val="20"/>
          <w:szCs w:val="20"/>
        </w:rPr>
        <w:t>. Proportions of PD-L1</w:t>
      </w:r>
      <w:r w:rsidRPr="000F0D9C">
        <w:rPr>
          <w:rFonts w:ascii="Times" w:hAnsi="Times" w:cs="Times New Roman"/>
          <w:sz w:val="20"/>
          <w:szCs w:val="20"/>
          <w:vertAlign w:val="superscript"/>
        </w:rPr>
        <w:t>+</w:t>
      </w:r>
      <w:r w:rsidRPr="000F0D9C">
        <w:rPr>
          <w:rFonts w:ascii="Times" w:hAnsi="Times" w:cs="Times New Roman"/>
          <w:sz w:val="20"/>
          <w:szCs w:val="20"/>
        </w:rPr>
        <w:t xml:space="preserve"> chordoma cells, total CSCs, and PD-L1</w:t>
      </w:r>
      <w:r w:rsidRPr="000F0D9C">
        <w:rPr>
          <w:rFonts w:ascii="Times" w:hAnsi="Times" w:cs="Times New Roman"/>
          <w:sz w:val="20"/>
          <w:szCs w:val="20"/>
          <w:vertAlign w:val="superscript"/>
        </w:rPr>
        <w:t>+</w:t>
      </w:r>
      <w:r w:rsidRPr="000F0D9C">
        <w:rPr>
          <w:rFonts w:ascii="Times" w:hAnsi="Times" w:cs="Times New Roman"/>
          <w:sz w:val="20"/>
          <w:szCs w:val="20"/>
        </w:rPr>
        <w:t xml:space="preserve"> CSCs do not significantly differ by age, anatomic site of origin, disease stage, or radiation therapy. A comparison by age was made between chordoma patients ≤35 years old and &gt;35 years old (n=18). A comparison by radiation was made between chordoma patients who received a degree of pre- or postoperative radiation therapy (n=9) versus not (n=5). Both analyses were completed with a Mann Whitney test. A comparison by anatomic site of origin was made among chordomas originating from skull base (n=7), spine (n=3), or sacrum/coccyx (n=8). A comparison by disease stage was made among chordomas resected at primary (n=9), locally aggressive (n=5), and advanced (n=3) stage. Both analyses were completed with a Kruskal-Wallis analysis. A p value threshold &lt;0.05 defined statistical significance. CSC, cancer stem cell; ns, non-significant.</w:t>
      </w:r>
    </w:p>
    <w:p w14:paraId="0B31C6D1" w14:textId="689FEEAE" w:rsidR="00EC37F5" w:rsidRPr="006C708A" w:rsidRDefault="00EC37F5" w:rsidP="00EC37F5">
      <w:pPr>
        <w:rPr>
          <w:rFonts w:ascii="Times New Roman" w:hAnsi="Times New Roman" w:cs="Times New Roman"/>
          <w:sz w:val="24"/>
          <w:szCs w:val="24"/>
        </w:rPr>
      </w:pPr>
      <w:r w:rsidRPr="006C708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7A7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C708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C708A">
        <w:rPr>
          <w:rFonts w:ascii="Times New Roman" w:hAnsi="Times New Roman" w:cs="Times New Roman"/>
          <w:sz w:val="24"/>
          <w:szCs w:val="24"/>
        </w:rPr>
        <w:t xml:space="preserve"> CSC Distance to Stroma by Clinical </w:t>
      </w:r>
      <w:r>
        <w:rPr>
          <w:rFonts w:ascii="Times New Roman" w:hAnsi="Times New Roman" w:cs="Times New Roman"/>
          <w:sz w:val="24"/>
          <w:szCs w:val="24"/>
        </w:rPr>
        <w:t>Correlate</w:t>
      </w:r>
    </w:p>
    <w:p w14:paraId="0FA4F222" w14:textId="77777777" w:rsidR="00EC37F5" w:rsidRDefault="00514B2D" w:rsidP="00EC37F5">
      <w:pPr>
        <w:rPr>
          <w:b/>
          <w:bCs/>
        </w:rPr>
      </w:pPr>
      <w:r>
        <w:rPr>
          <w:noProof/>
        </w:rPr>
        <w:object w:dxaOrig="11424" w:dyaOrig="9773" w14:anchorId="233036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399.9pt;mso-width-percent:0;mso-height-percent:0;mso-width-percent:0;mso-height-percent:0" o:ole="">
            <v:imagedata r:id="rId6" o:title=""/>
          </v:shape>
          <o:OLEObject Type="Embed" ProgID="Prism9.Document" ShapeID="_x0000_i1025" DrawAspect="Content" ObjectID="_1772288821" r:id="rId7"/>
        </w:object>
      </w:r>
    </w:p>
    <w:p w14:paraId="45E9AA4A" w14:textId="4E6B03B8" w:rsidR="00EC37F5" w:rsidRPr="006C708A" w:rsidRDefault="00EC37F5" w:rsidP="00EC37F5">
      <w:pPr>
        <w:rPr>
          <w:rFonts w:ascii="Times New Roman" w:hAnsi="Times New Roman" w:cs="Times New Roman"/>
          <w:sz w:val="20"/>
          <w:szCs w:val="20"/>
        </w:rPr>
      </w:pPr>
      <w:r w:rsidRPr="006C708A">
        <w:rPr>
          <w:rFonts w:ascii="Times New Roman" w:hAnsi="Times New Roman" w:cs="Times New Roman"/>
          <w:sz w:val="20"/>
          <w:szCs w:val="20"/>
        </w:rPr>
        <w:t xml:space="preserve">Supplementary Figure </w:t>
      </w:r>
      <w:r w:rsidR="006C130C">
        <w:rPr>
          <w:rFonts w:ascii="Times New Roman" w:hAnsi="Times New Roman" w:cs="Times New Roman"/>
          <w:sz w:val="20"/>
          <w:szCs w:val="20"/>
        </w:rPr>
        <w:t>3</w:t>
      </w:r>
      <w:r w:rsidRPr="006C708A">
        <w:rPr>
          <w:rFonts w:ascii="Times New Roman" w:hAnsi="Times New Roman" w:cs="Times New Roman"/>
          <w:sz w:val="20"/>
          <w:szCs w:val="20"/>
        </w:rPr>
        <w:t xml:space="preserve">. </w:t>
      </w:r>
      <w:r w:rsidR="007571A1">
        <w:rPr>
          <w:rFonts w:ascii="Times New Roman" w:hAnsi="Times New Roman" w:cs="Times New Roman"/>
          <w:sz w:val="20"/>
          <w:szCs w:val="20"/>
        </w:rPr>
        <w:t>Infiltration analyses show that the a</w:t>
      </w:r>
      <w:r>
        <w:rPr>
          <w:rFonts w:ascii="Times New Roman" w:hAnsi="Times New Roman" w:cs="Times New Roman"/>
          <w:sz w:val="20"/>
          <w:szCs w:val="20"/>
        </w:rPr>
        <w:t>verage CSC distance to stroma (µm) does</w:t>
      </w:r>
      <w:r w:rsidRPr="00173A83">
        <w:rPr>
          <w:rFonts w:ascii="Times New Roman" w:hAnsi="Times New Roman" w:cs="Times New Roman"/>
          <w:sz w:val="20"/>
          <w:szCs w:val="20"/>
        </w:rPr>
        <w:t xml:space="preserve"> not significantly differ by age, anatomic site of origin, disease stage, or radiation therapy. A comparison by age was made between chordoma patients ≤35 years old and &gt;35 years old (n=18). A comparison by radiation was made between chordoma patients who received a degree of pre- or postoperative radiation therapy (n=9) versus not (n=5). Both</w:t>
      </w:r>
      <w:r w:rsidR="007571A1">
        <w:rPr>
          <w:rFonts w:ascii="Times New Roman" w:hAnsi="Times New Roman" w:cs="Times New Roman"/>
          <w:sz w:val="20"/>
          <w:szCs w:val="20"/>
        </w:rPr>
        <w:t xml:space="preserve"> </w:t>
      </w:r>
      <w:r w:rsidRPr="00173A83">
        <w:rPr>
          <w:rFonts w:ascii="Times New Roman" w:hAnsi="Times New Roman" w:cs="Times New Roman"/>
          <w:sz w:val="20"/>
          <w:szCs w:val="20"/>
        </w:rPr>
        <w:t xml:space="preserve">analyses were completed with a Mann Whitney test. A comparison by anatomic site of origin was made among chordomas originating from skull base (n=7), spine (n=3), or sacrum/coccyx (n=8). A comparison by disease stage was made among chordomas resected at primary (n=9), locally aggressive (n=5), and advanced (n=3) stage. Both analyses were completed with a Kruskal-Wallis analysis. A p value threshold &lt;0.05 defined statistical significance. CSC, cancer stem cell; ns, </w:t>
      </w:r>
      <w:proofErr w:type="spellStart"/>
      <w:r w:rsidRPr="00173A83">
        <w:rPr>
          <w:rFonts w:ascii="Times New Roman" w:hAnsi="Times New Roman" w:cs="Times New Roman"/>
          <w:sz w:val="20"/>
          <w:szCs w:val="20"/>
        </w:rPr>
        <w:t>non significant</w:t>
      </w:r>
      <w:proofErr w:type="spellEnd"/>
      <w:r w:rsidRPr="00173A83">
        <w:rPr>
          <w:rFonts w:ascii="Times New Roman" w:hAnsi="Times New Roman" w:cs="Times New Roman"/>
          <w:sz w:val="20"/>
          <w:szCs w:val="20"/>
        </w:rPr>
        <w:t xml:space="preserve">. </w:t>
      </w:r>
      <w:r w:rsidRPr="006C708A">
        <w:rPr>
          <w:rFonts w:ascii="Times New Roman" w:hAnsi="Times New Roman" w:cs="Times New Roman"/>
          <w:sz w:val="20"/>
          <w:szCs w:val="20"/>
        </w:rPr>
        <w:br w:type="page"/>
      </w:r>
    </w:p>
    <w:p w14:paraId="3036AB9B" w14:textId="77777777" w:rsidR="00EC37F5" w:rsidRPr="00C224DA" w:rsidRDefault="00EC37F5" w:rsidP="00EC37F5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OLE_LINK1"/>
      <w:r w:rsidRPr="005C22E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7B182A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B182A">
        <w:rPr>
          <w:rFonts w:ascii="Times New Roman" w:hAnsi="Times New Roman" w:cs="Times New Roman"/>
          <w:b/>
          <w:bCs/>
        </w:rPr>
        <w:t xml:space="preserve">. </w:t>
      </w:r>
      <w:bookmarkEnd w:id="0"/>
      <w:r w:rsidRPr="007B182A">
        <w:rPr>
          <w:rFonts w:ascii="Times New Roman" w:hAnsi="Times New Roman" w:cs="Times New Roman"/>
          <w:sz w:val="24"/>
          <w:szCs w:val="24"/>
        </w:rPr>
        <w:t xml:space="preserve">CSC </w:t>
      </w:r>
      <w:r>
        <w:rPr>
          <w:rFonts w:ascii="Times New Roman" w:hAnsi="Times New Roman" w:cs="Times New Roman"/>
          <w:sz w:val="24"/>
          <w:szCs w:val="24"/>
        </w:rPr>
        <w:t>Multispectral Immunofluorescence Antibody</w:t>
      </w:r>
      <w:r w:rsidRPr="007B182A">
        <w:rPr>
          <w:rFonts w:ascii="Times New Roman" w:hAnsi="Times New Roman" w:cs="Times New Roman"/>
          <w:sz w:val="24"/>
          <w:szCs w:val="24"/>
        </w:rPr>
        <w:t xml:space="preserve"> Panel </w:t>
      </w:r>
    </w:p>
    <w:p w14:paraId="3C62212A" w14:textId="77777777" w:rsidR="00EC37F5" w:rsidRDefault="00EC37F5" w:rsidP="00EC37F5">
      <w:pPr>
        <w:rPr>
          <w:b/>
          <w:bCs/>
        </w:rPr>
      </w:pPr>
    </w:p>
    <w:p w14:paraId="1B9F2984" w14:textId="77777777" w:rsidR="00EC37F5" w:rsidRPr="005C22ED" w:rsidRDefault="00EC37F5" w:rsidP="00EC37F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B9A4512" wp14:editId="38588148">
            <wp:extent cx="6414089" cy="30289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954" cy="3029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87DF3" w14:textId="77777777" w:rsidR="00EC37F5" w:rsidRDefault="00EC37F5" w:rsidP="00EC37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Supplementary </w:t>
      </w:r>
      <w:r w:rsidRPr="003F5BD6">
        <w:rPr>
          <w:rFonts w:ascii="Times New Roman" w:hAnsi="Times New Roman" w:cs="Times New Roman"/>
          <w:sz w:val="20"/>
          <w:szCs w:val="20"/>
        </w:rPr>
        <w:t xml:space="preserve">Table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3F5BD6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Multispectral immunofluorescence antibody panel used to assess chordoma CSCs i</w:t>
      </w:r>
      <w:r w:rsidRPr="002F3681">
        <w:rPr>
          <w:rFonts w:ascii="Times New Roman" w:hAnsi="Times New Roman" w:cs="Times New Roman"/>
          <w:i/>
          <w:iCs/>
          <w:sz w:val="20"/>
          <w:szCs w:val="20"/>
        </w:rPr>
        <w:t xml:space="preserve">n </w:t>
      </w:r>
      <w:r>
        <w:rPr>
          <w:rFonts w:ascii="Times New Roman" w:hAnsi="Times New Roman" w:cs="Times New Roman"/>
          <w:i/>
          <w:iCs/>
          <w:sz w:val="20"/>
          <w:szCs w:val="20"/>
        </w:rPr>
        <w:t>vivo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4ACDBC4" w14:textId="22E326E3" w:rsidR="00AB72DE" w:rsidRDefault="00AB72DE" w:rsidP="00AB72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2.</w:t>
      </w:r>
      <w:r w:rsidRPr="00C428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Chordoma</w:t>
      </w:r>
      <w:r w:rsidRPr="00212408">
        <w:rPr>
          <w:rFonts w:ascii="Times New Roman" w:hAnsi="Times New Roman" w:cs="Times New Roman"/>
          <w:sz w:val="24"/>
          <w:szCs w:val="24"/>
        </w:rPr>
        <w:t xml:space="preserve"> CSC Characterization by </w:t>
      </w:r>
      <w:r>
        <w:rPr>
          <w:rFonts w:ascii="Times New Roman" w:hAnsi="Times New Roman" w:cs="Times New Roman"/>
          <w:sz w:val="24"/>
          <w:szCs w:val="24"/>
        </w:rPr>
        <w:t xml:space="preserve">Surface </w:t>
      </w:r>
      <w:r w:rsidRPr="00212408">
        <w:rPr>
          <w:rFonts w:ascii="Times New Roman" w:hAnsi="Times New Roman" w:cs="Times New Roman"/>
          <w:sz w:val="24"/>
          <w:szCs w:val="24"/>
        </w:rPr>
        <w:t>Marker</w:t>
      </w:r>
    </w:p>
    <w:p w14:paraId="1677A401" w14:textId="77777777" w:rsidR="00AB72DE" w:rsidRDefault="00AB72DE" w:rsidP="00AB72DE">
      <w:pPr>
        <w:spacing w:after="0" w:line="240" w:lineRule="auto"/>
        <w:rPr>
          <w:rFonts w:ascii="Times" w:hAnsi="Time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7B0A4A" wp14:editId="44466431">
            <wp:extent cx="4432300" cy="2108200"/>
            <wp:effectExtent l="0" t="0" r="0" b="0"/>
            <wp:docPr id="2145276421" name="Picture 1" descr="A number of positive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76421" name="Picture 1" descr="A number of positive numbe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7DE1" w14:textId="77777777" w:rsidR="00AB72DE" w:rsidRDefault="00AB72DE" w:rsidP="00AB72DE">
      <w:pPr>
        <w:spacing w:after="0" w:line="240" w:lineRule="auto"/>
        <w:rPr>
          <w:rFonts w:ascii="Times" w:hAnsi="Times"/>
        </w:rPr>
      </w:pPr>
    </w:p>
    <w:p w14:paraId="2D78C71A" w14:textId="5D6F2C90" w:rsidR="00AB72DE" w:rsidRPr="00F8670D" w:rsidRDefault="00AB72DE" w:rsidP="00AB72DE">
      <w:pPr>
        <w:spacing w:after="0" w:line="240" w:lineRule="auto"/>
        <w:rPr>
          <w:rFonts w:ascii="Times" w:hAnsi="Times" w:cs="Times New Roman"/>
          <w:sz w:val="20"/>
          <w:szCs w:val="20"/>
        </w:rPr>
      </w:pPr>
      <w:r w:rsidRPr="00F8670D">
        <w:rPr>
          <w:rFonts w:ascii="Times" w:hAnsi="Times"/>
          <w:sz w:val="20"/>
          <w:szCs w:val="20"/>
        </w:rPr>
        <w:t xml:space="preserve">Supplementary </w:t>
      </w:r>
      <w:r w:rsidRPr="00F8670D">
        <w:rPr>
          <w:rFonts w:ascii="Times" w:hAnsi="Times" w:cs="Times New Roman"/>
          <w:sz w:val="20"/>
          <w:szCs w:val="20"/>
        </w:rPr>
        <w:t xml:space="preserve">Table 2. </w:t>
      </w:r>
      <w:r w:rsidRPr="00F8670D">
        <w:rPr>
          <w:rFonts w:ascii="Times" w:hAnsi="Times" w:cs="Times New Roman"/>
          <w:i/>
          <w:iCs/>
          <w:sz w:val="20"/>
          <w:szCs w:val="20"/>
        </w:rPr>
        <w:t>In vitro</w:t>
      </w:r>
      <w:r w:rsidRPr="00F8670D">
        <w:rPr>
          <w:rFonts w:ascii="Times" w:hAnsi="Times" w:cs="Times New Roman"/>
          <w:sz w:val="20"/>
          <w:szCs w:val="20"/>
        </w:rPr>
        <w:t xml:space="preserve"> chordoma CSC characterization by surface markers of B7H6, ULBP1, MICA-B, HER2, EGFR, and PD-L1, measured both by percent positivity (top) and MFI (bottom). </w:t>
      </w:r>
      <w:r w:rsidRPr="00F8670D">
        <w:rPr>
          <w:rFonts w:ascii="Times" w:hAnsi="Times"/>
          <w:sz w:val="20"/>
          <w:szCs w:val="20"/>
        </w:rPr>
        <w:t xml:space="preserve">This is the same data presented in Figure 1 shown here in table form. </w:t>
      </w:r>
      <w:r w:rsidRPr="00F8670D">
        <w:rPr>
          <w:rFonts w:ascii="Times" w:hAnsi="Times" w:cs="Times New Roman"/>
          <w:sz w:val="20"/>
          <w:szCs w:val="20"/>
        </w:rPr>
        <w:t>Average values across six cell lines, collected via flow cytometry, are shown. Values for CSCs (blue) and non-CSCs (red) were compared using student’s t tests with a significance threshold of p &lt;0.05. *</w:t>
      </w:r>
      <w:r w:rsidRPr="00F8670D">
        <w:rPr>
          <w:rFonts w:ascii="Times" w:hAnsi="Times" w:cs="Times New Roman"/>
          <w:i/>
          <w:iCs/>
          <w:sz w:val="20"/>
          <w:szCs w:val="20"/>
        </w:rPr>
        <w:t>p</w:t>
      </w:r>
      <w:r w:rsidRPr="00F8670D">
        <w:rPr>
          <w:rFonts w:ascii="Times" w:hAnsi="Times" w:cs="Times New Roman"/>
          <w:sz w:val="20"/>
          <w:szCs w:val="20"/>
        </w:rPr>
        <w:t>≤0.05, **</w:t>
      </w:r>
      <w:r w:rsidRPr="00F8670D">
        <w:rPr>
          <w:rFonts w:ascii="Times" w:hAnsi="Times" w:cs="Times New Roman"/>
          <w:i/>
          <w:iCs/>
          <w:sz w:val="20"/>
          <w:szCs w:val="20"/>
        </w:rPr>
        <w:t>p</w:t>
      </w:r>
      <w:r w:rsidRPr="00F8670D">
        <w:rPr>
          <w:rFonts w:ascii="Times" w:hAnsi="Times" w:cs="Times New Roman"/>
          <w:sz w:val="20"/>
          <w:szCs w:val="20"/>
        </w:rPr>
        <w:t>≤0.01, ***</w:t>
      </w:r>
      <w:r w:rsidRPr="00F8670D">
        <w:rPr>
          <w:rFonts w:ascii="Times" w:hAnsi="Times" w:cs="Times New Roman"/>
          <w:i/>
          <w:iCs/>
          <w:sz w:val="20"/>
          <w:szCs w:val="20"/>
        </w:rPr>
        <w:t>p</w:t>
      </w:r>
      <w:r w:rsidRPr="00F8670D">
        <w:rPr>
          <w:rFonts w:ascii="Times" w:hAnsi="Times" w:cs="Times New Roman"/>
          <w:sz w:val="20"/>
          <w:szCs w:val="20"/>
        </w:rPr>
        <w:t>≤0.001, ****</w:t>
      </w:r>
      <w:r w:rsidRPr="00F8670D">
        <w:rPr>
          <w:rFonts w:ascii="Times" w:hAnsi="Times" w:cs="Times New Roman"/>
          <w:i/>
          <w:iCs/>
          <w:sz w:val="20"/>
          <w:szCs w:val="20"/>
        </w:rPr>
        <w:t>p</w:t>
      </w:r>
      <w:r w:rsidRPr="00F8670D">
        <w:rPr>
          <w:rFonts w:ascii="Times" w:hAnsi="Times" w:cs="Times New Roman"/>
          <w:sz w:val="20"/>
          <w:szCs w:val="20"/>
        </w:rPr>
        <w:t xml:space="preserve">≤0.0001. CSC, cancer stem cells; MFI, mean fluorescence intensity.  </w:t>
      </w:r>
    </w:p>
    <w:p w14:paraId="3A701696" w14:textId="77777777" w:rsidR="00AB72DE" w:rsidRDefault="00AB72D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4D4BAAE" w14:textId="688B134B" w:rsidR="00EC37F5" w:rsidRDefault="00EC37F5" w:rsidP="00EC37F5">
      <w:pPr>
        <w:rPr>
          <w:rFonts w:ascii="Times New Roman" w:hAnsi="Times New Roman" w:cs="Times New Roman"/>
          <w:sz w:val="24"/>
          <w:szCs w:val="24"/>
        </w:rPr>
      </w:pPr>
      <w:r w:rsidRPr="003F5B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AB72DE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F5B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Chordoma </w:t>
      </w:r>
      <w:r w:rsidRPr="003F5BD6">
        <w:rPr>
          <w:rFonts w:ascii="Times New Roman" w:hAnsi="Times New Roman" w:cs="Times New Roman"/>
          <w:sz w:val="24"/>
          <w:szCs w:val="24"/>
        </w:rPr>
        <w:t xml:space="preserve">CSC Characterization by </w:t>
      </w:r>
      <w:r>
        <w:rPr>
          <w:rFonts w:ascii="Times New Roman" w:hAnsi="Times New Roman" w:cs="Times New Roman"/>
          <w:sz w:val="24"/>
          <w:szCs w:val="24"/>
        </w:rPr>
        <w:t xml:space="preserve">Surface </w:t>
      </w:r>
      <w:r w:rsidRPr="003F5BD6">
        <w:rPr>
          <w:rFonts w:ascii="Times New Roman" w:hAnsi="Times New Roman" w:cs="Times New Roman"/>
          <w:sz w:val="24"/>
          <w:szCs w:val="24"/>
        </w:rPr>
        <w:t xml:space="preserve">Marker </w:t>
      </w:r>
      <w:r>
        <w:rPr>
          <w:rFonts w:ascii="Times New Roman" w:hAnsi="Times New Roman" w:cs="Times New Roman"/>
          <w:sz w:val="24"/>
          <w:szCs w:val="24"/>
        </w:rPr>
        <w:t>in All Cell Lines</w:t>
      </w:r>
    </w:p>
    <w:p w14:paraId="400A722A" w14:textId="4A3A8CA3" w:rsidR="00EC37F5" w:rsidRDefault="006A481C" w:rsidP="00EC37F5">
      <w:pPr>
        <w:rPr>
          <w:rFonts w:ascii="Times New Roman" w:hAnsi="Times New Roman" w:cs="Times New Roman"/>
          <w:sz w:val="24"/>
          <w:szCs w:val="24"/>
        </w:rPr>
      </w:pPr>
      <w:r w:rsidRPr="006A48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21A4A" wp14:editId="599B20F4">
            <wp:extent cx="5943600" cy="2371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A7DA3" w14:textId="77777777" w:rsidR="00EC37F5" w:rsidRPr="003F5BD6" w:rsidRDefault="00EC37F5" w:rsidP="00EC37F5">
      <w:pPr>
        <w:rPr>
          <w:rFonts w:ascii="Times New Roman" w:hAnsi="Times New Roman" w:cs="Times New Roman"/>
          <w:sz w:val="24"/>
          <w:szCs w:val="24"/>
        </w:rPr>
      </w:pPr>
    </w:p>
    <w:p w14:paraId="5242C1E3" w14:textId="6BCE4A6C" w:rsidR="00EC37F5" w:rsidRPr="003F5BD6" w:rsidRDefault="00EC37F5" w:rsidP="00EC37F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Supplementary </w:t>
      </w:r>
      <w:r w:rsidRPr="003F5BD6">
        <w:rPr>
          <w:rFonts w:ascii="Times New Roman" w:hAnsi="Times New Roman" w:cs="Times New Roman"/>
          <w:sz w:val="20"/>
          <w:szCs w:val="20"/>
        </w:rPr>
        <w:t xml:space="preserve">Table </w:t>
      </w:r>
      <w:r w:rsidR="00AB72DE">
        <w:rPr>
          <w:rFonts w:ascii="Times New Roman" w:hAnsi="Times New Roman" w:cs="Times New Roman"/>
          <w:sz w:val="20"/>
          <w:szCs w:val="20"/>
        </w:rPr>
        <w:t>3</w:t>
      </w:r>
      <w:r w:rsidRPr="003F5BD6">
        <w:rPr>
          <w:rFonts w:ascii="Times New Roman" w:hAnsi="Times New Roman" w:cs="Times New Roman"/>
          <w:sz w:val="20"/>
          <w:szCs w:val="20"/>
        </w:rPr>
        <w:t xml:space="preserve">. </w:t>
      </w:r>
      <w:r w:rsidRPr="002F3681">
        <w:rPr>
          <w:rFonts w:ascii="Times New Roman" w:hAnsi="Times New Roman" w:cs="Times New Roman"/>
          <w:i/>
          <w:iCs/>
          <w:sz w:val="20"/>
          <w:szCs w:val="20"/>
        </w:rPr>
        <w:t>In vitro</w:t>
      </w:r>
      <w:r>
        <w:rPr>
          <w:rFonts w:ascii="Times New Roman" w:hAnsi="Times New Roman" w:cs="Times New Roman"/>
          <w:sz w:val="20"/>
          <w:szCs w:val="20"/>
        </w:rPr>
        <w:t xml:space="preserve"> chordoma CSC characterization by surface markers of B7H6, HER2, MICA-B, ULBP1, EGFR, and PD-L1, measured both by percent positivity (left) and MFI (right). Values across six cell lines collected via flow cytometry are shown. Any increase in expression of &gt;20%</w:t>
      </w:r>
      <w:r w:rsidR="00257DD6">
        <w:rPr>
          <w:rFonts w:ascii="Times New Roman" w:hAnsi="Times New Roman" w:cs="Times New Roman"/>
          <w:sz w:val="20"/>
          <w:szCs w:val="20"/>
        </w:rPr>
        <w:t xml:space="preserve"> positivity or a 5-fold MFI increase </w:t>
      </w:r>
      <w:r>
        <w:rPr>
          <w:rFonts w:ascii="Times New Roman" w:hAnsi="Times New Roman" w:cs="Times New Roman"/>
          <w:sz w:val="20"/>
          <w:szCs w:val="20"/>
        </w:rPr>
        <w:t xml:space="preserve">in CSCs (blue) compared to NonCSCs (red) are shown bolded and in orange. Each </w:t>
      </w:r>
      <w:r w:rsidR="000C44CE">
        <w:rPr>
          <w:rFonts w:ascii="Times New Roman" w:hAnsi="Times New Roman" w:cs="Times New Roman"/>
          <w:sz w:val="20"/>
          <w:szCs w:val="20"/>
        </w:rPr>
        <w:t xml:space="preserve">value </w:t>
      </w:r>
      <w:r>
        <w:rPr>
          <w:rFonts w:ascii="Times New Roman" w:hAnsi="Times New Roman" w:cs="Times New Roman"/>
          <w:sz w:val="20"/>
          <w:szCs w:val="20"/>
        </w:rPr>
        <w:t xml:space="preserve">depicted here </w:t>
      </w:r>
      <w:r w:rsidR="000C44CE">
        <w:rPr>
          <w:rFonts w:ascii="Times New Roman" w:hAnsi="Times New Roman" w:cs="Times New Roman"/>
          <w:sz w:val="20"/>
          <w:szCs w:val="20"/>
        </w:rPr>
        <w:t>is the mean of</w:t>
      </w:r>
      <w:r w:rsidR="001D6DF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technical triplicate</w:t>
      </w:r>
      <w:r w:rsidR="000C44CE">
        <w:rPr>
          <w:rFonts w:ascii="Times New Roman" w:hAnsi="Times New Roman" w:cs="Times New Roman"/>
          <w:sz w:val="20"/>
          <w:szCs w:val="20"/>
        </w:rPr>
        <w:t>s within one experiment</w:t>
      </w:r>
      <w:r>
        <w:rPr>
          <w:rFonts w:ascii="Times New Roman" w:hAnsi="Times New Roman" w:cs="Times New Roman"/>
          <w:sz w:val="20"/>
          <w:szCs w:val="20"/>
        </w:rPr>
        <w:t xml:space="preserve">, and results are representative of three independent experiments. CSC, cancer stem cells; MFI, mean fluorescence intensity.  </w:t>
      </w:r>
    </w:p>
    <w:p w14:paraId="6614FC0D" w14:textId="77777777" w:rsidR="00754C23" w:rsidRDefault="00754C23"/>
    <w:sectPr w:rsidR="00754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966"/>
    <w:rsid w:val="000726DD"/>
    <w:rsid w:val="0009281A"/>
    <w:rsid w:val="000C44CE"/>
    <w:rsid w:val="000F0D9C"/>
    <w:rsid w:val="00145C04"/>
    <w:rsid w:val="00186F60"/>
    <w:rsid w:val="001D6DF2"/>
    <w:rsid w:val="00257DD6"/>
    <w:rsid w:val="00300BFC"/>
    <w:rsid w:val="00312219"/>
    <w:rsid w:val="003755F2"/>
    <w:rsid w:val="004933E2"/>
    <w:rsid w:val="004C35A2"/>
    <w:rsid w:val="00514B2D"/>
    <w:rsid w:val="006A481C"/>
    <w:rsid w:val="006C130C"/>
    <w:rsid w:val="006E06EC"/>
    <w:rsid w:val="00754C23"/>
    <w:rsid w:val="007571A1"/>
    <w:rsid w:val="007A71A3"/>
    <w:rsid w:val="00905AD4"/>
    <w:rsid w:val="009B43F8"/>
    <w:rsid w:val="009D305C"/>
    <w:rsid w:val="00AB72DE"/>
    <w:rsid w:val="00C96105"/>
    <w:rsid w:val="00D356C2"/>
    <w:rsid w:val="00D42AA8"/>
    <w:rsid w:val="00D51463"/>
    <w:rsid w:val="00D72C61"/>
    <w:rsid w:val="00DF5966"/>
    <w:rsid w:val="00EC37F5"/>
    <w:rsid w:val="00F808A9"/>
    <w:rsid w:val="00F8670D"/>
    <w:rsid w:val="00FA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35685"/>
  <w15:chartTrackingRefBased/>
  <w15:docId w15:val="{3A69A5B5-A8C9-4613-B5A5-6524A2EA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6.emf"/><Relationship Id="rId4" Type="http://schemas.openxmlformats.org/officeDocument/2006/relationships/image" Target="media/image1.tiff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Lopez, Diana</dc:creator>
  <cp:keywords/>
  <dc:description/>
  <cp:lastModifiedBy>Diana Lopez</cp:lastModifiedBy>
  <cp:revision>3</cp:revision>
  <dcterms:created xsi:type="dcterms:W3CDTF">2024-03-15T10:12:00Z</dcterms:created>
  <dcterms:modified xsi:type="dcterms:W3CDTF">2024-03-18T21:39:00Z</dcterms:modified>
</cp:coreProperties>
</file>