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B38E841" w14:textId="6649091F" w:rsidR="00DE1C53" w:rsidRDefault="00DE1C53" w:rsidP="007C7A26">
      <w:pPr>
        <w:spacing w:before="240" w:after="0"/>
        <w:jc w:val="center"/>
        <w:rPr>
          <w:rFonts w:cs="Times New Roman"/>
          <w:b/>
          <w:sz w:val="32"/>
          <w:szCs w:val="32"/>
          <w:lang w:val="en"/>
        </w:rPr>
      </w:pPr>
      <w:r w:rsidRPr="00DE1C53">
        <w:rPr>
          <w:rFonts w:cs="Times New Roman"/>
          <w:b/>
          <w:sz w:val="32"/>
          <w:szCs w:val="32"/>
          <w:lang w:val="en"/>
        </w:rPr>
        <w:t>Owner Experience and Veterinary Involvement with Unlicensed GS-441524 Treatment of Feline Infectious Peritonitis (FIP): A Prospective Cohort Study</w:t>
      </w:r>
    </w:p>
    <w:p w14:paraId="53C462B0" w14:textId="6E4C2BCA" w:rsidR="00AA4D1F" w:rsidRPr="00F16FA5" w:rsidRDefault="00AA4D1F" w:rsidP="00AA4D1F">
      <w:pPr>
        <w:spacing w:before="240" w:after="0"/>
        <w:rPr>
          <w:rFonts w:cs="Times New Roman"/>
          <w:b/>
          <w:szCs w:val="24"/>
          <w:vertAlign w:val="superscript"/>
          <w:lang w:val="en"/>
        </w:rPr>
      </w:pPr>
      <w:r w:rsidRPr="00F16FA5">
        <w:rPr>
          <w:rFonts w:cs="Times New Roman"/>
          <w:b/>
          <w:szCs w:val="24"/>
          <w:lang w:val="en"/>
        </w:rPr>
        <w:t>Rosa Negash</w:t>
      </w:r>
      <w:r w:rsidRPr="00F16FA5">
        <w:rPr>
          <w:rFonts w:cs="Times New Roman"/>
          <w:b/>
          <w:szCs w:val="24"/>
          <w:vertAlign w:val="superscript"/>
          <w:lang w:val="en"/>
        </w:rPr>
        <w:t>1</w:t>
      </w:r>
      <w:r w:rsidRPr="00F16FA5">
        <w:rPr>
          <w:rFonts w:cs="Times New Roman"/>
          <w:b/>
          <w:szCs w:val="24"/>
          <w:lang w:val="en"/>
        </w:rPr>
        <w:t>, Emma Li</w:t>
      </w:r>
      <w:r w:rsidRPr="00F16FA5">
        <w:rPr>
          <w:rFonts w:cs="Times New Roman"/>
          <w:b/>
          <w:szCs w:val="24"/>
          <w:vertAlign w:val="superscript"/>
          <w:lang w:val="en"/>
        </w:rPr>
        <w:t>1</w:t>
      </w:r>
      <w:r w:rsidRPr="00F16FA5">
        <w:rPr>
          <w:rFonts w:cs="Times New Roman"/>
          <w:b/>
          <w:szCs w:val="24"/>
          <w:lang w:val="en"/>
        </w:rPr>
        <w:t>, Nicole Jacque</w:t>
      </w:r>
      <w:r w:rsidRPr="00F16FA5">
        <w:rPr>
          <w:rFonts w:cs="Times New Roman"/>
          <w:b/>
          <w:szCs w:val="24"/>
          <w:vertAlign w:val="superscript"/>
          <w:lang w:val="en"/>
        </w:rPr>
        <w:t>2</w:t>
      </w:r>
      <w:r w:rsidRPr="00F16FA5">
        <w:rPr>
          <w:rFonts w:cs="Times New Roman"/>
          <w:b/>
          <w:szCs w:val="24"/>
          <w:lang w:val="en"/>
        </w:rPr>
        <w:t>, Wendy Novicoff</w:t>
      </w:r>
      <w:r w:rsidRPr="00F16FA5">
        <w:rPr>
          <w:rFonts w:cs="Times New Roman"/>
          <w:b/>
          <w:szCs w:val="24"/>
          <w:vertAlign w:val="superscript"/>
          <w:lang w:val="en"/>
        </w:rPr>
        <w:t>3</w:t>
      </w:r>
      <w:r w:rsidRPr="00F16FA5">
        <w:rPr>
          <w:rFonts w:cs="Times New Roman"/>
          <w:b/>
          <w:szCs w:val="24"/>
          <w:lang w:val="en"/>
        </w:rPr>
        <w:t>, Samantha</w:t>
      </w:r>
      <w:r>
        <w:rPr>
          <w:rFonts w:cs="Times New Roman"/>
          <w:b/>
          <w:szCs w:val="24"/>
          <w:lang w:val="en"/>
        </w:rPr>
        <w:t xml:space="preserve"> J.M.</w:t>
      </w:r>
      <w:r w:rsidRPr="00F16FA5">
        <w:rPr>
          <w:rFonts w:cs="Times New Roman"/>
          <w:b/>
          <w:szCs w:val="24"/>
          <w:lang w:val="en"/>
        </w:rPr>
        <w:t xml:space="preserve"> Evans</w:t>
      </w:r>
      <w:r w:rsidRPr="00F16FA5">
        <w:rPr>
          <w:rFonts w:cs="Times New Roman"/>
          <w:b/>
          <w:szCs w:val="24"/>
          <w:vertAlign w:val="superscript"/>
          <w:lang w:val="en"/>
        </w:rPr>
        <w:t>4</w:t>
      </w:r>
      <w:r>
        <w:rPr>
          <w:rFonts w:cs="Times New Roman"/>
          <w:b/>
          <w:szCs w:val="24"/>
          <w:vertAlign w:val="superscript"/>
          <w:lang w:val="en"/>
        </w:rPr>
        <w:t>*</w:t>
      </w:r>
    </w:p>
    <w:p w14:paraId="217F3AE0" w14:textId="722A4283" w:rsidR="002868E2" w:rsidRDefault="002868E2" w:rsidP="00994A3D">
      <w:pPr>
        <w:spacing w:before="240" w:after="0"/>
        <w:rPr>
          <w:rFonts w:cs="Times New Roman"/>
          <w:szCs w:val="24"/>
        </w:rPr>
      </w:pPr>
      <w:r w:rsidRPr="00994A3D">
        <w:rPr>
          <w:rFonts w:cs="Times New Roman"/>
          <w:b/>
        </w:rPr>
        <w:t xml:space="preserve">* Correspondence: </w:t>
      </w:r>
      <w:r w:rsidR="00AA4D1F">
        <w:rPr>
          <w:rFonts w:cs="Times New Roman"/>
          <w:szCs w:val="24"/>
        </w:rPr>
        <w:t xml:space="preserve">Samantha J.M. Evans: </w:t>
      </w:r>
      <w:hyperlink r:id="rId12" w:history="1">
        <w:r w:rsidR="00AA4D1F" w:rsidRPr="003B1CD6">
          <w:rPr>
            <w:rStyle w:val="Hyperlink"/>
            <w:rFonts w:cs="Times New Roman"/>
            <w:szCs w:val="24"/>
          </w:rPr>
          <w:t>Samantha.Evans@colostate.edu</w:t>
        </w:r>
      </w:hyperlink>
    </w:p>
    <w:p w14:paraId="732F5B43" w14:textId="77777777" w:rsidR="00AA4D1F" w:rsidRPr="00AA4D1F" w:rsidRDefault="00AA4D1F" w:rsidP="00AA4D1F"/>
    <w:p w14:paraId="53B07CC9" w14:textId="577E8327" w:rsidR="003E3140" w:rsidRDefault="003E3140" w:rsidP="003E3140">
      <w:pPr>
        <w:pStyle w:val="Heading1"/>
      </w:pPr>
      <w:r>
        <w:t>Supplementary Data</w:t>
      </w:r>
    </w:p>
    <w:p w14:paraId="2B7A4569" w14:textId="64A8E5BF" w:rsidR="003E3140" w:rsidRPr="003E3140" w:rsidRDefault="003E3140" w:rsidP="003E3140">
      <w:r>
        <w:t>Survey Instrument – attached as separate file</w:t>
      </w:r>
    </w:p>
    <w:p w14:paraId="23085ED3" w14:textId="777EB9F2" w:rsidR="003E3140" w:rsidRDefault="00654E8F" w:rsidP="003E3140">
      <w:pPr>
        <w:pStyle w:val="Heading1"/>
      </w:pPr>
      <w:r w:rsidRPr="00994A3D">
        <w:t>Supplementary Figures and Tables</w:t>
      </w:r>
    </w:p>
    <w:p w14:paraId="53D07A88" w14:textId="77777777" w:rsidR="00AA4D1F" w:rsidRPr="00AA4D1F" w:rsidRDefault="00AA4D1F" w:rsidP="00AA4D1F">
      <w:pPr>
        <w:spacing w:after="160" w:line="259" w:lineRule="auto"/>
        <w:rPr>
          <w:rFonts w:eastAsia="Calibri" w:cs="Times New Roman"/>
          <w:szCs w:val="24"/>
        </w:rPr>
      </w:pPr>
      <w:r w:rsidRPr="00AA4D1F">
        <w:rPr>
          <w:rFonts w:eastAsia="Calibri" w:cs="Times New Roman"/>
          <w:b/>
          <w:bCs/>
          <w:szCs w:val="24"/>
        </w:rPr>
        <w:t>Supplementary Table 1</w:t>
      </w:r>
      <w:r w:rsidRPr="00AA4D1F">
        <w:rPr>
          <w:rFonts w:eastAsia="Calibri" w:cs="Times New Roman"/>
          <w:szCs w:val="24"/>
        </w:rPr>
        <w:t xml:space="preserve">. Description of denotations used to describe participants’ survey completeness. Participants were tracked throughout the survey collection period and denoted after the survey collection period closed based on the number of completed surveys received.  </w:t>
      </w:r>
    </w:p>
    <w:tbl>
      <w:tblPr>
        <w:tblW w:w="7590" w:type="dxa"/>
        <w:tblBorders>
          <w:top w:val="nil"/>
          <w:left w:val="nil"/>
          <w:bottom w:val="nil"/>
          <w:right w:val="nil"/>
          <w:insideH w:val="nil"/>
          <w:insideV w:val="nil"/>
        </w:tblBorders>
        <w:tblLayout w:type="fixed"/>
        <w:tblLook w:val="0600" w:firstRow="0" w:lastRow="0" w:firstColumn="0" w:lastColumn="0" w:noHBand="1" w:noVBand="1"/>
      </w:tblPr>
      <w:tblGrid>
        <w:gridCol w:w="1522"/>
        <w:gridCol w:w="6068"/>
      </w:tblGrid>
      <w:tr w:rsidR="00AA4D1F" w:rsidRPr="00AA4D1F" w14:paraId="32E6C0CF" w14:textId="77777777" w:rsidTr="00AA4D1F">
        <w:trPr>
          <w:trHeight w:val="315"/>
        </w:trPr>
        <w:tc>
          <w:tcPr>
            <w:tcW w:w="1522" w:type="dxa"/>
            <w:tcBorders>
              <w:top w:val="single" w:sz="12" w:space="0" w:color="000000"/>
              <w:left w:val="single" w:sz="6" w:space="0" w:color="FFFFFF"/>
              <w:bottom w:val="single" w:sz="12" w:space="0" w:color="000000"/>
              <w:right w:val="single" w:sz="6" w:space="0" w:color="FFFFFF"/>
            </w:tcBorders>
            <w:tcMar>
              <w:top w:w="40" w:type="dxa"/>
              <w:left w:w="40" w:type="dxa"/>
              <w:bottom w:w="40" w:type="dxa"/>
              <w:right w:w="40" w:type="dxa"/>
            </w:tcMar>
            <w:vAlign w:val="bottom"/>
          </w:tcPr>
          <w:p w14:paraId="7FF98E4A" w14:textId="77777777" w:rsidR="00AA4D1F" w:rsidRPr="00AA4D1F" w:rsidRDefault="00AA4D1F" w:rsidP="005B65BC">
            <w:pPr>
              <w:widowControl w:val="0"/>
              <w:pBdr>
                <w:top w:val="nil"/>
                <w:left w:val="nil"/>
                <w:bottom w:val="nil"/>
                <w:right w:val="nil"/>
                <w:between w:val="nil"/>
              </w:pBdr>
              <w:rPr>
                <w:rFonts w:cs="Times New Roman"/>
                <w:b/>
                <w:szCs w:val="24"/>
              </w:rPr>
            </w:pPr>
            <w:r w:rsidRPr="00AA4D1F">
              <w:rPr>
                <w:rFonts w:cs="Times New Roman"/>
                <w:b/>
                <w:szCs w:val="24"/>
              </w:rPr>
              <w:t>Completeness</w:t>
            </w:r>
          </w:p>
        </w:tc>
        <w:tc>
          <w:tcPr>
            <w:tcW w:w="6068" w:type="dxa"/>
            <w:tcBorders>
              <w:top w:val="single" w:sz="12" w:space="0" w:color="000000"/>
              <w:left w:val="single" w:sz="6" w:space="0" w:color="FFFFFF"/>
              <w:bottom w:val="single" w:sz="12" w:space="0" w:color="000000"/>
              <w:right w:val="single" w:sz="6" w:space="0" w:color="FFFFFF"/>
            </w:tcBorders>
            <w:tcMar>
              <w:top w:w="40" w:type="dxa"/>
              <w:left w:w="40" w:type="dxa"/>
              <w:bottom w:w="40" w:type="dxa"/>
              <w:right w:w="40" w:type="dxa"/>
            </w:tcMar>
            <w:vAlign w:val="bottom"/>
          </w:tcPr>
          <w:p w14:paraId="23D4B9C0" w14:textId="77777777" w:rsidR="00AA4D1F" w:rsidRPr="00AA4D1F" w:rsidRDefault="00AA4D1F" w:rsidP="005B65BC">
            <w:pPr>
              <w:widowControl w:val="0"/>
              <w:rPr>
                <w:rFonts w:cs="Times New Roman"/>
                <w:b/>
                <w:szCs w:val="24"/>
              </w:rPr>
            </w:pPr>
            <w:r w:rsidRPr="00AA4D1F">
              <w:rPr>
                <w:rFonts w:cs="Times New Roman"/>
                <w:b/>
                <w:szCs w:val="24"/>
              </w:rPr>
              <w:t xml:space="preserve">Description </w:t>
            </w:r>
          </w:p>
        </w:tc>
      </w:tr>
      <w:tr w:rsidR="00AA4D1F" w:rsidRPr="00AA4D1F" w14:paraId="1087A506" w14:textId="77777777" w:rsidTr="00AA4D1F">
        <w:trPr>
          <w:trHeight w:val="315"/>
        </w:trPr>
        <w:tc>
          <w:tcPr>
            <w:tcW w:w="1522" w:type="dxa"/>
            <w:tcBorders>
              <w:top w:val="single" w:sz="12" w:space="0" w:color="000000"/>
              <w:left w:val="single" w:sz="6" w:space="0" w:color="FFFFFF"/>
              <w:bottom w:val="single" w:sz="6" w:space="0" w:color="FFFFFF"/>
              <w:right w:val="single" w:sz="6" w:space="0" w:color="FFFFFF"/>
            </w:tcBorders>
            <w:tcMar>
              <w:top w:w="40" w:type="dxa"/>
              <w:left w:w="40" w:type="dxa"/>
              <w:bottom w:w="40" w:type="dxa"/>
              <w:right w:w="40" w:type="dxa"/>
            </w:tcMar>
          </w:tcPr>
          <w:p w14:paraId="597F98AB" w14:textId="77777777" w:rsidR="00AA4D1F" w:rsidRPr="00AA4D1F" w:rsidRDefault="00AA4D1F" w:rsidP="005B65BC">
            <w:pPr>
              <w:widowControl w:val="0"/>
              <w:pBdr>
                <w:top w:val="nil"/>
                <w:left w:val="nil"/>
                <w:bottom w:val="nil"/>
                <w:right w:val="nil"/>
                <w:between w:val="nil"/>
              </w:pBdr>
              <w:rPr>
                <w:rFonts w:cs="Times New Roman"/>
                <w:szCs w:val="24"/>
              </w:rPr>
            </w:pPr>
            <w:r w:rsidRPr="00AA4D1F">
              <w:rPr>
                <w:rFonts w:cs="Times New Roman"/>
                <w:szCs w:val="24"/>
              </w:rPr>
              <w:t>Full</w:t>
            </w:r>
          </w:p>
        </w:tc>
        <w:tc>
          <w:tcPr>
            <w:tcW w:w="6068" w:type="dxa"/>
            <w:tcBorders>
              <w:top w:val="single" w:sz="12"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0F10BF4D" w14:textId="77777777" w:rsidR="00AA4D1F" w:rsidRPr="00AA4D1F" w:rsidRDefault="00AA4D1F" w:rsidP="005B65BC">
            <w:pPr>
              <w:widowControl w:val="0"/>
              <w:rPr>
                <w:rFonts w:cs="Times New Roman"/>
                <w:szCs w:val="24"/>
              </w:rPr>
            </w:pPr>
            <w:r w:rsidRPr="00AA4D1F">
              <w:rPr>
                <w:rFonts w:cs="Times New Roman"/>
                <w:szCs w:val="24"/>
              </w:rPr>
              <w:t>Completed Enrollment Survey, and did not miss more than 3 weeks in a row of Surveys Overall</w:t>
            </w:r>
          </w:p>
        </w:tc>
      </w:tr>
      <w:tr w:rsidR="00AA4D1F" w:rsidRPr="00AA4D1F" w14:paraId="0A255238" w14:textId="77777777" w:rsidTr="00AA4D1F">
        <w:trPr>
          <w:trHeight w:val="315"/>
        </w:trPr>
        <w:tc>
          <w:tcPr>
            <w:tcW w:w="1522"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tcPr>
          <w:p w14:paraId="3ED28590" w14:textId="77777777" w:rsidR="00AA4D1F" w:rsidRPr="00AA4D1F" w:rsidRDefault="00AA4D1F" w:rsidP="005B65BC">
            <w:pPr>
              <w:widowControl w:val="0"/>
              <w:rPr>
                <w:rFonts w:cs="Times New Roman"/>
                <w:szCs w:val="24"/>
              </w:rPr>
            </w:pPr>
            <w:r w:rsidRPr="00AA4D1F">
              <w:rPr>
                <w:rFonts w:cs="Times New Roman"/>
                <w:szCs w:val="24"/>
              </w:rPr>
              <w:t>Partial</w:t>
            </w:r>
          </w:p>
        </w:tc>
        <w:tc>
          <w:tcPr>
            <w:tcW w:w="6068"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2D5AA980" w14:textId="77777777" w:rsidR="00AA4D1F" w:rsidRPr="00AA4D1F" w:rsidRDefault="00AA4D1F" w:rsidP="005B65BC">
            <w:pPr>
              <w:widowControl w:val="0"/>
              <w:rPr>
                <w:rFonts w:cs="Times New Roman"/>
                <w:szCs w:val="24"/>
              </w:rPr>
            </w:pPr>
            <w:r w:rsidRPr="00AA4D1F">
              <w:rPr>
                <w:rFonts w:cs="Times New Roman"/>
                <w:szCs w:val="24"/>
              </w:rPr>
              <w:t>Completed Enrollment Survey but missed 4 or more weekly surveys in a row</w:t>
            </w:r>
          </w:p>
        </w:tc>
      </w:tr>
      <w:tr w:rsidR="00AA4D1F" w:rsidRPr="00AA4D1F" w14:paraId="4F1FECE6" w14:textId="77777777" w:rsidTr="00AA4D1F">
        <w:trPr>
          <w:trHeight w:val="315"/>
        </w:trPr>
        <w:tc>
          <w:tcPr>
            <w:tcW w:w="1522" w:type="dxa"/>
            <w:tcBorders>
              <w:top w:val="single" w:sz="6" w:space="0" w:color="FFFFFF"/>
              <w:left w:val="single" w:sz="6" w:space="0" w:color="FFFFFF"/>
              <w:bottom w:val="single" w:sz="8" w:space="0" w:color="FFFFFF"/>
              <w:right w:val="single" w:sz="6" w:space="0" w:color="FFFFFF"/>
            </w:tcBorders>
            <w:tcMar>
              <w:top w:w="40" w:type="dxa"/>
              <w:left w:w="40" w:type="dxa"/>
              <w:bottom w:w="40" w:type="dxa"/>
              <w:right w:w="40" w:type="dxa"/>
            </w:tcMar>
          </w:tcPr>
          <w:p w14:paraId="54CFE318" w14:textId="77777777" w:rsidR="00AA4D1F" w:rsidRPr="00AA4D1F" w:rsidRDefault="00AA4D1F" w:rsidP="005B65BC">
            <w:pPr>
              <w:widowControl w:val="0"/>
              <w:rPr>
                <w:rFonts w:cs="Times New Roman"/>
                <w:szCs w:val="24"/>
              </w:rPr>
            </w:pPr>
            <w:r w:rsidRPr="00AA4D1F">
              <w:rPr>
                <w:rFonts w:cs="Times New Roman"/>
                <w:szCs w:val="24"/>
              </w:rPr>
              <w:t>Initial Only</w:t>
            </w:r>
          </w:p>
        </w:tc>
        <w:tc>
          <w:tcPr>
            <w:tcW w:w="6068" w:type="dxa"/>
            <w:tcBorders>
              <w:top w:val="single" w:sz="6"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4647E4C3" w14:textId="77777777" w:rsidR="00AA4D1F" w:rsidRPr="00AA4D1F" w:rsidRDefault="00AA4D1F" w:rsidP="005B65BC">
            <w:pPr>
              <w:widowControl w:val="0"/>
              <w:rPr>
                <w:rFonts w:cs="Times New Roman"/>
                <w:szCs w:val="24"/>
              </w:rPr>
            </w:pPr>
            <w:r w:rsidRPr="00AA4D1F">
              <w:rPr>
                <w:rFonts w:cs="Times New Roman"/>
                <w:szCs w:val="24"/>
              </w:rPr>
              <w:t>Completed Enrollment Survey but then became completely unresponsive at some point during treatment, thus, outcome unknown</w:t>
            </w:r>
          </w:p>
        </w:tc>
      </w:tr>
      <w:tr w:rsidR="00AA4D1F" w:rsidRPr="00AA4D1F" w14:paraId="292CADD4" w14:textId="77777777" w:rsidTr="00AA4D1F">
        <w:trPr>
          <w:trHeight w:val="315"/>
        </w:trPr>
        <w:tc>
          <w:tcPr>
            <w:tcW w:w="1522" w:type="dxa"/>
            <w:tcBorders>
              <w:top w:val="single" w:sz="8" w:space="0" w:color="FFFFFF"/>
              <w:left w:val="single" w:sz="6" w:space="0" w:color="FFFFFF"/>
              <w:bottom w:val="single" w:sz="12" w:space="0" w:color="000000"/>
              <w:right w:val="single" w:sz="6" w:space="0" w:color="FFFFFF"/>
            </w:tcBorders>
            <w:tcMar>
              <w:top w:w="40" w:type="dxa"/>
              <w:left w:w="40" w:type="dxa"/>
              <w:bottom w:w="40" w:type="dxa"/>
              <w:right w:w="40" w:type="dxa"/>
            </w:tcMar>
          </w:tcPr>
          <w:p w14:paraId="16D00827" w14:textId="77777777" w:rsidR="00AA4D1F" w:rsidRPr="00AA4D1F" w:rsidRDefault="00AA4D1F" w:rsidP="005B65BC">
            <w:pPr>
              <w:widowControl w:val="0"/>
              <w:rPr>
                <w:rFonts w:cs="Times New Roman"/>
                <w:szCs w:val="24"/>
              </w:rPr>
            </w:pPr>
            <w:r w:rsidRPr="00AA4D1F">
              <w:rPr>
                <w:rFonts w:cs="Times New Roman"/>
                <w:szCs w:val="24"/>
              </w:rPr>
              <w:t>None</w:t>
            </w:r>
          </w:p>
        </w:tc>
        <w:tc>
          <w:tcPr>
            <w:tcW w:w="6068" w:type="dxa"/>
            <w:tcBorders>
              <w:top w:val="single" w:sz="8" w:space="0" w:color="FFFFFF"/>
              <w:left w:val="single" w:sz="6" w:space="0" w:color="FFFFFF"/>
              <w:bottom w:val="single" w:sz="12" w:space="0" w:color="000000"/>
              <w:right w:val="single" w:sz="6" w:space="0" w:color="FFFFFF"/>
            </w:tcBorders>
            <w:tcMar>
              <w:top w:w="40" w:type="dxa"/>
              <w:left w:w="40" w:type="dxa"/>
              <w:bottom w:w="40" w:type="dxa"/>
              <w:right w:w="40" w:type="dxa"/>
            </w:tcMar>
            <w:vAlign w:val="bottom"/>
          </w:tcPr>
          <w:p w14:paraId="45D5766B" w14:textId="77777777" w:rsidR="00AA4D1F" w:rsidRPr="00AA4D1F" w:rsidRDefault="00AA4D1F" w:rsidP="005B65BC">
            <w:pPr>
              <w:widowControl w:val="0"/>
              <w:rPr>
                <w:rFonts w:cs="Times New Roman"/>
                <w:szCs w:val="24"/>
              </w:rPr>
            </w:pPr>
            <w:r w:rsidRPr="00AA4D1F">
              <w:rPr>
                <w:rFonts w:cs="Times New Roman"/>
                <w:szCs w:val="24"/>
              </w:rPr>
              <w:t>Did not complete any surveys after recruitment</w:t>
            </w:r>
          </w:p>
        </w:tc>
      </w:tr>
    </w:tbl>
    <w:p w14:paraId="32157861" w14:textId="77777777" w:rsidR="00AA4D1F" w:rsidRPr="00AA4D1F" w:rsidRDefault="00AA4D1F" w:rsidP="00AA4D1F">
      <w:pPr>
        <w:spacing w:after="160" w:line="259" w:lineRule="auto"/>
        <w:rPr>
          <w:rFonts w:eastAsia="Calibri" w:cs="Times New Roman"/>
          <w:b/>
          <w:color w:val="999999"/>
          <w:szCs w:val="24"/>
        </w:rPr>
      </w:pPr>
    </w:p>
    <w:p w14:paraId="7CB7FD52" w14:textId="77777777" w:rsidR="00AA4D1F" w:rsidRPr="00AA4D1F" w:rsidRDefault="00AA4D1F" w:rsidP="00AA4D1F">
      <w:pPr>
        <w:spacing w:after="160" w:line="259" w:lineRule="auto"/>
        <w:jc w:val="both"/>
        <w:rPr>
          <w:rFonts w:eastAsia="Calibri" w:cs="Times New Roman"/>
          <w:szCs w:val="24"/>
        </w:rPr>
      </w:pPr>
    </w:p>
    <w:p w14:paraId="397E3C0F" w14:textId="77777777" w:rsidR="00AA4D1F" w:rsidRPr="00AA4D1F" w:rsidRDefault="00AA4D1F" w:rsidP="00AA4D1F">
      <w:pPr>
        <w:spacing w:after="160" w:line="259" w:lineRule="auto"/>
        <w:jc w:val="both"/>
        <w:rPr>
          <w:rFonts w:eastAsia="Calibri" w:cs="Times New Roman"/>
          <w:szCs w:val="24"/>
        </w:rPr>
      </w:pPr>
      <w:r w:rsidRPr="00AA4D1F">
        <w:rPr>
          <w:rFonts w:eastAsia="Calibri" w:cs="Times New Roman"/>
          <w:b/>
          <w:szCs w:val="24"/>
        </w:rPr>
        <w:t>Supplementary Table 2.</w:t>
      </w:r>
      <w:r w:rsidRPr="00AA4D1F">
        <w:rPr>
          <w:rFonts w:eastAsia="Calibri" w:cs="Times New Roman"/>
          <w:szCs w:val="24"/>
        </w:rPr>
        <w:t xml:space="preserve"> Signs attributed to GS-441524 therapy during the 12-week treatment window. Participants had the option of marking multiple choices as applied. </w:t>
      </w:r>
    </w:p>
    <w:tbl>
      <w:tblPr>
        <w:tblW w:w="7590" w:type="dxa"/>
        <w:tblBorders>
          <w:top w:val="nil"/>
          <w:left w:val="nil"/>
          <w:bottom w:val="nil"/>
          <w:right w:val="nil"/>
          <w:insideH w:val="nil"/>
          <w:insideV w:val="nil"/>
        </w:tblBorders>
        <w:tblLayout w:type="fixed"/>
        <w:tblLook w:val="0600" w:firstRow="0" w:lastRow="0" w:firstColumn="0" w:lastColumn="0" w:noHBand="1" w:noVBand="1"/>
      </w:tblPr>
      <w:tblGrid>
        <w:gridCol w:w="6112"/>
        <w:gridCol w:w="1478"/>
      </w:tblGrid>
      <w:tr w:rsidR="00AA4D1F" w:rsidRPr="00AA4D1F" w14:paraId="0BE69319" w14:textId="77777777" w:rsidTr="005B65BC">
        <w:trPr>
          <w:trHeight w:val="315"/>
        </w:trPr>
        <w:tc>
          <w:tcPr>
            <w:tcW w:w="6112" w:type="dxa"/>
            <w:tcBorders>
              <w:top w:val="single" w:sz="12" w:space="0" w:color="000000"/>
              <w:left w:val="single" w:sz="6" w:space="0" w:color="FFFFFF"/>
              <w:bottom w:val="single" w:sz="12" w:space="0" w:color="000000"/>
              <w:right w:val="single" w:sz="6" w:space="0" w:color="FFFFFF"/>
            </w:tcBorders>
            <w:tcMar>
              <w:top w:w="40" w:type="dxa"/>
              <w:left w:w="40" w:type="dxa"/>
              <w:bottom w:w="40" w:type="dxa"/>
              <w:right w:w="40" w:type="dxa"/>
            </w:tcMar>
            <w:vAlign w:val="bottom"/>
          </w:tcPr>
          <w:p w14:paraId="3AD2DC4C" w14:textId="77777777" w:rsidR="00AA4D1F" w:rsidRPr="00AA4D1F" w:rsidRDefault="00AA4D1F" w:rsidP="005B65BC">
            <w:pPr>
              <w:widowControl w:val="0"/>
              <w:pBdr>
                <w:top w:val="nil"/>
                <w:left w:val="nil"/>
                <w:bottom w:val="nil"/>
                <w:right w:val="nil"/>
                <w:between w:val="nil"/>
              </w:pBdr>
              <w:rPr>
                <w:rFonts w:cs="Times New Roman"/>
                <w:b/>
                <w:szCs w:val="24"/>
              </w:rPr>
            </w:pPr>
            <w:r w:rsidRPr="00AA4D1F">
              <w:rPr>
                <w:rFonts w:cs="Times New Roman"/>
                <w:b/>
                <w:szCs w:val="24"/>
              </w:rPr>
              <w:lastRenderedPageBreak/>
              <w:t>Sign</w:t>
            </w:r>
          </w:p>
        </w:tc>
        <w:tc>
          <w:tcPr>
            <w:tcW w:w="1478" w:type="dxa"/>
            <w:tcBorders>
              <w:top w:val="single" w:sz="12" w:space="0" w:color="000000"/>
              <w:left w:val="single" w:sz="6" w:space="0" w:color="FFFFFF"/>
              <w:bottom w:val="single" w:sz="12" w:space="0" w:color="000000"/>
              <w:right w:val="single" w:sz="6" w:space="0" w:color="FFFFFF"/>
            </w:tcBorders>
            <w:tcMar>
              <w:top w:w="40" w:type="dxa"/>
              <w:left w:w="40" w:type="dxa"/>
              <w:bottom w:w="40" w:type="dxa"/>
              <w:right w:w="40" w:type="dxa"/>
            </w:tcMar>
            <w:vAlign w:val="bottom"/>
          </w:tcPr>
          <w:p w14:paraId="465A2913" w14:textId="77777777" w:rsidR="00AA4D1F" w:rsidRPr="00AA4D1F" w:rsidRDefault="00AA4D1F" w:rsidP="005B65BC">
            <w:pPr>
              <w:widowControl w:val="0"/>
              <w:rPr>
                <w:rFonts w:cs="Times New Roman"/>
                <w:b/>
                <w:szCs w:val="24"/>
              </w:rPr>
            </w:pPr>
            <w:r w:rsidRPr="00AA4D1F">
              <w:rPr>
                <w:rFonts w:cs="Times New Roman"/>
                <w:b/>
                <w:szCs w:val="24"/>
              </w:rPr>
              <w:t xml:space="preserve">N (%) </w:t>
            </w:r>
          </w:p>
        </w:tc>
      </w:tr>
      <w:tr w:rsidR="00AA4D1F" w:rsidRPr="00AA4D1F" w14:paraId="655935BD" w14:textId="77777777" w:rsidTr="005B65BC">
        <w:trPr>
          <w:trHeight w:val="315"/>
        </w:trPr>
        <w:tc>
          <w:tcPr>
            <w:tcW w:w="6112" w:type="dxa"/>
            <w:tcBorders>
              <w:top w:val="single" w:sz="12" w:space="0" w:color="000000"/>
              <w:left w:val="single" w:sz="6" w:space="0" w:color="FFFFFF"/>
              <w:bottom w:val="single" w:sz="6" w:space="0" w:color="FFFFFF"/>
              <w:right w:val="single" w:sz="6" w:space="0" w:color="FFFFFF"/>
            </w:tcBorders>
            <w:tcMar>
              <w:top w:w="40" w:type="dxa"/>
              <w:left w:w="40" w:type="dxa"/>
              <w:bottom w:w="40" w:type="dxa"/>
              <w:right w:w="40" w:type="dxa"/>
            </w:tcMar>
          </w:tcPr>
          <w:p w14:paraId="27A5EDB7" w14:textId="77777777" w:rsidR="00AA4D1F" w:rsidRPr="00AA4D1F" w:rsidRDefault="00AA4D1F" w:rsidP="005B65BC">
            <w:pPr>
              <w:widowControl w:val="0"/>
              <w:pBdr>
                <w:top w:val="nil"/>
                <w:left w:val="nil"/>
                <w:bottom w:val="nil"/>
                <w:right w:val="nil"/>
                <w:between w:val="nil"/>
              </w:pBdr>
              <w:rPr>
                <w:rFonts w:cs="Times New Roman"/>
                <w:szCs w:val="24"/>
              </w:rPr>
            </w:pPr>
            <w:r w:rsidRPr="00AA4D1F">
              <w:rPr>
                <w:rFonts w:cs="Times New Roman"/>
                <w:szCs w:val="24"/>
              </w:rPr>
              <w:t xml:space="preserve">Struggling/not being compliant during injections </w:t>
            </w:r>
          </w:p>
        </w:tc>
        <w:tc>
          <w:tcPr>
            <w:tcW w:w="1478" w:type="dxa"/>
            <w:tcBorders>
              <w:top w:val="single" w:sz="12" w:space="0" w:color="000000"/>
              <w:left w:val="single" w:sz="6" w:space="0" w:color="FFFFFF"/>
              <w:bottom w:val="single" w:sz="6" w:space="0" w:color="FFFFFF"/>
              <w:right w:val="single" w:sz="6" w:space="0" w:color="FFFFFF"/>
            </w:tcBorders>
            <w:tcMar>
              <w:top w:w="40" w:type="dxa"/>
              <w:left w:w="40" w:type="dxa"/>
              <w:bottom w:w="40" w:type="dxa"/>
              <w:right w:w="40" w:type="dxa"/>
            </w:tcMar>
            <w:vAlign w:val="bottom"/>
          </w:tcPr>
          <w:p w14:paraId="239D51D6" w14:textId="77777777" w:rsidR="00AA4D1F" w:rsidRPr="00AA4D1F" w:rsidRDefault="00AA4D1F" w:rsidP="005B65BC">
            <w:pPr>
              <w:widowControl w:val="0"/>
              <w:rPr>
                <w:rFonts w:cs="Times New Roman"/>
                <w:szCs w:val="24"/>
              </w:rPr>
            </w:pPr>
            <w:r w:rsidRPr="00AA4D1F">
              <w:rPr>
                <w:rFonts w:cs="Times New Roman"/>
                <w:szCs w:val="24"/>
              </w:rPr>
              <w:t>101/141 (71.1%)</w:t>
            </w:r>
          </w:p>
        </w:tc>
      </w:tr>
      <w:tr w:rsidR="00AA4D1F" w:rsidRPr="00AA4D1F" w14:paraId="1F51B03A" w14:textId="77777777" w:rsidTr="005B65BC">
        <w:trPr>
          <w:trHeight w:val="315"/>
        </w:trPr>
        <w:tc>
          <w:tcPr>
            <w:tcW w:w="6112"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tcPr>
          <w:p w14:paraId="2A6F79F0" w14:textId="77777777" w:rsidR="00AA4D1F" w:rsidRPr="00AA4D1F" w:rsidRDefault="00AA4D1F" w:rsidP="005B65BC">
            <w:pPr>
              <w:widowControl w:val="0"/>
              <w:rPr>
                <w:rFonts w:cs="Times New Roman"/>
                <w:szCs w:val="24"/>
              </w:rPr>
            </w:pPr>
            <w:r w:rsidRPr="00AA4D1F">
              <w:rPr>
                <w:rFonts w:cs="Times New Roman"/>
                <w:szCs w:val="24"/>
              </w:rPr>
              <w:t xml:space="preserve">Vocalization during or shortly after injection </w:t>
            </w:r>
          </w:p>
        </w:tc>
        <w:tc>
          <w:tcPr>
            <w:tcW w:w="1478"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bottom"/>
          </w:tcPr>
          <w:p w14:paraId="11A5C3B5" w14:textId="77777777" w:rsidR="00AA4D1F" w:rsidRPr="00AA4D1F" w:rsidRDefault="00AA4D1F" w:rsidP="005B65BC">
            <w:pPr>
              <w:widowControl w:val="0"/>
              <w:rPr>
                <w:rFonts w:cs="Times New Roman"/>
                <w:szCs w:val="24"/>
              </w:rPr>
            </w:pPr>
            <w:r w:rsidRPr="00AA4D1F">
              <w:rPr>
                <w:rFonts w:cs="Times New Roman"/>
                <w:szCs w:val="24"/>
              </w:rPr>
              <w:t>98/141 (69.0%)</w:t>
            </w:r>
          </w:p>
        </w:tc>
      </w:tr>
      <w:tr w:rsidR="00AA4D1F" w:rsidRPr="00AA4D1F" w14:paraId="5A3DB6F9" w14:textId="77777777" w:rsidTr="005B65BC">
        <w:trPr>
          <w:trHeight w:val="315"/>
        </w:trPr>
        <w:tc>
          <w:tcPr>
            <w:tcW w:w="6112" w:type="dxa"/>
            <w:tcBorders>
              <w:top w:val="single" w:sz="6" w:space="0" w:color="FFFFFF"/>
              <w:left w:val="single" w:sz="6" w:space="0" w:color="FFFFFF"/>
              <w:bottom w:val="single" w:sz="8" w:space="0" w:color="FFFFFF"/>
              <w:right w:val="single" w:sz="6" w:space="0" w:color="FFFFFF"/>
            </w:tcBorders>
            <w:tcMar>
              <w:top w:w="40" w:type="dxa"/>
              <w:left w:w="40" w:type="dxa"/>
              <w:bottom w:w="40" w:type="dxa"/>
              <w:right w:w="40" w:type="dxa"/>
            </w:tcMar>
          </w:tcPr>
          <w:p w14:paraId="1BE260C3" w14:textId="77777777" w:rsidR="00AA4D1F" w:rsidRPr="00AA4D1F" w:rsidRDefault="00AA4D1F" w:rsidP="005B65BC">
            <w:pPr>
              <w:widowControl w:val="0"/>
              <w:rPr>
                <w:rFonts w:cs="Times New Roman"/>
                <w:szCs w:val="24"/>
              </w:rPr>
            </w:pPr>
            <w:r w:rsidRPr="00AA4D1F">
              <w:rPr>
                <w:rFonts w:cs="Times New Roman"/>
                <w:szCs w:val="24"/>
              </w:rPr>
              <w:t>Increased activity level</w:t>
            </w:r>
          </w:p>
        </w:tc>
        <w:tc>
          <w:tcPr>
            <w:tcW w:w="1478" w:type="dxa"/>
            <w:tcBorders>
              <w:top w:val="single" w:sz="6"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56A6DB73" w14:textId="77777777" w:rsidR="00AA4D1F" w:rsidRPr="00AA4D1F" w:rsidRDefault="00AA4D1F" w:rsidP="005B65BC">
            <w:pPr>
              <w:widowControl w:val="0"/>
              <w:rPr>
                <w:rFonts w:cs="Times New Roman"/>
                <w:szCs w:val="24"/>
              </w:rPr>
            </w:pPr>
            <w:r w:rsidRPr="00AA4D1F">
              <w:rPr>
                <w:rFonts w:cs="Times New Roman"/>
                <w:szCs w:val="24"/>
              </w:rPr>
              <w:t>92/141 (64.8%)</w:t>
            </w:r>
          </w:p>
        </w:tc>
      </w:tr>
      <w:tr w:rsidR="00AA4D1F" w:rsidRPr="00AA4D1F" w14:paraId="003FA45E"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0CA15364" w14:textId="77777777" w:rsidR="00AA4D1F" w:rsidRPr="00AA4D1F" w:rsidRDefault="00AA4D1F" w:rsidP="005B65BC">
            <w:pPr>
              <w:widowControl w:val="0"/>
              <w:rPr>
                <w:rFonts w:cs="Times New Roman"/>
                <w:szCs w:val="24"/>
              </w:rPr>
            </w:pPr>
            <w:r w:rsidRPr="00AA4D1F">
              <w:rPr>
                <w:rFonts w:cs="Times New Roman"/>
                <w:szCs w:val="24"/>
              </w:rPr>
              <w:t xml:space="preserve">Injection site pain </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2408CA25" w14:textId="77777777" w:rsidR="00AA4D1F" w:rsidRPr="00AA4D1F" w:rsidRDefault="00AA4D1F" w:rsidP="005B65BC">
            <w:pPr>
              <w:widowControl w:val="0"/>
              <w:rPr>
                <w:rFonts w:cs="Times New Roman"/>
                <w:szCs w:val="24"/>
              </w:rPr>
            </w:pPr>
            <w:r w:rsidRPr="00AA4D1F">
              <w:rPr>
                <w:rFonts w:cs="Times New Roman"/>
                <w:szCs w:val="24"/>
              </w:rPr>
              <w:t>82/141 (57.8%)</w:t>
            </w:r>
          </w:p>
        </w:tc>
      </w:tr>
      <w:tr w:rsidR="00AA4D1F" w:rsidRPr="00AA4D1F" w14:paraId="4A8A6FE7"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24916319" w14:textId="77777777" w:rsidR="00AA4D1F" w:rsidRPr="00AA4D1F" w:rsidRDefault="00AA4D1F" w:rsidP="005B65BC">
            <w:pPr>
              <w:widowControl w:val="0"/>
              <w:rPr>
                <w:rFonts w:cs="Times New Roman"/>
                <w:szCs w:val="24"/>
              </w:rPr>
            </w:pPr>
            <w:r w:rsidRPr="00AA4D1F">
              <w:rPr>
                <w:rFonts w:cs="Times New Roman"/>
                <w:szCs w:val="24"/>
              </w:rPr>
              <w:t>Injection site sore or open wound</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78936B5B" w14:textId="77777777" w:rsidR="00AA4D1F" w:rsidRPr="00AA4D1F" w:rsidRDefault="00AA4D1F" w:rsidP="005B65BC">
            <w:pPr>
              <w:widowControl w:val="0"/>
              <w:rPr>
                <w:rFonts w:cs="Times New Roman"/>
                <w:szCs w:val="24"/>
              </w:rPr>
            </w:pPr>
            <w:r w:rsidRPr="00AA4D1F">
              <w:rPr>
                <w:rFonts w:cs="Times New Roman"/>
                <w:szCs w:val="24"/>
              </w:rPr>
              <w:t>78/141 (54.9%)</w:t>
            </w:r>
          </w:p>
        </w:tc>
      </w:tr>
      <w:tr w:rsidR="00AA4D1F" w:rsidRPr="00AA4D1F" w14:paraId="36633103"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3BF3D5D9" w14:textId="77777777" w:rsidR="00AA4D1F" w:rsidRPr="00AA4D1F" w:rsidRDefault="00AA4D1F" w:rsidP="005B65BC">
            <w:pPr>
              <w:widowControl w:val="0"/>
              <w:rPr>
                <w:rFonts w:cs="Times New Roman"/>
                <w:szCs w:val="24"/>
              </w:rPr>
            </w:pPr>
            <w:r w:rsidRPr="00AA4D1F">
              <w:rPr>
                <w:rFonts w:cs="Times New Roman"/>
                <w:szCs w:val="24"/>
              </w:rPr>
              <w:t>Increased appetite</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145FB303" w14:textId="77777777" w:rsidR="00AA4D1F" w:rsidRPr="00AA4D1F" w:rsidRDefault="00AA4D1F" w:rsidP="005B65BC">
            <w:pPr>
              <w:widowControl w:val="0"/>
              <w:rPr>
                <w:rFonts w:cs="Times New Roman"/>
                <w:szCs w:val="24"/>
              </w:rPr>
            </w:pPr>
            <w:r w:rsidRPr="00AA4D1F">
              <w:rPr>
                <w:rFonts w:cs="Times New Roman"/>
                <w:szCs w:val="24"/>
              </w:rPr>
              <w:t>77/141 (54.2%)</w:t>
            </w:r>
          </w:p>
        </w:tc>
      </w:tr>
      <w:tr w:rsidR="00AA4D1F" w:rsidRPr="00AA4D1F" w14:paraId="53EFD0C2"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165C1F67" w14:textId="77777777" w:rsidR="00AA4D1F" w:rsidRPr="00AA4D1F" w:rsidRDefault="00AA4D1F" w:rsidP="005B65BC">
            <w:pPr>
              <w:widowControl w:val="0"/>
              <w:rPr>
                <w:rFonts w:cs="Times New Roman"/>
                <w:szCs w:val="24"/>
              </w:rPr>
            </w:pPr>
            <w:r w:rsidRPr="00AA4D1F">
              <w:rPr>
                <w:rFonts w:cs="Times New Roman"/>
                <w:szCs w:val="24"/>
              </w:rPr>
              <w:t xml:space="preserve">Injection site bleeding </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672D67B1" w14:textId="77777777" w:rsidR="00AA4D1F" w:rsidRPr="00AA4D1F" w:rsidRDefault="00AA4D1F" w:rsidP="005B65BC">
            <w:pPr>
              <w:widowControl w:val="0"/>
              <w:rPr>
                <w:rFonts w:cs="Times New Roman"/>
                <w:szCs w:val="24"/>
              </w:rPr>
            </w:pPr>
            <w:r w:rsidRPr="00AA4D1F">
              <w:rPr>
                <w:rFonts w:cs="Times New Roman"/>
                <w:szCs w:val="24"/>
              </w:rPr>
              <w:t xml:space="preserve">49/141 (34.5%) </w:t>
            </w:r>
          </w:p>
        </w:tc>
      </w:tr>
      <w:tr w:rsidR="00AA4D1F" w:rsidRPr="00AA4D1F" w14:paraId="6697D282"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32288C0D" w14:textId="77777777" w:rsidR="00AA4D1F" w:rsidRPr="00AA4D1F" w:rsidRDefault="00AA4D1F" w:rsidP="005B65BC">
            <w:pPr>
              <w:widowControl w:val="0"/>
              <w:rPr>
                <w:rFonts w:cs="Times New Roman"/>
                <w:szCs w:val="24"/>
              </w:rPr>
            </w:pPr>
            <w:r w:rsidRPr="00AA4D1F">
              <w:rPr>
                <w:rFonts w:cs="Times New Roman"/>
                <w:szCs w:val="24"/>
              </w:rPr>
              <w:t xml:space="preserve">Injection site swelling </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5891A5F0" w14:textId="77777777" w:rsidR="00AA4D1F" w:rsidRPr="00AA4D1F" w:rsidRDefault="00AA4D1F" w:rsidP="005B65BC">
            <w:pPr>
              <w:widowControl w:val="0"/>
              <w:rPr>
                <w:rFonts w:cs="Times New Roman"/>
                <w:szCs w:val="24"/>
              </w:rPr>
            </w:pPr>
            <w:r w:rsidRPr="00AA4D1F">
              <w:rPr>
                <w:rFonts w:cs="Times New Roman"/>
                <w:szCs w:val="24"/>
              </w:rPr>
              <w:t>46/141 (32.4%)</w:t>
            </w:r>
          </w:p>
        </w:tc>
      </w:tr>
      <w:tr w:rsidR="00AA4D1F" w:rsidRPr="00AA4D1F" w14:paraId="7C136A58"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6973BBC3" w14:textId="77777777" w:rsidR="00AA4D1F" w:rsidRPr="00AA4D1F" w:rsidRDefault="00AA4D1F" w:rsidP="005B65BC">
            <w:pPr>
              <w:widowControl w:val="0"/>
              <w:rPr>
                <w:rFonts w:cs="Times New Roman"/>
                <w:szCs w:val="24"/>
              </w:rPr>
            </w:pPr>
            <w:r w:rsidRPr="00B77F4F">
              <w:rPr>
                <w:rFonts w:cs="Times New Roman"/>
                <w:szCs w:val="24"/>
              </w:rPr>
              <w:t>General behavioral changes not just immediately before and after injections (</w:t>
            </w:r>
            <w:proofErr w:type="spellStart"/>
            <w:r w:rsidRPr="00B77F4F">
              <w:rPr>
                <w:rFonts w:cs="Times New Roman"/>
                <w:szCs w:val="24"/>
              </w:rPr>
              <w:t>ie</w:t>
            </w:r>
            <w:proofErr w:type="spellEnd"/>
            <w:r w:rsidRPr="00B77F4F">
              <w:rPr>
                <w:rFonts w:cs="Times New Roman"/>
                <w:szCs w:val="24"/>
              </w:rPr>
              <w:t xml:space="preserve">. hiding, unfriendliness, apprehension around people they are normally comfortable with, </w:t>
            </w:r>
            <w:proofErr w:type="spellStart"/>
            <w:r w:rsidRPr="00B77F4F">
              <w:rPr>
                <w:rFonts w:cs="Times New Roman"/>
                <w:szCs w:val="24"/>
              </w:rPr>
              <w:t>etc</w:t>
            </w:r>
            <w:proofErr w:type="spellEnd"/>
            <w:r w:rsidRPr="00B77F4F">
              <w:rPr>
                <w:rFonts w:cs="Times New Roman"/>
                <w:szCs w:val="24"/>
              </w:rPr>
              <w:t>)</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17F70F52" w14:textId="77777777" w:rsidR="00AA4D1F" w:rsidRPr="00AA4D1F" w:rsidRDefault="00AA4D1F" w:rsidP="005B65BC">
            <w:pPr>
              <w:widowControl w:val="0"/>
              <w:rPr>
                <w:rFonts w:cs="Times New Roman"/>
                <w:szCs w:val="24"/>
              </w:rPr>
            </w:pPr>
            <w:r w:rsidRPr="00AA4D1F">
              <w:rPr>
                <w:rFonts w:cs="Times New Roman"/>
                <w:szCs w:val="24"/>
              </w:rPr>
              <w:t>28/141 (19.7%)</w:t>
            </w:r>
          </w:p>
        </w:tc>
      </w:tr>
      <w:tr w:rsidR="00AA4D1F" w:rsidRPr="00AA4D1F" w14:paraId="25C5ACC8"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0FE39C98" w14:textId="77777777" w:rsidR="00AA4D1F" w:rsidRPr="00AA4D1F" w:rsidRDefault="00AA4D1F" w:rsidP="005B65BC">
            <w:pPr>
              <w:widowControl w:val="0"/>
              <w:rPr>
                <w:rFonts w:cs="Times New Roman"/>
                <w:szCs w:val="24"/>
              </w:rPr>
            </w:pPr>
            <w:r w:rsidRPr="00AA4D1F">
              <w:rPr>
                <w:rFonts w:cs="Times New Roman"/>
                <w:szCs w:val="24"/>
              </w:rPr>
              <w:t>Diarrhea</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29FB38FB" w14:textId="77777777" w:rsidR="00AA4D1F" w:rsidRPr="00AA4D1F" w:rsidRDefault="00AA4D1F" w:rsidP="005B65BC">
            <w:pPr>
              <w:widowControl w:val="0"/>
              <w:rPr>
                <w:rFonts w:cs="Times New Roman"/>
                <w:szCs w:val="24"/>
              </w:rPr>
            </w:pPr>
            <w:r w:rsidRPr="00AA4D1F">
              <w:rPr>
                <w:rFonts w:cs="Times New Roman"/>
                <w:szCs w:val="24"/>
              </w:rPr>
              <w:t>21/141 (14.8%)</w:t>
            </w:r>
          </w:p>
        </w:tc>
      </w:tr>
      <w:tr w:rsidR="00AA4D1F" w:rsidRPr="00AA4D1F" w14:paraId="237DCA0E"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2B8245F4" w14:textId="77777777" w:rsidR="00AA4D1F" w:rsidRPr="00AA4D1F" w:rsidRDefault="00AA4D1F" w:rsidP="005B65BC">
            <w:pPr>
              <w:widowControl w:val="0"/>
              <w:rPr>
                <w:rFonts w:cs="Times New Roman"/>
                <w:szCs w:val="24"/>
              </w:rPr>
            </w:pPr>
            <w:r w:rsidRPr="00AA4D1F">
              <w:rPr>
                <w:rFonts w:cs="Times New Roman"/>
                <w:szCs w:val="24"/>
              </w:rPr>
              <w:t xml:space="preserve">Vomiting </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3FC27E8D" w14:textId="77777777" w:rsidR="00AA4D1F" w:rsidRPr="00AA4D1F" w:rsidRDefault="00AA4D1F" w:rsidP="005B65BC">
            <w:pPr>
              <w:widowControl w:val="0"/>
              <w:rPr>
                <w:rFonts w:cs="Times New Roman"/>
                <w:szCs w:val="24"/>
              </w:rPr>
            </w:pPr>
            <w:r w:rsidRPr="00AA4D1F">
              <w:rPr>
                <w:rFonts w:cs="Times New Roman"/>
                <w:szCs w:val="24"/>
              </w:rPr>
              <w:t xml:space="preserve">7/141 (4.9%) </w:t>
            </w:r>
          </w:p>
        </w:tc>
      </w:tr>
      <w:tr w:rsidR="00AA4D1F" w:rsidRPr="00AA4D1F" w14:paraId="326C193F"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2BBD44F8" w14:textId="77777777" w:rsidR="00AA4D1F" w:rsidRPr="00AA4D1F" w:rsidRDefault="00AA4D1F" w:rsidP="005B65BC">
            <w:pPr>
              <w:widowControl w:val="0"/>
              <w:rPr>
                <w:rFonts w:cs="Times New Roman"/>
                <w:szCs w:val="24"/>
              </w:rPr>
            </w:pPr>
            <w:r w:rsidRPr="00AA4D1F">
              <w:rPr>
                <w:rFonts w:cs="Times New Roman"/>
                <w:szCs w:val="24"/>
              </w:rPr>
              <w:t xml:space="preserve">Injection site infection </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170B9552" w14:textId="77777777" w:rsidR="00AA4D1F" w:rsidRPr="00AA4D1F" w:rsidRDefault="00AA4D1F" w:rsidP="005B65BC">
            <w:pPr>
              <w:widowControl w:val="0"/>
              <w:rPr>
                <w:rFonts w:cs="Times New Roman"/>
                <w:szCs w:val="24"/>
              </w:rPr>
            </w:pPr>
            <w:r w:rsidRPr="00AA4D1F">
              <w:rPr>
                <w:rFonts w:cs="Times New Roman"/>
                <w:szCs w:val="24"/>
              </w:rPr>
              <w:t xml:space="preserve">6/141 (4.2%) </w:t>
            </w:r>
          </w:p>
        </w:tc>
      </w:tr>
      <w:tr w:rsidR="00AA4D1F" w:rsidRPr="00AA4D1F" w14:paraId="0F01F57F"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78115109" w14:textId="77777777" w:rsidR="00AA4D1F" w:rsidRPr="00AA4D1F" w:rsidRDefault="00AA4D1F" w:rsidP="005B65BC">
            <w:pPr>
              <w:widowControl w:val="0"/>
              <w:rPr>
                <w:rFonts w:cs="Times New Roman"/>
                <w:szCs w:val="24"/>
              </w:rPr>
            </w:pPr>
            <w:r w:rsidRPr="00AA4D1F">
              <w:rPr>
                <w:rFonts w:cs="Times New Roman"/>
                <w:szCs w:val="24"/>
              </w:rPr>
              <w:lastRenderedPageBreak/>
              <w:t>Decreased appetite</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4B5ECD97" w14:textId="77777777" w:rsidR="00AA4D1F" w:rsidRPr="00AA4D1F" w:rsidRDefault="00AA4D1F" w:rsidP="005B65BC">
            <w:pPr>
              <w:widowControl w:val="0"/>
              <w:rPr>
                <w:rFonts w:cs="Times New Roman"/>
                <w:szCs w:val="24"/>
              </w:rPr>
            </w:pPr>
            <w:r w:rsidRPr="00AA4D1F">
              <w:rPr>
                <w:rFonts w:cs="Times New Roman"/>
                <w:szCs w:val="24"/>
              </w:rPr>
              <w:t>5/141 (3.5%)</w:t>
            </w:r>
          </w:p>
        </w:tc>
      </w:tr>
      <w:tr w:rsidR="00AA4D1F" w:rsidRPr="00AA4D1F" w14:paraId="2A7792F2"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5933C23B" w14:textId="77777777" w:rsidR="00AA4D1F" w:rsidRPr="00AA4D1F" w:rsidRDefault="00AA4D1F" w:rsidP="005B65BC">
            <w:pPr>
              <w:widowControl w:val="0"/>
              <w:rPr>
                <w:rFonts w:cs="Times New Roman"/>
                <w:szCs w:val="24"/>
              </w:rPr>
            </w:pPr>
            <w:r w:rsidRPr="00AA4D1F">
              <w:rPr>
                <w:rFonts w:cs="Times New Roman"/>
                <w:szCs w:val="24"/>
              </w:rPr>
              <w:t>Decreased activity level</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31AF3B02" w14:textId="77777777" w:rsidR="00AA4D1F" w:rsidRPr="00AA4D1F" w:rsidRDefault="00AA4D1F" w:rsidP="005B65BC">
            <w:pPr>
              <w:widowControl w:val="0"/>
              <w:rPr>
                <w:rFonts w:cs="Times New Roman"/>
                <w:szCs w:val="24"/>
              </w:rPr>
            </w:pPr>
            <w:r w:rsidRPr="00AA4D1F">
              <w:rPr>
                <w:rFonts w:cs="Times New Roman"/>
                <w:szCs w:val="24"/>
              </w:rPr>
              <w:t>3/141 (2.1%)</w:t>
            </w:r>
          </w:p>
        </w:tc>
      </w:tr>
      <w:tr w:rsidR="00AA4D1F" w:rsidRPr="00AA4D1F" w14:paraId="36707856"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484D11E0" w14:textId="77777777" w:rsidR="00AA4D1F" w:rsidRPr="00AA4D1F" w:rsidRDefault="00AA4D1F" w:rsidP="005B65BC">
            <w:pPr>
              <w:widowControl w:val="0"/>
              <w:rPr>
                <w:rFonts w:cs="Times New Roman"/>
                <w:szCs w:val="24"/>
              </w:rPr>
            </w:pPr>
            <w:r w:rsidRPr="00AA4D1F">
              <w:rPr>
                <w:rFonts w:cs="Times New Roman"/>
                <w:szCs w:val="24"/>
              </w:rPr>
              <w:t>Excessive salivation after oral administration of GS medication</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4FB38E8C" w14:textId="77777777" w:rsidR="00AA4D1F" w:rsidRPr="00AA4D1F" w:rsidRDefault="00AA4D1F" w:rsidP="005B65BC">
            <w:pPr>
              <w:widowControl w:val="0"/>
              <w:rPr>
                <w:rFonts w:cs="Times New Roman"/>
                <w:szCs w:val="24"/>
              </w:rPr>
            </w:pPr>
            <w:r w:rsidRPr="00AA4D1F">
              <w:rPr>
                <w:rFonts w:cs="Times New Roman"/>
                <w:szCs w:val="24"/>
              </w:rPr>
              <w:t>3/141 (2.1%)</w:t>
            </w:r>
          </w:p>
        </w:tc>
      </w:tr>
      <w:tr w:rsidR="00AA4D1F" w:rsidRPr="00AA4D1F" w14:paraId="67852DFF" w14:textId="77777777" w:rsidTr="005B65BC">
        <w:trPr>
          <w:trHeight w:val="315"/>
        </w:trPr>
        <w:tc>
          <w:tcPr>
            <w:tcW w:w="6112"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tcPr>
          <w:p w14:paraId="13C54F2A" w14:textId="77777777" w:rsidR="00AA4D1F" w:rsidRPr="00AA4D1F" w:rsidRDefault="00AA4D1F" w:rsidP="005B65BC">
            <w:pPr>
              <w:widowControl w:val="0"/>
              <w:rPr>
                <w:rFonts w:cs="Times New Roman"/>
                <w:szCs w:val="24"/>
              </w:rPr>
            </w:pPr>
            <w:r w:rsidRPr="00AA4D1F">
              <w:rPr>
                <w:rFonts w:cs="Times New Roman"/>
                <w:szCs w:val="24"/>
              </w:rPr>
              <w:t>Other</w:t>
            </w:r>
          </w:p>
        </w:tc>
        <w:tc>
          <w:tcPr>
            <w:tcW w:w="1478" w:type="dxa"/>
            <w:tcBorders>
              <w:top w:val="single" w:sz="8" w:space="0" w:color="FFFFFF"/>
              <w:left w:val="single" w:sz="6" w:space="0" w:color="FFFFFF"/>
              <w:bottom w:val="single" w:sz="8" w:space="0" w:color="FFFFFF"/>
              <w:right w:val="single" w:sz="6" w:space="0" w:color="FFFFFF"/>
            </w:tcBorders>
            <w:tcMar>
              <w:top w:w="40" w:type="dxa"/>
              <w:left w:w="40" w:type="dxa"/>
              <w:bottom w:w="40" w:type="dxa"/>
              <w:right w:w="40" w:type="dxa"/>
            </w:tcMar>
            <w:vAlign w:val="bottom"/>
          </w:tcPr>
          <w:p w14:paraId="137AC285" w14:textId="77777777" w:rsidR="00AA4D1F" w:rsidRPr="00AA4D1F" w:rsidRDefault="00AA4D1F" w:rsidP="005B65BC">
            <w:pPr>
              <w:widowControl w:val="0"/>
              <w:rPr>
                <w:rFonts w:cs="Times New Roman"/>
                <w:szCs w:val="24"/>
              </w:rPr>
            </w:pPr>
            <w:r w:rsidRPr="00AA4D1F">
              <w:rPr>
                <w:rFonts w:cs="Times New Roman"/>
                <w:szCs w:val="24"/>
              </w:rPr>
              <w:t>15/141 (10.9%)</w:t>
            </w:r>
          </w:p>
        </w:tc>
      </w:tr>
      <w:tr w:rsidR="00AA4D1F" w:rsidRPr="00AA4D1F" w14:paraId="673E7FD6" w14:textId="77777777" w:rsidTr="005B65BC">
        <w:trPr>
          <w:trHeight w:val="315"/>
        </w:trPr>
        <w:tc>
          <w:tcPr>
            <w:tcW w:w="6112" w:type="dxa"/>
            <w:tcBorders>
              <w:top w:val="single" w:sz="8" w:space="0" w:color="FFFFFF"/>
              <w:left w:val="single" w:sz="6" w:space="0" w:color="FFFFFF"/>
              <w:bottom w:val="single" w:sz="12" w:space="0" w:color="000000"/>
              <w:right w:val="single" w:sz="6" w:space="0" w:color="FFFFFF"/>
            </w:tcBorders>
            <w:tcMar>
              <w:top w:w="40" w:type="dxa"/>
              <w:left w:w="40" w:type="dxa"/>
              <w:bottom w:w="40" w:type="dxa"/>
              <w:right w:w="40" w:type="dxa"/>
            </w:tcMar>
          </w:tcPr>
          <w:p w14:paraId="7B428CFD" w14:textId="77777777" w:rsidR="00AA4D1F" w:rsidRPr="00AA4D1F" w:rsidRDefault="00AA4D1F" w:rsidP="005B65BC">
            <w:pPr>
              <w:widowControl w:val="0"/>
              <w:rPr>
                <w:rFonts w:cs="Times New Roman"/>
                <w:szCs w:val="24"/>
              </w:rPr>
            </w:pPr>
            <w:r w:rsidRPr="00AA4D1F">
              <w:rPr>
                <w:rFonts w:cs="Times New Roman"/>
                <w:szCs w:val="24"/>
              </w:rPr>
              <w:t xml:space="preserve">No, my cat did not experience any of these signs attributed to GS therapy </w:t>
            </w:r>
          </w:p>
        </w:tc>
        <w:tc>
          <w:tcPr>
            <w:tcW w:w="1478" w:type="dxa"/>
            <w:tcBorders>
              <w:top w:val="single" w:sz="8" w:space="0" w:color="FFFFFF"/>
              <w:left w:val="single" w:sz="6" w:space="0" w:color="FFFFFF"/>
              <w:bottom w:val="single" w:sz="12" w:space="0" w:color="000000"/>
              <w:right w:val="single" w:sz="6" w:space="0" w:color="FFFFFF"/>
            </w:tcBorders>
            <w:tcMar>
              <w:top w:w="40" w:type="dxa"/>
              <w:left w:w="40" w:type="dxa"/>
              <w:bottom w:w="40" w:type="dxa"/>
              <w:right w:w="40" w:type="dxa"/>
            </w:tcMar>
            <w:vAlign w:val="bottom"/>
          </w:tcPr>
          <w:p w14:paraId="4327C1B1" w14:textId="77777777" w:rsidR="00AA4D1F" w:rsidRPr="00AA4D1F" w:rsidRDefault="00AA4D1F" w:rsidP="005B65BC">
            <w:pPr>
              <w:widowControl w:val="0"/>
              <w:rPr>
                <w:rFonts w:cs="Times New Roman"/>
                <w:szCs w:val="24"/>
              </w:rPr>
            </w:pPr>
            <w:r w:rsidRPr="00AA4D1F">
              <w:rPr>
                <w:rFonts w:cs="Times New Roman"/>
                <w:szCs w:val="24"/>
              </w:rPr>
              <w:t>3/141 (2.1%)</w:t>
            </w:r>
          </w:p>
        </w:tc>
      </w:tr>
    </w:tbl>
    <w:p w14:paraId="63BB1B18" w14:textId="77777777" w:rsidR="00AA4D1F" w:rsidRPr="00AA4D1F" w:rsidRDefault="00AA4D1F" w:rsidP="00AA4D1F">
      <w:pPr>
        <w:rPr>
          <w:rFonts w:cs="Times New Roman"/>
          <w:szCs w:val="24"/>
        </w:rPr>
      </w:pPr>
    </w:p>
    <w:p w14:paraId="58F1AED1" w14:textId="77777777" w:rsidR="00DE23E8" w:rsidRPr="00AA4D1F" w:rsidRDefault="00DE23E8" w:rsidP="00654E8F">
      <w:pPr>
        <w:spacing w:before="240"/>
        <w:rPr>
          <w:rFonts w:cs="Times New Roman"/>
          <w:szCs w:val="24"/>
        </w:rPr>
      </w:pPr>
    </w:p>
    <w:sectPr w:rsidR="00DE23E8" w:rsidRPr="00AA4D1F"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F0E0" w14:textId="77777777" w:rsidR="008459BE" w:rsidRDefault="008459BE" w:rsidP="00117666">
      <w:pPr>
        <w:spacing w:after="0"/>
      </w:pPr>
      <w:r>
        <w:separator/>
      </w:r>
    </w:p>
  </w:endnote>
  <w:endnote w:type="continuationSeparator" w:id="0">
    <w:p w14:paraId="0275D716" w14:textId="77777777" w:rsidR="008459BE" w:rsidRDefault="008459B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7C7A2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7C7A2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7C7A2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7C7A2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03D7" w14:textId="77777777" w:rsidR="008459BE" w:rsidRDefault="008459BE" w:rsidP="00117666">
      <w:pPr>
        <w:spacing w:after="0"/>
      </w:pPr>
      <w:r>
        <w:separator/>
      </w:r>
    </w:p>
  </w:footnote>
  <w:footnote w:type="continuationSeparator" w:id="0">
    <w:p w14:paraId="1ECF0C76" w14:textId="77777777" w:rsidR="008459BE" w:rsidRDefault="008459B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7C7A2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7C7A2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515466667">
    <w:abstractNumId w:val="0"/>
  </w:num>
  <w:num w:numId="2" w16cid:durableId="470754622">
    <w:abstractNumId w:val="4"/>
  </w:num>
  <w:num w:numId="3" w16cid:durableId="552546168">
    <w:abstractNumId w:val="1"/>
  </w:num>
  <w:num w:numId="4" w16cid:durableId="1355812019">
    <w:abstractNumId w:val="5"/>
  </w:num>
  <w:num w:numId="5" w16cid:durableId="365373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25445">
    <w:abstractNumId w:val="3"/>
  </w:num>
  <w:num w:numId="7" w16cid:durableId="1868563599">
    <w:abstractNumId w:val="6"/>
  </w:num>
  <w:num w:numId="8" w16cid:durableId="1682123101">
    <w:abstractNumId w:val="6"/>
  </w:num>
  <w:num w:numId="9" w16cid:durableId="1542279306">
    <w:abstractNumId w:val="6"/>
  </w:num>
  <w:num w:numId="10" w16cid:durableId="379138296">
    <w:abstractNumId w:val="6"/>
  </w:num>
  <w:num w:numId="11" w16cid:durableId="1904870411">
    <w:abstractNumId w:val="6"/>
  </w:num>
  <w:num w:numId="12" w16cid:durableId="717557744">
    <w:abstractNumId w:val="6"/>
  </w:num>
  <w:num w:numId="13" w16cid:durableId="1036127138">
    <w:abstractNumId w:val="3"/>
  </w:num>
  <w:num w:numId="14" w16cid:durableId="1711765606">
    <w:abstractNumId w:val="2"/>
  </w:num>
  <w:num w:numId="15" w16cid:durableId="1675573422">
    <w:abstractNumId w:val="2"/>
  </w:num>
  <w:num w:numId="16" w16cid:durableId="194580197">
    <w:abstractNumId w:val="2"/>
  </w:num>
  <w:num w:numId="17" w16cid:durableId="2094203693">
    <w:abstractNumId w:val="2"/>
  </w:num>
  <w:num w:numId="18" w16cid:durableId="1792362782">
    <w:abstractNumId w:val="2"/>
  </w:num>
  <w:num w:numId="19" w16cid:durableId="163782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3E3140"/>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C7A26"/>
    <w:rsid w:val="00803D24"/>
    <w:rsid w:val="00817DD6"/>
    <w:rsid w:val="008459BE"/>
    <w:rsid w:val="00885156"/>
    <w:rsid w:val="009151AA"/>
    <w:rsid w:val="0093429D"/>
    <w:rsid w:val="00943573"/>
    <w:rsid w:val="00970F7D"/>
    <w:rsid w:val="00994A3D"/>
    <w:rsid w:val="009C2B12"/>
    <w:rsid w:val="009C70F3"/>
    <w:rsid w:val="00A174D9"/>
    <w:rsid w:val="00A569CD"/>
    <w:rsid w:val="00AA4D1F"/>
    <w:rsid w:val="00AB6715"/>
    <w:rsid w:val="00B1671E"/>
    <w:rsid w:val="00B25EB8"/>
    <w:rsid w:val="00B354E1"/>
    <w:rsid w:val="00B37F4D"/>
    <w:rsid w:val="00B914E3"/>
    <w:rsid w:val="00C52A7B"/>
    <w:rsid w:val="00C56BAF"/>
    <w:rsid w:val="00C679AA"/>
    <w:rsid w:val="00C75972"/>
    <w:rsid w:val="00CC0A3A"/>
    <w:rsid w:val="00CD066B"/>
    <w:rsid w:val="00CE4FEE"/>
    <w:rsid w:val="00DB59C3"/>
    <w:rsid w:val="00DC259A"/>
    <w:rsid w:val="00DE1C53"/>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AA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mantha.Evans@colo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Evans,Samantha</cp:lastModifiedBy>
  <cp:revision>4</cp:revision>
  <cp:lastPrinted>2013-10-03T12:51:00Z</cp:lastPrinted>
  <dcterms:created xsi:type="dcterms:W3CDTF">2023-11-08T22:20:00Z</dcterms:created>
  <dcterms:modified xsi:type="dcterms:W3CDTF">2024-01-26T22:17:00Z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