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B26" w:rsidRDefault="00A95B26" w:rsidP="00A95B26">
      <w:r>
        <w:rPr>
          <w:noProof/>
        </w:rPr>
        <w:drawing>
          <wp:anchor distT="0" distB="0" distL="114300" distR="114300" simplePos="0" relativeHeight="251659264" behindDoc="0" locked="0" layoutInCell="1" allowOverlap="1" wp14:anchorId="6D031B71" wp14:editId="2B40B5B6">
            <wp:simplePos x="0" y="0"/>
            <wp:positionH relativeFrom="margin">
              <wp:align>center</wp:align>
            </wp:positionH>
            <wp:positionV relativeFrom="paragraph">
              <wp:posOffset>70485</wp:posOffset>
            </wp:positionV>
            <wp:extent cx="6697010" cy="3181794"/>
            <wp:effectExtent l="0" t="0" r="889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upplement 7-Diff Prey Lengths (cm)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7010" cy="31817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95B26" w:rsidRDefault="00A95B26">
      <w:bookmarkStart w:id="0" w:name="_GoBack"/>
      <w:bookmarkEnd w:id="0"/>
      <w:r>
        <w:t xml:space="preserve">Supplementary Fig. S4. Histograms of estimated prey length sizes (cm) consumed by harbor and gray seals. </w:t>
      </w:r>
      <w:r w:rsidR="00E32E47">
        <w:t xml:space="preserve">Vertical red line = observed difference in mean prey length. </w:t>
      </w:r>
      <w:r>
        <w:t>Test results still significant after removing secondary prey from both harbor (</w:t>
      </w:r>
      <w:r>
        <w:rPr>
          <w:rFonts w:cstheme="minorHAnsi"/>
        </w:rPr>
        <w:t>≤</w:t>
      </w:r>
      <w:r>
        <w:t>6cm) and gray seal (12cm) prey size distributions. Prey &lt;= 12cm – majority from Sebastes (43%), gulfstream flounder (34%), only 3.8% from silver hake.</w:t>
      </w:r>
    </w:p>
    <w:sectPr w:rsidR="00A95B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B26"/>
    <w:rsid w:val="00A95B26"/>
    <w:rsid w:val="00E32E47"/>
    <w:rsid w:val="00F7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EDAE0"/>
  <w15:chartTrackingRefBased/>
  <w15:docId w15:val="{D157DF16-D32B-4189-827C-7A1F93F9E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B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NMFS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Lyssikatos</dc:creator>
  <cp:keywords/>
  <dc:description/>
  <cp:lastModifiedBy>Marjorie Lyssikatos</cp:lastModifiedBy>
  <cp:revision>2</cp:revision>
  <dcterms:created xsi:type="dcterms:W3CDTF">2023-12-08T05:08:00Z</dcterms:created>
  <dcterms:modified xsi:type="dcterms:W3CDTF">2024-01-27T05:34:00Z</dcterms:modified>
</cp:coreProperties>
</file>