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C5D9" w14:textId="0E3977DC" w:rsidR="005F0F6C" w:rsidRPr="00BF4BB2" w:rsidRDefault="00BF4BB2">
      <w:pPr>
        <w:rPr>
          <w:rFonts w:ascii="Times New Roman" w:hAnsi="Times New Roman" w:cs="Times New Roman"/>
          <w:b/>
        </w:rPr>
      </w:pPr>
      <w:r w:rsidRPr="00BF4BB2">
        <w:rPr>
          <w:rFonts w:ascii="Times New Roman" w:hAnsi="Times New Roman" w:cs="Times New Roman"/>
          <w:b/>
        </w:rPr>
        <w:t>Table S1</w:t>
      </w:r>
    </w:p>
    <w:p w14:paraId="54A48420" w14:textId="35F8900E" w:rsidR="007E7095" w:rsidRPr="00BF4BB2" w:rsidRDefault="007E7095">
      <w:pPr>
        <w:rPr>
          <w:rFonts w:ascii="Times New Roman" w:hAnsi="Times New Roman" w:cs="Times New Roman"/>
        </w:rPr>
      </w:pPr>
    </w:p>
    <w:tbl>
      <w:tblPr>
        <w:tblStyle w:val="Tabellasemplice3"/>
        <w:tblW w:w="8789" w:type="dxa"/>
        <w:jc w:val="center"/>
        <w:tblLook w:val="04A0" w:firstRow="1" w:lastRow="0" w:firstColumn="1" w:lastColumn="0" w:noHBand="0" w:noVBand="1"/>
      </w:tblPr>
      <w:tblGrid>
        <w:gridCol w:w="2268"/>
        <w:gridCol w:w="1438"/>
        <w:gridCol w:w="1256"/>
        <w:gridCol w:w="1275"/>
        <w:gridCol w:w="1276"/>
        <w:gridCol w:w="1276"/>
      </w:tblGrid>
      <w:tr w:rsidR="00AA36BF" w:rsidRPr="00BF4BB2" w14:paraId="0C17E016" w14:textId="77777777" w:rsidTr="00BF4BB2">
        <w:trPr>
          <w:cnfStyle w:val="100000000000" w:firstRow="1" w:lastRow="0" w:firstColumn="0" w:lastColumn="0" w:oddVBand="0" w:evenVBand="0" w:oddHBand="0" w:evenHBand="0" w:firstRowFirstColumn="0" w:firstRowLastColumn="0" w:lastRowFirstColumn="0" w:lastRowLastColumn="0"/>
          <w:trHeight w:val="788"/>
          <w:jc w:val="center"/>
        </w:trPr>
        <w:tc>
          <w:tcPr>
            <w:cnfStyle w:val="001000000100" w:firstRow="0" w:lastRow="0" w:firstColumn="1" w:lastColumn="0" w:oddVBand="0" w:evenVBand="0" w:oddHBand="0" w:evenHBand="0" w:firstRowFirstColumn="1" w:firstRowLastColumn="0" w:lastRowFirstColumn="0" w:lastRowLastColumn="0"/>
            <w:tcW w:w="2268" w:type="dxa"/>
            <w:tcBorders>
              <w:bottom w:val="double" w:sz="4" w:space="0" w:color="auto"/>
              <w:right w:val="double" w:sz="4" w:space="0" w:color="auto"/>
            </w:tcBorders>
            <w:vAlign w:val="center"/>
          </w:tcPr>
          <w:p w14:paraId="7EBAAD94" w14:textId="77777777" w:rsidR="00AA36BF" w:rsidRPr="00BF4BB2" w:rsidRDefault="00AA36BF" w:rsidP="00356859">
            <w:pPr>
              <w:jc w:val="center"/>
              <w:rPr>
                <w:rFonts w:ascii="Times New Roman" w:hAnsi="Times New Roman" w:cs="Times New Roman"/>
                <w:b w:val="0"/>
                <w:bCs w:val="0"/>
                <w:sz w:val="22"/>
                <w:szCs w:val="22"/>
              </w:rPr>
            </w:pPr>
          </w:p>
        </w:tc>
        <w:tc>
          <w:tcPr>
            <w:tcW w:w="1438" w:type="dxa"/>
            <w:tcBorders>
              <w:left w:val="double" w:sz="4" w:space="0" w:color="auto"/>
              <w:bottom w:val="double" w:sz="4" w:space="0" w:color="auto"/>
              <w:right w:val="double" w:sz="4" w:space="0" w:color="auto"/>
            </w:tcBorders>
            <w:shd w:val="clear" w:color="auto" w:fill="C5E0B3" w:themeFill="accent6" w:themeFillTint="66"/>
            <w:vAlign w:val="center"/>
          </w:tcPr>
          <w:p w14:paraId="5AA203AB" w14:textId="77777777" w:rsidR="00AA36BF" w:rsidRPr="00BF4BB2" w:rsidRDefault="00AA36BF"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BF4BB2">
              <w:rPr>
                <w:rFonts w:ascii="Times New Roman" w:hAnsi="Times New Roman" w:cs="Times New Roman"/>
                <w:b w:val="0"/>
                <w:bCs w:val="0"/>
                <w:caps w:val="0"/>
                <w:sz w:val="18"/>
                <w:szCs w:val="18"/>
              </w:rPr>
              <w:t>TOTAL (n/%) [n = 769]</w:t>
            </w:r>
          </w:p>
        </w:tc>
        <w:tc>
          <w:tcPr>
            <w:tcW w:w="1256" w:type="dxa"/>
            <w:tcBorders>
              <w:left w:val="double" w:sz="4" w:space="0" w:color="auto"/>
              <w:bottom w:val="double" w:sz="4" w:space="0" w:color="auto"/>
            </w:tcBorders>
            <w:vAlign w:val="center"/>
          </w:tcPr>
          <w:p w14:paraId="1473AF89" w14:textId="77777777" w:rsidR="00AA36BF" w:rsidRPr="00BF4BB2" w:rsidRDefault="00AA36BF"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BF4BB2">
              <w:rPr>
                <w:rFonts w:ascii="Times New Roman" w:hAnsi="Times New Roman" w:cs="Times New Roman"/>
                <w:b w:val="0"/>
                <w:bCs w:val="0"/>
                <w:caps w:val="0"/>
                <w:sz w:val="18"/>
                <w:szCs w:val="18"/>
              </w:rPr>
              <w:t>22/23 (n/%) [n = 305]</w:t>
            </w:r>
          </w:p>
        </w:tc>
        <w:tc>
          <w:tcPr>
            <w:tcW w:w="1275" w:type="dxa"/>
            <w:tcBorders>
              <w:bottom w:val="double" w:sz="4" w:space="0" w:color="auto"/>
            </w:tcBorders>
            <w:vAlign w:val="center"/>
          </w:tcPr>
          <w:p w14:paraId="3521CA46" w14:textId="77777777" w:rsidR="00AA36BF" w:rsidRPr="00BF4BB2" w:rsidRDefault="00AA36BF"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BF4BB2">
              <w:rPr>
                <w:rFonts w:ascii="Times New Roman" w:hAnsi="Times New Roman" w:cs="Times New Roman"/>
                <w:b w:val="0"/>
                <w:bCs w:val="0"/>
                <w:caps w:val="0"/>
                <w:sz w:val="18"/>
                <w:szCs w:val="18"/>
              </w:rPr>
              <w:t>21/22 (n/%) [n = 340]</w:t>
            </w:r>
          </w:p>
        </w:tc>
        <w:tc>
          <w:tcPr>
            <w:tcW w:w="1276" w:type="dxa"/>
            <w:tcBorders>
              <w:bottom w:val="double" w:sz="4" w:space="0" w:color="auto"/>
            </w:tcBorders>
            <w:vAlign w:val="center"/>
          </w:tcPr>
          <w:p w14:paraId="6C59BF69" w14:textId="77777777" w:rsidR="00AA36BF" w:rsidRPr="00BF4BB2" w:rsidRDefault="00AA36BF"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BF4BB2">
              <w:rPr>
                <w:rFonts w:ascii="Times New Roman" w:hAnsi="Times New Roman" w:cs="Times New Roman"/>
                <w:b w:val="0"/>
                <w:bCs w:val="0"/>
                <w:caps w:val="0"/>
                <w:sz w:val="18"/>
                <w:szCs w:val="18"/>
              </w:rPr>
              <w:t>20/21 (n/%) [n = 7]</w:t>
            </w:r>
          </w:p>
        </w:tc>
        <w:tc>
          <w:tcPr>
            <w:tcW w:w="1276" w:type="dxa"/>
            <w:tcBorders>
              <w:bottom w:val="double" w:sz="4" w:space="0" w:color="auto"/>
            </w:tcBorders>
            <w:vAlign w:val="center"/>
          </w:tcPr>
          <w:p w14:paraId="4A111322" w14:textId="77777777" w:rsidR="00AA36BF" w:rsidRPr="00BF4BB2" w:rsidRDefault="00AA36BF"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BF4BB2">
              <w:rPr>
                <w:rFonts w:ascii="Times New Roman" w:hAnsi="Times New Roman" w:cs="Times New Roman"/>
                <w:b w:val="0"/>
                <w:bCs w:val="0"/>
                <w:caps w:val="0"/>
                <w:sz w:val="18"/>
                <w:szCs w:val="18"/>
              </w:rPr>
              <w:t>19/20 (n/%) [n = 117]</w:t>
            </w:r>
          </w:p>
        </w:tc>
      </w:tr>
      <w:tr w:rsidR="00AA36BF" w:rsidRPr="00BF4BB2" w14:paraId="1F0D425A" w14:textId="77777777" w:rsidTr="00BF4BB2">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268" w:type="dxa"/>
            <w:tcBorders>
              <w:top w:val="double" w:sz="4" w:space="0" w:color="auto"/>
              <w:right w:val="double" w:sz="4" w:space="0" w:color="auto"/>
            </w:tcBorders>
            <w:vAlign w:val="center"/>
          </w:tcPr>
          <w:p w14:paraId="0AFC7294" w14:textId="77777777" w:rsidR="00AA36BF" w:rsidRPr="00BF4BB2" w:rsidRDefault="00AA36BF" w:rsidP="00356859">
            <w:pPr>
              <w:jc w:val="center"/>
              <w:rPr>
                <w:rFonts w:ascii="Times New Roman" w:hAnsi="Times New Roman" w:cs="Times New Roman"/>
                <w:b w:val="0"/>
                <w:bCs w:val="0"/>
                <w:sz w:val="18"/>
                <w:szCs w:val="18"/>
              </w:rPr>
            </w:pPr>
            <w:bookmarkStart w:id="0" w:name="_Hlk155186183"/>
            <w:r w:rsidRPr="00BF4BB2">
              <w:rPr>
                <w:rFonts w:ascii="Times New Roman" w:hAnsi="Times New Roman" w:cs="Times New Roman"/>
                <w:b w:val="0"/>
                <w:bCs w:val="0"/>
                <w:sz w:val="18"/>
                <w:szCs w:val="18"/>
              </w:rPr>
              <w:t>Total Co-infection detected</w:t>
            </w:r>
          </w:p>
        </w:tc>
        <w:tc>
          <w:tcPr>
            <w:tcW w:w="1438" w:type="dxa"/>
            <w:tcBorders>
              <w:top w:val="double" w:sz="4" w:space="0" w:color="auto"/>
              <w:left w:val="double" w:sz="4" w:space="0" w:color="auto"/>
              <w:right w:val="double" w:sz="4" w:space="0" w:color="auto"/>
            </w:tcBorders>
            <w:shd w:val="clear" w:color="auto" w:fill="C5E0B3" w:themeFill="accent6" w:themeFillTint="66"/>
            <w:vAlign w:val="center"/>
          </w:tcPr>
          <w:p w14:paraId="11C44F4A"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278 (36.1%)</w:t>
            </w:r>
          </w:p>
        </w:tc>
        <w:tc>
          <w:tcPr>
            <w:tcW w:w="1256" w:type="dxa"/>
            <w:tcBorders>
              <w:top w:val="double" w:sz="4" w:space="0" w:color="auto"/>
              <w:left w:val="double" w:sz="4" w:space="0" w:color="auto"/>
            </w:tcBorders>
            <w:vAlign w:val="center"/>
          </w:tcPr>
          <w:p w14:paraId="33229436"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100 (32.8%)</w:t>
            </w:r>
          </w:p>
        </w:tc>
        <w:tc>
          <w:tcPr>
            <w:tcW w:w="1275" w:type="dxa"/>
            <w:tcBorders>
              <w:top w:val="double" w:sz="4" w:space="0" w:color="auto"/>
            </w:tcBorders>
            <w:vAlign w:val="center"/>
          </w:tcPr>
          <w:p w14:paraId="509CBCA6"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151 (44.4%)</w:t>
            </w:r>
          </w:p>
        </w:tc>
        <w:tc>
          <w:tcPr>
            <w:tcW w:w="1276" w:type="dxa"/>
            <w:tcBorders>
              <w:top w:val="double" w:sz="4" w:space="0" w:color="auto"/>
            </w:tcBorders>
            <w:vAlign w:val="center"/>
          </w:tcPr>
          <w:p w14:paraId="27FE0EC3"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0 (0%)</w:t>
            </w:r>
          </w:p>
        </w:tc>
        <w:tc>
          <w:tcPr>
            <w:tcW w:w="1276" w:type="dxa"/>
            <w:tcBorders>
              <w:top w:val="double" w:sz="4" w:space="0" w:color="auto"/>
            </w:tcBorders>
            <w:vAlign w:val="center"/>
          </w:tcPr>
          <w:p w14:paraId="58891C3D"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27 (23.1%)</w:t>
            </w:r>
          </w:p>
        </w:tc>
      </w:tr>
      <w:tr w:rsidR="00AA36BF" w:rsidRPr="00BF4BB2" w14:paraId="40E40749" w14:textId="77777777" w:rsidTr="00BF4BB2">
        <w:trPr>
          <w:trHeight w:val="486"/>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double" w:sz="4" w:space="0" w:color="auto"/>
            </w:tcBorders>
            <w:vAlign w:val="center"/>
          </w:tcPr>
          <w:p w14:paraId="5AB749A4" w14:textId="77777777" w:rsidR="00AA36BF" w:rsidRPr="00BF4BB2" w:rsidRDefault="00AA36BF" w:rsidP="00356859">
            <w:pPr>
              <w:jc w:val="center"/>
              <w:rPr>
                <w:rFonts w:ascii="Times New Roman" w:hAnsi="Times New Roman" w:cs="Times New Roman"/>
                <w:b w:val="0"/>
                <w:bCs w:val="0"/>
                <w:sz w:val="18"/>
                <w:szCs w:val="18"/>
              </w:rPr>
            </w:pPr>
            <w:bookmarkStart w:id="1" w:name="_Hlk155186239"/>
            <w:bookmarkEnd w:id="0"/>
            <w:r w:rsidRPr="00BF4BB2">
              <w:rPr>
                <w:rFonts w:ascii="Times New Roman" w:hAnsi="Times New Roman" w:cs="Times New Roman"/>
                <w:b w:val="0"/>
                <w:bCs w:val="0"/>
                <w:sz w:val="18"/>
                <w:szCs w:val="18"/>
              </w:rPr>
              <w:t>Total ICU patients</w:t>
            </w:r>
          </w:p>
        </w:tc>
        <w:tc>
          <w:tcPr>
            <w:tcW w:w="1438" w:type="dxa"/>
            <w:tcBorders>
              <w:left w:val="double" w:sz="4" w:space="0" w:color="auto"/>
              <w:right w:val="double" w:sz="4" w:space="0" w:color="auto"/>
            </w:tcBorders>
            <w:shd w:val="clear" w:color="auto" w:fill="C5E0B3" w:themeFill="accent6" w:themeFillTint="66"/>
            <w:vAlign w:val="center"/>
          </w:tcPr>
          <w:p w14:paraId="4490F557"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189 (24.6%)</w:t>
            </w:r>
          </w:p>
        </w:tc>
        <w:tc>
          <w:tcPr>
            <w:tcW w:w="1256" w:type="dxa"/>
            <w:tcBorders>
              <w:left w:val="double" w:sz="4" w:space="0" w:color="auto"/>
            </w:tcBorders>
            <w:vAlign w:val="center"/>
          </w:tcPr>
          <w:p w14:paraId="0820DF81"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77 (25.2%)</w:t>
            </w:r>
          </w:p>
        </w:tc>
        <w:tc>
          <w:tcPr>
            <w:tcW w:w="1275" w:type="dxa"/>
            <w:vAlign w:val="center"/>
          </w:tcPr>
          <w:p w14:paraId="702B039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86 (25.3%)</w:t>
            </w:r>
          </w:p>
        </w:tc>
        <w:tc>
          <w:tcPr>
            <w:tcW w:w="1276" w:type="dxa"/>
            <w:vAlign w:val="center"/>
          </w:tcPr>
          <w:p w14:paraId="3D36C799"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 (14.2%)</w:t>
            </w:r>
          </w:p>
        </w:tc>
        <w:tc>
          <w:tcPr>
            <w:tcW w:w="1276" w:type="dxa"/>
            <w:vAlign w:val="center"/>
          </w:tcPr>
          <w:p w14:paraId="79941484"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25 (21.3%)</w:t>
            </w:r>
          </w:p>
        </w:tc>
      </w:tr>
      <w:tr w:rsidR="00AA36BF" w:rsidRPr="00BF4BB2" w14:paraId="72E06D45" w14:textId="77777777" w:rsidTr="00BF4BB2">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double" w:sz="4" w:space="0" w:color="auto"/>
            </w:tcBorders>
            <w:vAlign w:val="center"/>
          </w:tcPr>
          <w:p w14:paraId="06F854C3" w14:textId="77777777" w:rsidR="00AA36BF" w:rsidRPr="00BF4BB2" w:rsidRDefault="00AA36BF" w:rsidP="00356859">
            <w:pPr>
              <w:jc w:val="center"/>
              <w:rPr>
                <w:rFonts w:ascii="Times New Roman" w:hAnsi="Times New Roman" w:cs="Times New Roman"/>
                <w:b w:val="0"/>
                <w:bCs w:val="0"/>
                <w:sz w:val="18"/>
                <w:szCs w:val="18"/>
                <w:lang w:val="en-US"/>
              </w:rPr>
            </w:pPr>
            <w:r w:rsidRPr="00BF4BB2">
              <w:rPr>
                <w:rFonts w:ascii="Times New Roman" w:hAnsi="Times New Roman" w:cs="Times New Roman"/>
                <w:b w:val="0"/>
                <w:bCs w:val="0"/>
                <w:sz w:val="18"/>
                <w:szCs w:val="18"/>
                <w:lang w:val="en-US"/>
              </w:rPr>
              <w:t>ICU-patients with RSV alone</w:t>
            </w:r>
          </w:p>
        </w:tc>
        <w:tc>
          <w:tcPr>
            <w:tcW w:w="1438" w:type="dxa"/>
            <w:tcBorders>
              <w:left w:val="double" w:sz="4" w:space="0" w:color="auto"/>
              <w:right w:val="double" w:sz="4" w:space="0" w:color="auto"/>
            </w:tcBorders>
            <w:shd w:val="clear" w:color="auto" w:fill="C5E0B3" w:themeFill="accent6" w:themeFillTint="66"/>
            <w:vAlign w:val="center"/>
          </w:tcPr>
          <w:p w14:paraId="7FD87D20"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111 (14.4%)</w:t>
            </w:r>
          </w:p>
        </w:tc>
        <w:tc>
          <w:tcPr>
            <w:tcW w:w="1256" w:type="dxa"/>
            <w:tcBorders>
              <w:left w:val="double" w:sz="4" w:space="0" w:color="auto"/>
            </w:tcBorders>
            <w:vAlign w:val="center"/>
          </w:tcPr>
          <w:p w14:paraId="2F452EFC"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51 (16.7%)</w:t>
            </w:r>
          </w:p>
        </w:tc>
        <w:tc>
          <w:tcPr>
            <w:tcW w:w="1275" w:type="dxa"/>
            <w:vAlign w:val="center"/>
          </w:tcPr>
          <w:p w14:paraId="0C2844DA"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43 (12.6%)</w:t>
            </w:r>
          </w:p>
        </w:tc>
        <w:tc>
          <w:tcPr>
            <w:tcW w:w="1276" w:type="dxa"/>
            <w:vAlign w:val="center"/>
          </w:tcPr>
          <w:p w14:paraId="7FE627B9"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 (14.2%)</w:t>
            </w:r>
          </w:p>
        </w:tc>
        <w:tc>
          <w:tcPr>
            <w:tcW w:w="1276" w:type="dxa"/>
            <w:vAlign w:val="center"/>
          </w:tcPr>
          <w:p w14:paraId="3B8EDDD1"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16 (13.7%)</w:t>
            </w:r>
          </w:p>
        </w:tc>
      </w:tr>
      <w:tr w:rsidR="00AA36BF" w:rsidRPr="00BF4BB2" w14:paraId="0F0F3711" w14:textId="77777777" w:rsidTr="00BF4BB2">
        <w:trPr>
          <w:trHeight w:val="576"/>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double" w:sz="4" w:space="0" w:color="auto"/>
            </w:tcBorders>
            <w:vAlign w:val="center"/>
          </w:tcPr>
          <w:p w14:paraId="26CCE1CF" w14:textId="77777777" w:rsidR="00AA36BF" w:rsidRPr="00BF4BB2" w:rsidRDefault="00AA36BF" w:rsidP="00356859">
            <w:pPr>
              <w:jc w:val="center"/>
              <w:rPr>
                <w:rFonts w:ascii="Times New Roman" w:hAnsi="Times New Roman" w:cs="Times New Roman"/>
                <w:b w:val="0"/>
                <w:bCs w:val="0"/>
                <w:sz w:val="18"/>
                <w:szCs w:val="18"/>
                <w:lang w:val="en-US"/>
              </w:rPr>
            </w:pPr>
            <w:r w:rsidRPr="00BF4BB2">
              <w:rPr>
                <w:rFonts w:ascii="Times New Roman" w:hAnsi="Times New Roman" w:cs="Times New Roman"/>
                <w:b w:val="0"/>
                <w:bCs w:val="0"/>
                <w:sz w:val="18"/>
                <w:szCs w:val="18"/>
                <w:lang w:val="en-US"/>
              </w:rPr>
              <w:t>ICU patients with RSV + Co-infection</w:t>
            </w:r>
          </w:p>
        </w:tc>
        <w:tc>
          <w:tcPr>
            <w:tcW w:w="1438" w:type="dxa"/>
            <w:tcBorders>
              <w:left w:val="double" w:sz="4" w:space="0" w:color="auto"/>
              <w:right w:val="double" w:sz="4" w:space="0" w:color="auto"/>
            </w:tcBorders>
            <w:shd w:val="clear" w:color="auto" w:fill="C5E0B3" w:themeFill="accent6" w:themeFillTint="66"/>
            <w:vAlign w:val="center"/>
          </w:tcPr>
          <w:p w14:paraId="1CFF91DA"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78 (10.1%)</w:t>
            </w:r>
          </w:p>
        </w:tc>
        <w:tc>
          <w:tcPr>
            <w:tcW w:w="1256" w:type="dxa"/>
            <w:tcBorders>
              <w:left w:val="double" w:sz="4" w:space="0" w:color="auto"/>
            </w:tcBorders>
            <w:vAlign w:val="center"/>
          </w:tcPr>
          <w:p w14:paraId="138B0EE5"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26 (8.5%)</w:t>
            </w:r>
          </w:p>
        </w:tc>
        <w:tc>
          <w:tcPr>
            <w:tcW w:w="1275" w:type="dxa"/>
            <w:vAlign w:val="center"/>
          </w:tcPr>
          <w:p w14:paraId="58C73198"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43 (12.6%)</w:t>
            </w:r>
          </w:p>
        </w:tc>
        <w:tc>
          <w:tcPr>
            <w:tcW w:w="1276" w:type="dxa"/>
            <w:vAlign w:val="center"/>
          </w:tcPr>
          <w:p w14:paraId="6CC67C38"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0 (0%)</w:t>
            </w:r>
          </w:p>
        </w:tc>
        <w:tc>
          <w:tcPr>
            <w:tcW w:w="1276" w:type="dxa"/>
            <w:vAlign w:val="center"/>
          </w:tcPr>
          <w:p w14:paraId="15984EA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4BB2">
              <w:rPr>
                <w:rFonts w:ascii="Times New Roman" w:hAnsi="Times New Roman" w:cs="Times New Roman"/>
                <w:sz w:val="20"/>
                <w:szCs w:val="20"/>
              </w:rPr>
              <w:t>9 (7.7%)</w:t>
            </w:r>
          </w:p>
        </w:tc>
      </w:tr>
    </w:tbl>
    <w:bookmarkEnd w:id="1"/>
    <w:p w14:paraId="5D807306" w14:textId="578F66AD" w:rsidR="00AA36BF" w:rsidRPr="00BF4BB2" w:rsidRDefault="00AA36BF">
      <w:pPr>
        <w:rPr>
          <w:rFonts w:ascii="Times New Roman" w:hAnsi="Times New Roman" w:cs="Times New Roman"/>
        </w:rPr>
      </w:pPr>
      <w:r w:rsidRPr="00BF4BB2">
        <w:rPr>
          <w:rFonts w:ascii="Times New Roman" w:hAnsi="Times New Roman" w:cs="Times New Roman"/>
          <w:noProof/>
          <w:lang w:val="it-IT" w:eastAsia="it-IT"/>
        </w:rPr>
        <mc:AlternateContent>
          <mc:Choice Requires="wps">
            <w:drawing>
              <wp:anchor distT="0" distB="0" distL="114300" distR="114300" simplePos="0" relativeHeight="251666432" behindDoc="0" locked="0" layoutInCell="1" allowOverlap="1" wp14:anchorId="6DEFFCC6" wp14:editId="5B23DFB0">
                <wp:simplePos x="0" y="0"/>
                <wp:positionH relativeFrom="column">
                  <wp:posOffset>476412</wp:posOffset>
                </wp:positionH>
                <wp:positionV relativeFrom="paragraph">
                  <wp:posOffset>155588</wp:posOffset>
                </wp:positionV>
                <wp:extent cx="5484333" cy="1045831"/>
                <wp:effectExtent l="0" t="0" r="2540" b="0"/>
                <wp:wrapNone/>
                <wp:docPr id="403848071" name="Casella di testo 1"/>
                <wp:cNvGraphicFramePr/>
                <a:graphic xmlns:a="http://schemas.openxmlformats.org/drawingml/2006/main">
                  <a:graphicData uri="http://schemas.microsoft.com/office/word/2010/wordprocessingShape">
                    <wps:wsp>
                      <wps:cNvSpPr txBox="1"/>
                      <wps:spPr>
                        <a:xfrm>
                          <a:off x="0" y="0"/>
                          <a:ext cx="5484333" cy="1045831"/>
                        </a:xfrm>
                        <a:prstGeom prst="rect">
                          <a:avLst/>
                        </a:prstGeom>
                        <a:solidFill>
                          <a:prstClr val="white"/>
                        </a:solidFill>
                        <a:ln>
                          <a:noFill/>
                        </a:ln>
                      </wps:spPr>
                      <wps:txbx>
                        <w:txbxContent>
                          <w:p w14:paraId="2FEC88C3" w14:textId="6114965B" w:rsidR="0058264F" w:rsidRPr="00BF4BB2" w:rsidRDefault="0058264F" w:rsidP="00BF4BB2">
                            <w:pPr>
                              <w:pStyle w:val="Didascalia"/>
                              <w:rPr>
                                <w:rFonts w:ascii="Times New Roman" w:hAnsi="Times New Roman" w:cs="Times New Roman"/>
                                <w:color w:val="auto"/>
                                <w:sz w:val="22"/>
                                <w:szCs w:val="22"/>
                              </w:rPr>
                            </w:pPr>
                            <w:r w:rsidRPr="00BF4BB2">
                              <w:rPr>
                                <w:rFonts w:ascii="Times New Roman" w:hAnsi="Times New Roman" w:cs="Times New Roman"/>
                                <w:b/>
                                <w:bCs/>
                                <w:color w:val="auto"/>
                                <w:sz w:val="22"/>
                                <w:szCs w:val="22"/>
                              </w:rPr>
                              <w:t>Table S1</w:t>
                            </w:r>
                            <w:r w:rsidRPr="00BF4BB2">
                              <w:rPr>
                                <w:rFonts w:ascii="Times New Roman" w:hAnsi="Times New Roman" w:cs="Times New Roman"/>
                                <w:color w:val="auto"/>
                                <w:sz w:val="22"/>
                                <w:szCs w:val="22"/>
                              </w:rPr>
                              <w:t>. Distribution of total viral co-infections and cases admitted to ICU (total, with and without coinfections) according to Seasons (from 2019-2020 to 2022-2023); the column “TOTAL” sums the cases from 2019-2020 to 2022-2023 seasons. Cases are described as an absolute number and percentage over the total cases [n] registered in the given season. ICU = Intensive Care Unit.</w:t>
                            </w:r>
                          </w:p>
                          <w:p w14:paraId="04BB0316" w14:textId="77777777" w:rsidR="0058264F" w:rsidRPr="00BF4BB2" w:rsidRDefault="0058264F" w:rsidP="00BF4BB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DEFFCC6" id="_x0000_t202" coordsize="21600,21600" o:spt="202" path="m0,0l0,21600,21600,21600,21600,0xe">
                <v:stroke joinstyle="miter"/>
                <v:path gradientshapeok="t" o:connecttype="rect"/>
              </v:shapetype>
              <v:shape id="Casella di testo 1" o:spid="_x0000_s1026" type="#_x0000_t202" style="position:absolute;margin-left:37.5pt;margin-top:12.25pt;width:431.85pt;height:8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" stroked="f">
                <v:textbox inset="0,0,0,0">
                  <w:txbxContent>
                    <w:p w14:paraId="2FEC88C3" w14:textId="6114965B" w:rsidR="0058264F" w:rsidRPr="00BF4BB2" w:rsidRDefault="0058264F" w:rsidP="00BF4BB2">
                      <w:pPr>
                        <w:pStyle w:val="Didascalia"/>
                        <w:rPr>
                          <w:rFonts w:ascii="Times New Roman" w:hAnsi="Times New Roman" w:cs="Times New Roman"/>
                          <w:color w:val="auto"/>
                          <w:sz w:val="22"/>
                          <w:szCs w:val="22"/>
                        </w:rPr>
                      </w:pPr>
                      <w:r w:rsidRPr="00BF4BB2">
                        <w:rPr>
                          <w:rFonts w:ascii="Times New Roman" w:hAnsi="Times New Roman" w:cs="Times New Roman"/>
                          <w:b/>
                          <w:bCs/>
                          <w:color w:val="auto"/>
                          <w:sz w:val="22"/>
                          <w:szCs w:val="22"/>
                        </w:rPr>
                        <w:t>Table S1</w:t>
                      </w:r>
                      <w:r w:rsidRPr="00BF4BB2">
                        <w:rPr>
                          <w:rFonts w:ascii="Times New Roman" w:hAnsi="Times New Roman" w:cs="Times New Roman"/>
                          <w:color w:val="auto"/>
                          <w:sz w:val="22"/>
                          <w:szCs w:val="22"/>
                        </w:rPr>
                        <w:t>. Distribution of total viral co-infections and cases admitted to ICU (total, with and without coinfections) according to Seasons (from 2019-2020 to 2022-2023); the column “TOTAL” sums the cases from 2019-2020 to 2022-2023 seasons. Cases are described as an absolute number and percentage over the total cases [n] registered in the given season. ICU = Intensive Care Unit.</w:t>
                      </w:r>
                    </w:p>
                    <w:p w14:paraId="04BB0316" w14:textId="77777777" w:rsidR="0058264F" w:rsidRPr="00BF4BB2" w:rsidRDefault="0058264F" w:rsidP="00BF4BB2"/>
                  </w:txbxContent>
                </v:textbox>
              </v:shape>
            </w:pict>
          </mc:Fallback>
        </mc:AlternateContent>
      </w:r>
    </w:p>
    <w:p w14:paraId="2556EF82" w14:textId="53149470" w:rsidR="00AA36BF" w:rsidRPr="00BF4BB2" w:rsidRDefault="00AA36BF">
      <w:pPr>
        <w:rPr>
          <w:rFonts w:ascii="Times New Roman" w:hAnsi="Times New Roman" w:cs="Times New Roman"/>
        </w:rPr>
      </w:pPr>
    </w:p>
    <w:p w14:paraId="72638BA6" w14:textId="77777777" w:rsidR="00AA36BF" w:rsidRPr="00BF4BB2" w:rsidRDefault="00AA36BF">
      <w:pPr>
        <w:rPr>
          <w:rFonts w:ascii="Times New Roman" w:hAnsi="Times New Roman" w:cs="Times New Roman"/>
        </w:rPr>
      </w:pPr>
    </w:p>
    <w:p w14:paraId="62C270E8" w14:textId="05CE2FDF" w:rsidR="00AA36BF" w:rsidRPr="00BF4BB2" w:rsidRDefault="00BF4BB2">
      <w:pPr>
        <w:rPr>
          <w:rFonts w:ascii="Times New Roman" w:hAnsi="Times New Roman" w:cs="Times New Roman"/>
        </w:rPr>
      </w:pPr>
      <w:r w:rsidRPr="00BF4BB2">
        <w:rPr>
          <w:rFonts w:ascii="Times New Roman" w:hAnsi="Times New Roman" w:cs="Times New Roman"/>
        </w:rPr>
        <w:br w:type="page"/>
      </w:r>
    </w:p>
    <w:p w14:paraId="0938ECBC" w14:textId="4DB7DBC2" w:rsidR="00BF4BB2" w:rsidRPr="00BF4BB2" w:rsidRDefault="00BF4BB2">
      <w:pPr>
        <w:rPr>
          <w:rFonts w:ascii="Times New Roman" w:hAnsi="Times New Roman" w:cs="Times New Roman"/>
          <w:b/>
        </w:rPr>
      </w:pPr>
      <w:r w:rsidRPr="00BF4BB2">
        <w:rPr>
          <w:rFonts w:ascii="Times New Roman" w:hAnsi="Times New Roman" w:cs="Times New Roman"/>
          <w:b/>
        </w:rPr>
        <w:lastRenderedPageBreak/>
        <w:t>Table S2</w:t>
      </w:r>
    </w:p>
    <w:tbl>
      <w:tblPr>
        <w:tblStyle w:val="Tabellasemplice3"/>
        <w:tblW w:w="0" w:type="auto"/>
        <w:jc w:val="center"/>
        <w:tblLook w:val="04A0" w:firstRow="1" w:lastRow="0" w:firstColumn="1" w:lastColumn="0" w:noHBand="0" w:noVBand="1"/>
      </w:tblPr>
      <w:tblGrid>
        <w:gridCol w:w="1505"/>
        <w:gridCol w:w="1297"/>
        <w:gridCol w:w="1373"/>
        <w:gridCol w:w="1377"/>
        <w:gridCol w:w="1440"/>
        <w:gridCol w:w="1655"/>
      </w:tblGrid>
      <w:tr w:rsidR="00AA36BF" w:rsidRPr="00BF4BB2" w14:paraId="3825D5B4" w14:textId="77777777" w:rsidTr="00BF4BB2">
        <w:trPr>
          <w:cnfStyle w:val="100000000000" w:firstRow="1" w:lastRow="0" w:firstColumn="0" w:lastColumn="0" w:oddVBand="0" w:evenVBand="0" w:oddHBand="0" w:evenHBand="0" w:firstRowFirstColumn="0" w:firstRowLastColumn="0" w:lastRowFirstColumn="0" w:lastRowLastColumn="0"/>
          <w:trHeight w:val="709"/>
          <w:jc w:val="center"/>
        </w:trPr>
        <w:tc>
          <w:tcPr>
            <w:cnfStyle w:val="001000000100" w:firstRow="0" w:lastRow="0" w:firstColumn="1" w:lastColumn="0" w:oddVBand="0" w:evenVBand="0" w:oddHBand="0" w:evenHBand="0" w:firstRowFirstColumn="1" w:firstRowLastColumn="0" w:lastRowFirstColumn="0" w:lastRowLastColumn="0"/>
            <w:tcW w:w="1505" w:type="dxa"/>
            <w:tcBorders>
              <w:bottom w:val="double" w:sz="4" w:space="0" w:color="auto"/>
              <w:right w:val="double" w:sz="4" w:space="0" w:color="auto"/>
            </w:tcBorders>
            <w:vAlign w:val="center"/>
          </w:tcPr>
          <w:p w14:paraId="4A6251D7" w14:textId="77777777" w:rsidR="00AA36BF" w:rsidRPr="00BF4BB2" w:rsidRDefault="00AA36BF" w:rsidP="00356859">
            <w:pPr>
              <w:jc w:val="center"/>
              <w:rPr>
                <w:rFonts w:ascii="Times New Roman" w:hAnsi="Times New Roman" w:cs="Times New Roman"/>
                <w:b w:val="0"/>
                <w:bCs w:val="0"/>
                <w:sz w:val="22"/>
                <w:szCs w:val="22"/>
              </w:rPr>
            </w:pPr>
          </w:p>
        </w:tc>
        <w:tc>
          <w:tcPr>
            <w:tcW w:w="1297" w:type="dxa"/>
            <w:tcBorders>
              <w:left w:val="double" w:sz="4" w:space="0" w:color="auto"/>
              <w:bottom w:val="double" w:sz="4" w:space="0" w:color="auto"/>
            </w:tcBorders>
            <w:vAlign w:val="center"/>
          </w:tcPr>
          <w:p w14:paraId="38EA8251" w14:textId="286ACA27" w:rsidR="00AA36BF" w:rsidRPr="00BF4BB2" w:rsidRDefault="00F129E1"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2"/>
              </w:rPr>
            </w:pPr>
            <w:r w:rsidRPr="00BF4BB2">
              <w:rPr>
                <w:rFonts w:ascii="Times New Roman" w:hAnsi="Times New Roman" w:cs="Times New Roman"/>
                <w:b w:val="0"/>
                <w:bCs w:val="0"/>
                <w:caps w:val="0"/>
                <w:sz w:val="22"/>
                <w:szCs w:val="22"/>
              </w:rPr>
              <w:t>&lt;28w</w:t>
            </w:r>
          </w:p>
        </w:tc>
        <w:tc>
          <w:tcPr>
            <w:tcW w:w="1373" w:type="dxa"/>
            <w:tcBorders>
              <w:bottom w:val="double" w:sz="4" w:space="0" w:color="auto"/>
            </w:tcBorders>
            <w:vAlign w:val="center"/>
          </w:tcPr>
          <w:p w14:paraId="179635C5" w14:textId="7EA354E3" w:rsidR="00AA36BF" w:rsidRPr="00BF4BB2" w:rsidRDefault="00F129E1"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BF4BB2">
              <w:rPr>
                <w:rFonts w:ascii="Times New Roman" w:hAnsi="Times New Roman" w:cs="Times New Roman"/>
                <w:b w:val="0"/>
                <w:bCs w:val="0"/>
                <w:caps w:val="0"/>
                <w:color w:val="000000"/>
                <w:sz w:val="22"/>
                <w:szCs w:val="22"/>
              </w:rPr>
              <w:t>28 -31w+6d</w:t>
            </w:r>
          </w:p>
        </w:tc>
        <w:tc>
          <w:tcPr>
            <w:tcW w:w="1377" w:type="dxa"/>
            <w:tcBorders>
              <w:bottom w:val="double" w:sz="4" w:space="0" w:color="auto"/>
            </w:tcBorders>
            <w:vAlign w:val="center"/>
          </w:tcPr>
          <w:p w14:paraId="78997FF5" w14:textId="271662CC" w:rsidR="00AA36BF" w:rsidRPr="00BF4BB2" w:rsidRDefault="00F129E1"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BF4BB2">
              <w:rPr>
                <w:rFonts w:ascii="Times New Roman" w:hAnsi="Times New Roman" w:cs="Times New Roman"/>
                <w:b w:val="0"/>
                <w:bCs w:val="0"/>
                <w:caps w:val="0"/>
                <w:color w:val="000000"/>
                <w:sz w:val="22"/>
                <w:szCs w:val="22"/>
              </w:rPr>
              <w:t>32 -33w+6d</w:t>
            </w:r>
          </w:p>
        </w:tc>
        <w:tc>
          <w:tcPr>
            <w:tcW w:w="1440" w:type="dxa"/>
            <w:tcBorders>
              <w:bottom w:val="double" w:sz="4" w:space="0" w:color="auto"/>
              <w:right w:val="double" w:sz="4" w:space="0" w:color="auto"/>
            </w:tcBorders>
            <w:vAlign w:val="center"/>
          </w:tcPr>
          <w:p w14:paraId="33CEDF74" w14:textId="3BBB6704" w:rsidR="00AA36BF" w:rsidRPr="00BF4BB2" w:rsidRDefault="00F129E1"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BF4BB2">
              <w:rPr>
                <w:rFonts w:ascii="Times New Roman" w:hAnsi="Times New Roman" w:cs="Times New Roman"/>
                <w:b w:val="0"/>
                <w:bCs w:val="0"/>
                <w:caps w:val="0"/>
                <w:color w:val="000000"/>
                <w:sz w:val="22"/>
                <w:szCs w:val="22"/>
              </w:rPr>
              <w:t>34-36w+6d</w:t>
            </w:r>
          </w:p>
        </w:tc>
        <w:tc>
          <w:tcPr>
            <w:tcW w:w="1655" w:type="dxa"/>
            <w:tcBorders>
              <w:left w:val="double" w:sz="4" w:space="0" w:color="auto"/>
              <w:bottom w:val="double" w:sz="4" w:space="0" w:color="auto"/>
            </w:tcBorders>
            <w:shd w:val="clear" w:color="auto" w:fill="C5E0B3" w:themeFill="accent6" w:themeFillTint="66"/>
            <w:vAlign w:val="center"/>
          </w:tcPr>
          <w:p w14:paraId="225F2BF3" w14:textId="77777777" w:rsidR="00AA36BF" w:rsidRPr="00BF4BB2" w:rsidRDefault="00AA36BF" w:rsidP="003568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BF4BB2">
              <w:rPr>
                <w:rFonts w:ascii="Times New Roman" w:hAnsi="Times New Roman" w:cs="Times New Roman"/>
                <w:b w:val="0"/>
                <w:bCs w:val="0"/>
                <w:color w:val="000000"/>
                <w:sz w:val="22"/>
                <w:szCs w:val="22"/>
              </w:rPr>
              <w:t>Total preterm</w:t>
            </w:r>
          </w:p>
        </w:tc>
      </w:tr>
      <w:tr w:rsidR="00AA36BF" w:rsidRPr="00BF4BB2" w14:paraId="1164894C" w14:textId="77777777" w:rsidTr="00BF4BB2">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1505" w:type="dxa"/>
            <w:tcBorders>
              <w:top w:val="double" w:sz="4" w:space="0" w:color="auto"/>
              <w:right w:val="double" w:sz="4" w:space="0" w:color="auto"/>
            </w:tcBorders>
            <w:vAlign w:val="center"/>
          </w:tcPr>
          <w:p w14:paraId="1E843EB9"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22/23 (n/%) [n = 305]</w:t>
            </w:r>
          </w:p>
        </w:tc>
        <w:tc>
          <w:tcPr>
            <w:tcW w:w="1297" w:type="dxa"/>
            <w:tcBorders>
              <w:top w:val="double" w:sz="4" w:space="0" w:color="auto"/>
              <w:left w:val="double" w:sz="4" w:space="0" w:color="auto"/>
            </w:tcBorders>
            <w:vAlign w:val="center"/>
          </w:tcPr>
          <w:p w14:paraId="5266FB00"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7 </w:t>
            </w:r>
          </w:p>
          <w:p w14:paraId="53B806E4"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(2.3%)</w:t>
            </w:r>
          </w:p>
        </w:tc>
        <w:tc>
          <w:tcPr>
            <w:tcW w:w="1373" w:type="dxa"/>
            <w:tcBorders>
              <w:top w:val="double" w:sz="4" w:space="0" w:color="auto"/>
            </w:tcBorders>
            <w:vAlign w:val="center"/>
          </w:tcPr>
          <w:p w14:paraId="55ED3524"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6 </w:t>
            </w:r>
          </w:p>
          <w:p w14:paraId="081C7787"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w:t>
            </w:r>
          </w:p>
        </w:tc>
        <w:tc>
          <w:tcPr>
            <w:tcW w:w="1377" w:type="dxa"/>
            <w:tcBorders>
              <w:top w:val="double" w:sz="4" w:space="0" w:color="auto"/>
            </w:tcBorders>
            <w:vAlign w:val="center"/>
          </w:tcPr>
          <w:p w14:paraId="47223A87"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 </w:t>
            </w:r>
          </w:p>
          <w:p w14:paraId="072C27A3"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(0.3%)</w:t>
            </w:r>
          </w:p>
        </w:tc>
        <w:tc>
          <w:tcPr>
            <w:tcW w:w="1440" w:type="dxa"/>
            <w:tcBorders>
              <w:top w:val="double" w:sz="4" w:space="0" w:color="auto"/>
              <w:right w:val="double" w:sz="4" w:space="0" w:color="auto"/>
            </w:tcBorders>
            <w:vAlign w:val="center"/>
          </w:tcPr>
          <w:p w14:paraId="43F93C7B"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25 </w:t>
            </w:r>
          </w:p>
          <w:p w14:paraId="4B92113A"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(8.2%)</w:t>
            </w:r>
          </w:p>
        </w:tc>
        <w:tc>
          <w:tcPr>
            <w:tcW w:w="1655" w:type="dxa"/>
            <w:tcBorders>
              <w:top w:val="double" w:sz="4" w:space="0" w:color="auto"/>
              <w:left w:val="double" w:sz="4" w:space="0" w:color="auto"/>
            </w:tcBorders>
            <w:shd w:val="clear" w:color="auto" w:fill="C5E0B3" w:themeFill="accent6" w:themeFillTint="66"/>
            <w:vAlign w:val="center"/>
          </w:tcPr>
          <w:p w14:paraId="3DABB00B"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39 </w:t>
            </w:r>
          </w:p>
          <w:p w14:paraId="7E8D64E4"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(12.8%)</w:t>
            </w:r>
          </w:p>
        </w:tc>
      </w:tr>
      <w:tr w:rsidR="00AA36BF" w:rsidRPr="00BF4BB2" w14:paraId="4669E9D3" w14:textId="77777777" w:rsidTr="00BF4BB2">
        <w:trPr>
          <w:trHeight w:val="711"/>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58F3F5DC"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21/22 (n/%)     [n = 340]</w:t>
            </w:r>
          </w:p>
        </w:tc>
        <w:tc>
          <w:tcPr>
            <w:tcW w:w="1297" w:type="dxa"/>
            <w:tcBorders>
              <w:left w:val="double" w:sz="4" w:space="0" w:color="auto"/>
            </w:tcBorders>
            <w:vAlign w:val="center"/>
          </w:tcPr>
          <w:p w14:paraId="222BDD2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8 </w:t>
            </w:r>
          </w:p>
          <w:p w14:paraId="07D0E28A"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(2.3%)</w:t>
            </w:r>
          </w:p>
        </w:tc>
        <w:tc>
          <w:tcPr>
            <w:tcW w:w="1373" w:type="dxa"/>
            <w:vAlign w:val="center"/>
          </w:tcPr>
          <w:p w14:paraId="738F7DC7"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10 </w:t>
            </w:r>
          </w:p>
          <w:p w14:paraId="62D93D97"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(2.9%)</w:t>
            </w:r>
          </w:p>
        </w:tc>
        <w:tc>
          <w:tcPr>
            <w:tcW w:w="1377" w:type="dxa"/>
            <w:vAlign w:val="center"/>
          </w:tcPr>
          <w:p w14:paraId="431CC543"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12 </w:t>
            </w:r>
          </w:p>
          <w:p w14:paraId="41C87B66"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(3.5%)</w:t>
            </w:r>
          </w:p>
        </w:tc>
        <w:tc>
          <w:tcPr>
            <w:tcW w:w="1440" w:type="dxa"/>
            <w:tcBorders>
              <w:right w:val="double" w:sz="4" w:space="0" w:color="auto"/>
            </w:tcBorders>
            <w:vAlign w:val="center"/>
          </w:tcPr>
          <w:p w14:paraId="4332CCA6"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24 </w:t>
            </w:r>
          </w:p>
          <w:p w14:paraId="0EE1D8EB"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(7%)</w:t>
            </w:r>
          </w:p>
        </w:tc>
        <w:tc>
          <w:tcPr>
            <w:tcW w:w="1655" w:type="dxa"/>
            <w:tcBorders>
              <w:left w:val="double" w:sz="4" w:space="0" w:color="auto"/>
            </w:tcBorders>
            <w:shd w:val="clear" w:color="auto" w:fill="C5E0B3" w:themeFill="accent6" w:themeFillTint="66"/>
            <w:vAlign w:val="center"/>
          </w:tcPr>
          <w:p w14:paraId="094B7655"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54 </w:t>
            </w:r>
          </w:p>
          <w:p w14:paraId="2F074EE1"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(15.9%)</w:t>
            </w:r>
          </w:p>
        </w:tc>
      </w:tr>
      <w:tr w:rsidR="00AA36BF" w:rsidRPr="00BF4BB2" w14:paraId="5ED93FF3" w14:textId="77777777" w:rsidTr="00BF4BB2">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683C268E"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20/21 (n/%)     [n = 7]</w:t>
            </w:r>
          </w:p>
        </w:tc>
        <w:tc>
          <w:tcPr>
            <w:tcW w:w="1297" w:type="dxa"/>
            <w:tcBorders>
              <w:left w:val="double" w:sz="4" w:space="0" w:color="auto"/>
            </w:tcBorders>
            <w:vAlign w:val="center"/>
          </w:tcPr>
          <w:p w14:paraId="66A00CCB"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0 </w:t>
            </w:r>
          </w:p>
          <w:p w14:paraId="2517C793"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w:t>
            </w:r>
          </w:p>
        </w:tc>
        <w:tc>
          <w:tcPr>
            <w:tcW w:w="1373" w:type="dxa"/>
            <w:vAlign w:val="center"/>
          </w:tcPr>
          <w:p w14:paraId="1C502799"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 </w:t>
            </w:r>
          </w:p>
          <w:p w14:paraId="4A0BE037"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(14.3%)</w:t>
            </w:r>
          </w:p>
        </w:tc>
        <w:tc>
          <w:tcPr>
            <w:tcW w:w="1377" w:type="dxa"/>
            <w:vAlign w:val="center"/>
          </w:tcPr>
          <w:p w14:paraId="44A56A55"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0 </w:t>
            </w:r>
          </w:p>
          <w:p w14:paraId="18ED1C3E"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w:t>
            </w:r>
          </w:p>
        </w:tc>
        <w:tc>
          <w:tcPr>
            <w:tcW w:w="1440" w:type="dxa"/>
            <w:tcBorders>
              <w:right w:val="double" w:sz="4" w:space="0" w:color="auto"/>
            </w:tcBorders>
            <w:vAlign w:val="center"/>
          </w:tcPr>
          <w:p w14:paraId="5B613670"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0 </w:t>
            </w:r>
          </w:p>
          <w:p w14:paraId="3B723E34"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w:t>
            </w:r>
          </w:p>
        </w:tc>
        <w:tc>
          <w:tcPr>
            <w:tcW w:w="1655" w:type="dxa"/>
            <w:tcBorders>
              <w:left w:val="double" w:sz="4" w:space="0" w:color="auto"/>
            </w:tcBorders>
            <w:shd w:val="clear" w:color="auto" w:fill="C5E0B3" w:themeFill="accent6" w:themeFillTint="66"/>
            <w:vAlign w:val="center"/>
          </w:tcPr>
          <w:p w14:paraId="28C930BA"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 </w:t>
            </w:r>
          </w:p>
          <w:p w14:paraId="495F0F42"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(14.3%)</w:t>
            </w:r>
          </w:p>
        </w:tc>
      </w:tr>
      <w:tr w:rsidR="00AA36BF" w:rsidRPr="00BF4BB2" w14:paraId="7E1B7649" w14:textId="77777777" w:rsidTr="00BF4BB2">
        <w:trPr>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4F773979"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19/20 (n/%)     [n = 117]</w:t>
            </w:r>
          </w:p>
        </w:tc>
        <w:tc>
          <w:tcPr>
            <w:tcW w:w="1297" w:type="dxa"/>
            <w:tcBorders>
              <w:left w:val="double" w:sz="4" w:space="0" w:color="auto"/>
            </w:tcBorders>
            <w:vAlign w:val="center"/>
          </w:tcPr>
          <w:p w14:paraId="2BE4BBE3"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 </w:t>
            </w:r>
          </w:p>
          <w:p w14:paraId="0108C0A5"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(1.7%)</w:t>
            </w:r>
          </w:p>
        </w:tc>
        <w:tc>
          <w:tcPr>
            <w:tcW w:w="1373" w:type="dxa"/>
            <w:vAlign w:val="center"/>
          </w:tcPr>
          <w:p w14:paraId="47D330DD"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4 </w:t>
            </w:r>
          </w:p>
          <w:p w14:paraId="0C066D99"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(3.4%)</w:t>
            </w:r>
          </w:p>
        </w:tc>
        <w:tc>
          <w:tcPr>
            <w:tcW w:w="1377" w:type="dxa"/>
            <w:vAlign w:val="center"/>
          </w:tcPr>
          <w:p w14:paraId="6DA74751"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5 </w:t>
            </w:r>
          </w:p>
          <w:p w14:paraId="4567EC3B"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(4.3%)</w:t>
            </w:r>
          </w:p>
        </w:tc>
        <w:tc>
          <w:tcPr>
            <w:tcW w:w="1440" w:type="dxa"/>
            <w:tcBorders>
              <w:right w:val="double" w:sz="4" w:space="0" w:color="auto"/>
            </w:tcBorders>
            <w:vAlign w:val="center"/>
          </w:tcPr>
          <w:p w14:paraId="3EDE6C60"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7 </w:t>
            </w:r>
          </w:p>
          <w:p w14:paraId="75F069A7"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(5.9%)</w:t>
            </w:r>
          </w:p>
        </w:tc>
        <w:tc>
          <w:tcPr>
            <w:tcW w:w="1655" w:type="dxa"/>
            <w:tcBorders>
              <w:left w:val="double" w:sz="4" w:space="0" w:color="auto"/>
            </w:tcBorders>
            <w:shd w:val="clear" w:color="auto" w:fill="C5E0B3" w:themeFill="accent6" w:themeFillTint="66"/>
            <w:vAlign w:val="center"/>
          </w:tcPr>
          <w:p w14:paraId="23121026"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18 </w:t>
            </w:r>
          </w:p>
          <w:p w14:paraId="07024B9D"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(15.4%)</w:t>
            </w:r>
          </w:p>
        </w:tc>
      </w:tr>
      <w:tr w:rsidR="00AA36BF" w:rsidRPr="00BF4BB2" w14:paraId="61008E00" w14:textId="77777777" w:rsidTr="00BF4BB2">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7E95CDD2"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18/19 (n/%)     [n = 119]</w:t>
            </w:r>
          </w:p>
        </w:tc>
        <w:tc>
          <w:tcPr>
            <w:tcW w:w="1297" w:type="dxa"/>
            <w:tcBorders>
              <w:left w:val="double" w:sz="4" w:space="0" w:color="auto"/>
            </w:tcBorders>
            <w:vAlign w:val="center"/>
          </w:tcPr>
          <w:p w14:paraId="5405E281"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 </w:t>
            </w:r>
          </w:p>
          <w:p w14:paraId="00CF5A64"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(0.8%)</w:t>
            </w:r>
          </w:p>
        </w:tc>
        <w:tc>
          <w:tcPr>
            <w:tcW w:w="1373" w:type="dxa"/>
            <w:vAlign w:val="center"/>
          </w:tcPr>
          <w:p w14:paraId="2DCB548B"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 </w:t>
            </w:r>
          </w:p>
          <w:p w14:paraId="6C772466"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(1.6%)</w:t>
            </w:r>
          </w:p>
        </w:tc>
        <w:tc>
          <w:tcPr>
            <w:tcW w:w="1377" w:type="dxa"/>
            <w:vAlign w:val="center"/>
          </w:tcPr>
          <w:p w14:paraId="31BC4279"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4 </w:t>
            </w:r>
          </w:p>
          <w:p w14:paraId="1E4EDCEC"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(3.2%)</w:t>
            </w:r>
          </w:p>
        </w:tc>
        <w:tc>
          <w:tcPr>
            <w:tcW w:w="1440" w:type="dxa"/>
            <w:tcBorders>
              <w:right w:val="double" w:sz="4" w:space="0" w:color="auto"/>
            </w:tcBorders>
            <w:vAlign w:val="center"/>
          </w:tcPr>
          <w:p w14:paraId="527E0FB7"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13 </w:t>
            </w:r>
          </w:p>
          <w:p w14:paraId="492DD258"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(10.9%)</w:t>
            </w:r>
          </w:p>
        </w:tc>
        <w:tc>
          <w:tcPr>
            <w:tcW w:w="1655" w:type="dxa"/>
            <w:tcBorders>
              <w:left w:val="double" w:sz="4" w:space="0" w:color="auto"/>
            </w:tcBorders>
            <w:shd w:val="clear" w:color="auto" w:fill="C5E0B3" w:themeFill="accent6" w:themeFillTint="66"/>
            <w:vAlign w:val="center"/>
          </w:tcPr>
          <w:p w14:paraId="7DEB6543"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20 </w:t>
            </w:r>
          </w:p>
          <w:p w14:paraId="4A98BFBD"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(16.8%)</w:t>
            </w:r>
          </w:p>
        </w:tc>
      </w:tr>
      <w:tr w:rsidR="00AA36BF" w:rsidRPr="00BF4BB2" w14:paraId="244B9C4E" w14:textId="77777777" w:rsidTr="00BF4BB2">
        <w:trPr>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6D5475C2"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17/18 (n/%)     [n = 115]</w:t>
            </w:r>
          </w:p>
        </w:tc>
        <w:tc>
          <w:tcPr>
            <w:tcW w:w="1297" w:type="dxa"/>
            <w:tcBorders>
              <w:left w:val="double" w:sz="4" w:space="0" w:color="auto"/>
            </w:tcBorders>
            <w:vAlign w:val="center"/>
          </w:tcPr>
          <w:p w14:paraId="5C36728F"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3  </w:t>
            </w:r>
          </w:p>
          <w:p w14:paraId="2FD5C51F"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(2.6%)</w:t>
            </w:r>
          </w:p>
        </w:tc>
        <w:tc>
          <w:tcPr>
            <w:tcW w:w="1373" w:type="dxa"/>
            <w:vAlign w:val="center"/>
          </w:tcPr>
          <w:p w14:paraId="36F802B1"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0 </w:t>
            </w:r>
          </w:p>
          <w:p w14:paraId="638BFE44"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w:t>
            </w:r>
          </w:p>
        </w:tc>
        <w:tc>
          <w:tcPr>
            <w:tcW w:w="1377" w:type="dxa"/>
            <w:vAlign w:val="center"/>
          </w:tcPr>
          <w:p w14:paraId="0CA658DD"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3  </w:t>
            </w:r>
          </w:p>
          <w:p w14:paraId="64ABC7D0"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(2.6%)</w:t>
            </w:r>
          </w:p>
        </w:tc>
        <w:tc>
          <w:tcPr>
            <w:tcW w:w="1440" w:type="dxa"/>
            <w:tcBorders>
              <w:right w:val="double" w:sz="4" w:space="0" w:color="auto"/>
            </w:tcBorders>
            <w:vAlign w:val="center"/>
          </w:tcPr>
          <w:p w14:paraId="64855CBC" w14:textId="77777777" w:rsidR="00F129E1"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14 </w:t>
            </w:r>
          </w:p>
          <w:p w14:paraId="2D1D52E0" w14:textId="5A478B0F"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(12.1%)</w:t>
            </w:r>
          </w:p>
        </w:tc>
        <w:tc>
          <w:tcPr>
            <w:tcW w:w="1655" w:type="dxa"/>
            <w:tcBorders>
              <w:left w:val="double" w:sz="4" w:space="0" w:color="auto"/>
            </w:tcBorders>
            <w:shd w:val="clear" w:color="auto" w:fill="C5E0B3" w:themeFill="accent6" w:themeFillTint="66"/>
            <w:vAlign w:val="center"/>
          </w:tcPr>
          <w:p w14:paraId="59012CD2"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20  </w:t>
            </w:r>
          </w:p>
          <w:p w14:paraId="1D215F24"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(17.4%)</w:t>
            </w:r>
          </w:p>
        </w:tc>
      </w:tr>
      <w:tr w:rsidR="00AA36BF" w:rsidRPr="00BF4BB2" w14:paraId="3496A230" w14:textId="77777777" w:rsidTr="00BF4BB2">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03B826F8"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16/17 (n/%)     [n = 106]</w:t>
            </w:r>
          </w:p>
        </w:tc>
        <w:tc>
          <w:tcPr>
            <w:tcW w:w="1297" w:type="dxa"/>
            <w:tcBorders>
              <w:left w:val="double" w:sz="4" w:space="0" w:color="auto"/>
            </w:tcBorders>
            <w:vAlign w:val="center"/>
          </w:tcPr>
          <w:p w14:paraId="4ABBA846"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4 </w:t>
            </w:r>
          </w:p>
          <w:p w14:paraId="1C335767"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(3.8%)</w:t>
            </w:r>
          </w:p>
        </w:tc>
        <w:tc>
          <w:tcPr>
            <w:tcW w:w="1373" w:type="dxa"/>
            <w:vAlign w:val="center"/>
          </w:tcPr>
          <w:p w14:paraId="78ACD950"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6 </w:t>
            </w:r>
          </w:p>
          <w:p w14:paraId="1A19DC88"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(5.7%)</w:t>
            </w:r>
          </w:p>
        </w:tc>
        <w:tc>
          <w:tcPr>
            <w:tcW w:w="1377" w:type="dxa"/>
            <w:vAlign w:val="center"/>
          </w:tcPr>
          <w:p w14:paraId="6D2E1AA8"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4 </w:t>
            </w:r>
          </w:p>
          <w:p w14:paraId="1CC1834A"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(3.8%)</w:t>
            </w:r>
          </w:p>
        </w:tc>
        <w:tc>
          <w:tcPr>
            <w:tcW w:w="1440" w:type="dxa"/>
            <w:tcBorders>
              <w:right w:val="double" w:sz="4" w:space="0" w:color="auto"/>
            </w:tcBorders>
            <w:vAlign w:val="center"/>
          </w:tcPr>
          <w:p w14:paraId="46D662DB"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10 </w:t>
            </w:r>
          </w:p>
          <w:p w14:paraId="299B5582"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(9.4%)</w:t>
            </w:r>
          </w:p>
        </w:tc>
        <w:tc>
          <w:tcPr>
            <w:tcW w:w="1655" w:type="dxa"/>
            <w:tcBorders>
              <w:left w:val="double" w:sz="4" w:space="0" w:color="auto"/>
            </w:tcBorders>
            <w:shd w:val="clear" w:color="auto" w:fill="C5E0B3" w:themeFill="accent6" w:themeFillTint="66"/>
            <w:vAlign w:val="center"/>
          </w:tcPr>
          <w:p w14:paraId="472C2FEC"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24 </w:t>
            </w:r>
          </w:p>
          <w:p w14:paraId="05374675"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(22.6%)</w:t>
            </w:r>
          </w:p>
        </w:tc>
      </w:tr>
      <w:tr w:rsidR="00AA36BF" w:rsidRPr="00BF4BB2" w14:paraId="1A0595AC" w14:textId="77777777" w:rsidTr="00BF4BB2">
        <w:trPr>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11D8E14F"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15/16 (n/%) [n = 87]</w:t>
            </w:r>
          </w:p>
        </w:tc>
        <w:tc>
          <w:tcPr>
            <w:tcW w:w="1297" w:type="dxa"/>
            <w:tcBorders>
              <w:left w:val="double" w:sz="4" w:space="0" w:color="auto"/>
            </w:tcBorders>
            <w:vAlign w:val="center"/>
          </w:tcPr>
          <w:p w14:paraId="48484D52"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 </w:t>
            </w:r>
          </w:p>
          <w:p w14:paraId="18CB106B"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(1.1%)</w:t>
            </w:r>
          </w:p>
        </w:tc>
        <w:tc>
          <w:tcPr>
            <w:tcW w:w="1373" w:type="dxa"/>
            <w:vAlign w:val="center"/>
          </w:tcPr>
          <w:p w14:paraId="4141933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 </w:t>
            </w:r>
          </w:p>
          <w:p w14:paraId="0BBA781C"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(2.3%)</w:t>
            </w:r>
          </w:p>
        </w:tc>
        <w:tc>
          <w:tcPr>
            <w:tcW w:w="1377" w:type="dxa"/>
            <w:vAlign w:val="center"/>
          </w:tcPr>
          <w:p w14:paraId="0B9E81B3"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6 </w:t>
            </w:r>
          </w:p>
          <w:p w14:paraId="5AE253F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(6.9%)</w:t>
            </w:r>
          </w:p>
        </w:tc>
        <w:tc>
          <w:tcPr>
            <w:tcW w:w="1440" w:type="dxa"/>
            <w:tcBorders>
              <w:right w:val="double" w:sz="4" w:space="0" w:color="auto"/>
            </w:tcBorders>
            <w:vAlign w:val="center"/>
          </w:tcPr>
          <w:p w14:paraId="37BD184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9 </w:t>
            </w:r>
          </w:p>
          <w:p w14:paraId="6C5A4ACA"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(10.3%)</w:t>
            </w:r>
          </w:p>
        </w:tc>
        <w:tc>
          <w:tcPr>
            <w:tcW w:w="1655" w:type="dxa"/>
            <w:tcBorders>
              <w:left w:val="double" w:sz="4" w:space="0" w:color="auto"/>
            </w:tcBorders>
            <w:shd w:val="clear" w:color="auto" w:fill="C5E0B3" w:themeFill="accent6" w:themeFillTint="66"/>
            <w:vAlign w:val="center"/>
          </w:tcPr>
          <w:p w14:paraId="5EF41B25"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18 </w:t>
            </w:r>
          </w:p>
          <w:p w14:paraId="55C24CB5"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(20.7%)</w:t>
            </w:r>
          </w:p>
        </w:tc>
      </w:tr>
      <w:tr w:rsidR="00AA36BF" w:rsidRPr="00BF4BB2" w14:paraId="316C05E8" w14:textId="77777777" w:rsidTr="00BF4BB2">
        <w:trPr>
          <w:cnfStyle w:val="000000100000" w:firstRow="0" w:lastRow="0" w:firstColumn="0" w:lastColumn="0" w:oddVBand="0" w:evenVBand="0" w:oddHBand="1" w:evenHBand="0" w:firstRowFirstColumn="0" w:firstRowLastColumn="0" w:lastRowFirstColumn="0" w:lastRowLastColumn="0"/>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634B99C2" w14:textId="77777777" w:rsidR="00AA36BF" w:rsidRPr="00BF4BB2" w:rsidRDefault="00AA36BF" w:rsidP="00356859">
            <w:pPr>
              <w:spacing w:line="276" w:lineRule="auto"/>
              <w:jc w:val="center"/>
              <w:rPr>
                <w:rFonts w:ascii="Times New Roman" w:hAnsi="Times New Roman" w:cs="Times New Roman"/>
                <w:b w:val="0"/>
                <w:bCs w:val="0"/>
                <w:sz w:val="22"/>
                <w:szCs w:val="22"/>
              </w:rPr>
            </w:pPr>
            <w:r w:rsidRPr="00BF4BB2">
              <w:rPr>
                <w:rFonts w:ascii="Times New Roman" w:hAnsi="Times New Roman" w:cs="Times New Roman"/>
                <w:b w:val="0"/>
                <w:bCs w:val="0"/>
                <w:caps w:val="0"/>
                <w:sz w:val="22"/>
                <w:szCs w:val="22"/>
              </w:rPr>
              <w:t>14/15 (n/%)    [n =66]</w:t>
            </w:r>
          </w:p>
        </w:tc>
        <w:tc>
          <w:tcPr>
            <w:tcW w:w="1297" w:type="dxa"/>
            <w:tcBorders>
              <w:left w:val="double" w:sz="4" w:space="0" w:color="auto"/>
            </w:tcBorders>
            <w:vAlign w:val="center"/>
          </w:tcPr>
          <w:p w14:paraId="6656A31B"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0 </w:t>
            </w:r>
          </w:p>
          <w:p w14:paraId="24BC37C6"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w:t>
            </w:r>
          </w:p>
        </w:tc>
        <w:tc>
          <w:tcPr>
            <w:tcW w:w="1373" w:type="dxa"/>
            <w:vAlign w:val="center"/>
          </w:tcPr>
          <w:p w14:paraId="63B46F29"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 </w:t>
            </w:r>
          </w:p>
          <w:p w14:paraId="1C1955A2"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(3%)</w:t>
            </w:r>
          </w:p>
        </w:tc>
        <w:tc>
          <w:tcPr>
            <w:tcW w:w="1377" w:type="dxa"/>
            <w:vAlign w:val="center"/>
          </w:tcPr>
          <w:p w14:paraId="12F6E43F"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0 </w:t>
            </w:r>
          </w:p>
          <w:p w14:paraId="249F07CD"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(0%)</w:t>
            </w:r>
          </w:p>
        </w:tc>
        <w:tc>
          <w:tcPr>
            <w:tcW w:w="1440" w:type="dxa"/>
            <w:tcBorders>
              <w:right w:val="double" w:sz="4" w:space="0" w:color="auto"/>
            </w:tcBorders>
            <w:vAlign w:val="center"/>
          </w:tcPr>
          <w:p w14:paraId="03FAFED2" w14:textId="05AEA9D3"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5</w:t>
            </w:r>
          </w:p>
          <w:p w14:paraId="4F0E6C5F"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(7.6%)</w:t>
            </w:r>
          </w:p>
        </w:tc>
        <w:tc>
          <w:tcPr>
            <w:tcW w:w="1655" w:type="dxa"/>
            <w:tcBorders>
              <w:left w:val="double" w:sz="4" w:space="0" w:color="auto"/>
            </w:tcBorders>
            <w:shd w:val="clear" w:color="auto" w:fill="C5E0B3" w:themeFill="accent6" w:themeFillTint="66"/>
            <w:vAlign w:val="center"/>
          </w:tcPr>
          <w:p w14:paraId="7760472F"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7 </w:t>
            </w:r>
          </w:p>
          <w:p w14:paraId="4397CBA3" w14:textId="77777777" w:rsidR="00AA36BF" w:rsidRPr="00BF4BB2" w:rsidRDefault="00AA36BF" w:rsidP="003568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(10.6%)</w:t>
            </w:r>
          </w:p>
        </w:tc>
      </w:tr>
      <w:tr w:rsidR="00AA36BF" w:rsidRPr="00BF4BB2" w14:paraId="667124A1" w14:textId="77777777" w:rsidTr="00BF4BB2">
        <w:trPr>
          <w:trHeight w:val="707"/>
          <w:jc w:val="center"/>
        </w:trPr>
        <w:tc>
          <w:tcPr>
            <w:cnfStyle w:val="001000000000" w:firstRow="0" w:lastRow="0" w:firstColumn="1" w:lastColumn="0" w:oddVBand="0" w:evenVBand="0" w:oddHBand="0" w:evenHBand="0" w:firstRowFirstColumn="0" w:firstRowLastColumn="0" w:lastRowFirstColumn="0" w:lastRowLastColumn="0"/>
            <w:tcW w:w="1505" w:type="dxa"/>
            <w:tcBorders>
              <w:right w:val="double" w:sz="4" w:space="0" w:color="auto"/>
            </w:tcBorders>
            <w:vAlign w:val="center"/>
          </w:tcPr>
          <w:p w14:paraId="182B5905" w14:textId="77777777" w:rsidR="00AA36BF" w:rsidRPr="00BF4BB2" w:rsidRDefault="00AA36BF" w:rsidP="00356859">
            <w:pPr>
              <w:spacing w:line="276" w:lineRule="auto"/>
              <w:jc w:val="center"/>
              <w:rPr>
                <w:rFonts w:ascii="Times New Roman" w:hAnsi="Times New Roman" w:cs="Times New Roman"/>
                <w:b w:val="0"/>
                <w:bCs w:val="0"/>
                <w:caps w:val="0"/>
                <w:sz w:val="20"/>
                <w:szCs w:val="20"/>
              </w:rPr>
            </w:pPr>
            <w:r w:rsidRPr="00BF4BB2">
              <w:rPr>
                <w:rFonts w:ascii="Times New Roman" w:hAnsi="Times New Roman" w:cs="Times New Roman"/>
                <w:b w:val="0"/>
                <w:bCs w:val="0"/>
                <w:caps w:val="0"/>
                <w:sz w:val="20"/>
                <w:szCs w:val="20"/>
              </w:rPr>
              <w:t xml:space="preserve">TOTAL(n/%)   </w:t>
            </w:r>
          </w:p>
          <w:p w14:paraId="5202D015" w14:textId="77777777" w:rsidR="00AA36BF" w:rsidRPr="00BF4BB2" w:rsidRDefault="00AA36BF" w:rsidP="00356859">
            <w:pPr>
              <w:spacing w:line="276" w:lineRule="auto"/>
              <w:jc w:val="center"/>
              <w:rPr>
                <w:rFonts w:ascii="Times New Roman" w:hAnsi="Times New Roman" w:cs="Times New Roman"/>
                <w:b w:val="0"/>
                <w:bCs w:val="0"/>
                <w:sz w:val="20"/>
                <w:szCs w:val="20"/>
              </w:rPr>
            </w:pPr>
            <w:r w:rsidRPr="00BF4BB2">
              <w:rPr>
                <w:rFonts w:ascii="Times New Roman" w:hAnsi="Times New Roman" w:cs="Times New Roman"/>
                <w:b w:val="0"/>
                <w:bCs w:val="0"/>
                <w:caps w:val="0"/>
                <w:sz w:val="20"/>
                <w:szCs w:val="20"/>
              </w:rPr>
              <w:t xml:space="preserve"> [n =1262]</w:t>
            </w:r>
          </w:p>
        </w:tc>
        <w:tc>
          <w:tcPr>
            <w:tcW w:w="1297" w:type="dxa"/>
            <w:tcBorders>
              <w:left w:val="double" w:sz="4" w:space="0" w:color="auto"/>
            </w:tcBorders>
            <w:vAlign w:val="center"/>
          </w:tcPr>
          <w:p w14:paraId="46A3E015" w14:textId="77777777" w:rsidR="00F129E1"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26</w:t>
            </w:r>
          </w:p>
          <w:p w14:paraId="50F5A978" w14:textId="18B5C24C"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(12.9%)</w:t>
            </w:r>
          </w:p>
        </w:tc>
        <w:tc>
          <w:tcPr>
            <w:tcW w:w="1373" w:type="dxa"/>
            <w:vAlign w:val="center"/>
          </w:tcPr>
          <w:p w14:paraId="7B733363"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33 </w:t>
            </w:r>
          </w:p>
          <w:p w14:paraId="0D875228"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(16.4%)</w:t>
            </w:r>
          </w:p>
        </w:tc>
        <w:tc>
          <w:tcPr>
            <w:tcW w:w="1377" w:type="dxa"/>
            <w:vAlign w:val="center"/>
          </w:tcPr>
          <w:p w14:paraId="1B677F4E"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35 </w:t>
            </w:r>
          </w:p>
          <w:p w14:paraId="6C8BA4B5"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(17.4%)</w:t>
            </w:r>
          </w:p>
        </w:tc>
        <w:tc>
          <w:tcPr>
            <w:tcW w:w="1440" w:type="dxa"/>
            <w:tcBorders>
              <w:right w:val="double" w:sz="4" w:space="0" w:color="auto"/>
            </w:tcBorders>
            <w:vAlign w:val="center"/>
          </w:tcPr>
          <w:p w14:paraId="025A1AB4" w14:textId="77777777" w:rsidR="00F129E1"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107</w:t>
            </w:r>
          </w:p>
          <w:p w14:paraId="443A97A2" w14:textId="0FEB8B65"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(53.2%)</w:t>
            </w:r>
          </w:p>
        </w:tc>
        <w:tc>
          <w:tcPr>
            <w:tcW w:w="1655" w:type="dxa"/>
            <w:tcBorders>
              <w:left w:val="double" w:sz="4" w:space="0" w:color="auto"/>
            </w:tcBorders>
            <w:shd w:val="clear" w:color="auto" w:fill="C5E0B3" w:themeFill="accent6" w:themeFillTint="66"/>
            <w:vAlign w:val="center"/>
          </w:tcPr>
          <w:p w14:paraId="16D800A4"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 xml:space="preserve">201 </w:t>
            </w:r>
          </w:p>
          <w:p w14:paraId="779D3E6F" w14:textId="77777777" w:rsidR="00AA36BF" w:rsidRPr="00BF4BB2" w:rsidRDefault="00AA36BF" w:rsidP="003568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F4BB2">
              <w:rPr>
                <w:rFonts w:ascii="Times New Roman" w:hAnsi="Times New Roman" w:cs="Times New Roman"/>
                <w:sz w:val="22"/>
                <w:szCs w:val="22"/>
              </w:rPr>
              <w:t>(15.9%)</w:t>
            </w:r>
          </w:p>
        </w:tc>
      </w:tr>
    </w:tbl>
    <w:p w14:paraId="7EC27E59" w14:textId="0C8DFB44" w:rsidR="00AA36BF" w:rsidRPr="00BF4BB2" w:rsidRDefault="00AA36BF">
      <w:pPr>
        <w:rPr>
          <w:rFonts w:ascii="Times New Roman" w:hAnsi="Times New Roman" w:cs="Times New Roman"/>
        </w:rPr>
      </w:pPr>
    </w:p>
    <w:p w14:paraId="349EC7C3" w14:textId="3DED174D" w:rsidR="00AA36BF" w:rsidRPr="00BF4BB2" w:rsidRDefault="00BF4BB2">
      <w:pPr>
        <w:rPr>
          <w:rFonts w:ascii="Times New Roman" w:hAnsi="Times New Roman" w:cs="Times New Roman"/>
        </w:rPr>
      </w:pPr>
      <w:r w:rsidRPr="00BF4BB2">
        <w:rPr>
          <w:rFonts w:ascii="Times New Roman" w:hAnsi="Times New Roman" w:cs="Times New Roman"/>
          <w:noProof/>
          <w:lang w:val="it-IT" w:eastAsia="it-IT"/>
        </w:rPr>
        <mc:AlternateContent>
          <mc:Choice Requires="wps">
            <w:drawing>
              <wp:anchor distT="0" distB="0" distL="114300" distR="114300" simplePos="0" relativeHeight="251668480" behindDoc="0" locked="0" layoutInCell="1" allowOverlap="1" wp14:anchorId="0C4701B1" wp14:editId="1FB99208">
                <wp:simplePos x="0" y="0"/>
                <wp:positionH relativeFrom="column">
                  <wp:posOffset>359680</wp:posOffset>
                </wp:positionH>
                <wp:positionV relativeFrom="paragraph">
                  <wp:posOffset>31926</wp:posOffset>
                </wp:positionV>
                <wp:extent cx="5520267" cy="763729"/>
                <wp:effectExtent l="0" t="0" r="0" b="0"/>
                <wp:wrapNone/>
                <wp:docPr id="1001868580" name="Casella di testo 1"/>
                <wp:cNvGraphicFramePr/>
                <a:graphic xmlns:a="http://schemas.openxmlformats.org/drawingml/2006/main">
                  <a:graphicData uri="http://schemas.microsoft.com/office/word/2010/wordprocessingShape">
                    <wps:wsp>
                      <wps:cNvSpPr txBox="1"/>
                      <wps:spPr>
                        <a:xfrm>
                          <a:off x="0" y="0"/>
                          <a:ext cx="5520267" cy="763729"/>
                        </a:xfrm>
                        <a:prstGeom prst="rect">
                          <a:avLst/>
                        </a:prstGeom>
                        <a:solidFill>
                          <a:prstClr val="white"/>
                        </a:solidFill>
                        <a:ln>
                          <a:noFill/>
                        </a:ln>
                      </wps:spPr>
                      <wps:txbx>
                        <w:txbxContent>
                          <w:p w14:paraId="31E00EB9" w14:textId="6724EC1A" w:rsidR="0058264F" w:rsidRPr="00BF4BB2" w:rsidRDefault="0058264F" w:rsidP="00AA36BF">
                            <w:pPr>
                              <w:pStyle w:val="Didascalia"/>
                              <w:rPr>
                                <w:rFonts w:ascii="Times New Roman" w:hAnsi="Times New Roman" w:cs="Times New Roman"/>
                                <w:b/>
                                <w:bCs/>
                                <w:noProof/>
                                <w:color w:val="auto"/>
                                <w:sz w:val="22"/>
                                <w:szCs w:val="22"/>
                              </w:rPr>
                            </w:pPr>
                            <w:r w:rsidRPr="00BF4BB2">
                              <w:rPr>
                                <w:rFonts w:ascii="Times New Roman" w:hAnsi="Times New Roman" w:cs="Times New Roman"/>
                                <w:b/>
                                <w:bCs/>
                                <w:color w:val="auto"/>
                                <w:sz w:val="22"/>
                                <w:szCs w:val="22"/>
                              </w:rPr>
                              <w:t>Table S2.</w:t>
                            </w:r>
                            <w:r w:rsidRPr="00BF4BB2">
                              <w:rPr>
                                <w:rFonts w:ascii="Times New Roman" w:hAnsi="Times New Roman" w:cs="Times New Roman"/>
                                <w:color w:val="auto"/>
                                <w:sz w:val="22"/>
                                <w:szCs w:val="22"/>
                              </w:rPr>
                              <w:t xml:space="preserve"> Distribution of registered cases according to gestational age (in weeks) and season, described as an absolute number and percentage over the total cases [n] recorded in the given season. The column “total preterm” shows all preterm patients born &lt; 37 weeks of gestational age. w: weeks of gestational age; d: days of gestational age.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C4701B1" id="_x0000_s1027" type="#_x0000_t202" style="position:absolute;margin-left:28.3pt;margin-top:2.5pt;width:434.65pt;height:6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" stroked="f">
                <v:textbox inset="0,0,0,0">
                  <w:txbxContent>
                    <w:p w14:paraId="31E00EB9" w14:textId="6724EC1A" w:rsidR="0058264F" w:rsidRPr="00BF4BB2" w:rsidRDefault="0058264F" w:rsidP="00AA36BF">
                      <w:pPr>
                        <w:pStyle w:val="Didascalia"/>
                        <w:rPr>
                          <w:rFonts w:ascii="Times New Roman" w:hAnsi="Times New Roman" w:cs="Times New Roman"/>
                          <w:b/>
                          <w:bCs/>
                          <w:noProof/>
                          <w:color w:val="auto"/>
                          <w:sz w:val="22"/>
                          <w:szCs w:val="22"/>
                        </w:rPr>
                      </w:pPr>
                      <w:r w:rsidRPr="00BF4BB2">
                        <w:rPr>
                          <w:rFonts w:ascii="Times New Roman" w:hAnsi="Times New Roman" w:cs="Times New Roman"/>
                          <w:b/>
                          <w:bCs/>
                          <w:color w:val="auto"/>
                          <w:sz w:val="22"/>
                          <w:szCs w:val="22"/>
                        </w:rPr>
                        <w:t>Table S2.</w:t>
                      </w:r>
                      <w:r w:rsidRPr="00BF4BB2">
                        <w:rPr>
                          <w:rFonts w:ascii="Times New Roman" w:hAnsi="Times New Roman" w:cs="Times New Roman"/>
                          <w:color w:val="auto"/>
                          <w:sz w:val="22"/>
                          <w:szCs w:val="22"/>
                        </w:rPr>
                        <w:t xml:space="preserve"> Distribution of registered cases according to gestational age (in weeks) and season, described as an absolute number and percentage over the total cases [n] recorded in the given season. The column “total preterm” shows all preterm patients born &lt; 37 weeks of gestational age. w: weeks of gestational age; d: days of gestational age. </w:t>
                      </w:r>
                    </w:p>
                  </w:txbxContent>
                </v:textbox>
              </v:shape>
            </w:pict>
          </mc:Fallback>
        </mc:AlternateContent>
      </w:r>
    </w:p>
    <w:p w14:paraId="3C2B213A" w14:textId="77777777" w:rsidR="00AA36BF" w:rsidRPr="00BF4BB2" w:rsidRDefault="00AA36BF">
      <w:pPr>
        <w:rPr>
          <w:rFonts w:ascii="Times New Roman" w:hAnsi="Times New Roman" w:cs="Times New Roman"/>
        </w:rPr>
      </w:pPr>
    </w:p>
    <w:p w14:paraId="5800CF98" w14:textId="77777777" w:rsidR="00AA36BF" w:rsidRPr="00BF4BB2" w:rsidRDefault="00AA36BF">
      <w:pPr>
        <w:rPr>
          <w:rFonts w:ascii="Times New Roman" w:hAnsi="Times New Roman" w:cs="Times New Roman"/>
        </w:rPr>
      </w:pPr>
    </w:p>
    <w:p w14:paraId="6292DE2C" w14:textId="77777777" w:rsidR="00AA36BF" w:rsidRPr="00BF4BB2" w:rsidRDefault="00AA36BF">
      <w:pPr>
        <w:rPr>
          <w:rFonts w:ascii="Times New Roman" w:hAnsi="Times New Roman" w:cs="Times New Roman"/>
        </w:rPr>
      </w:pPr>
    </w:p>
    <w:p w14:paraId="4C2429B3" w14:textId="77777777" w:rsidR="00AA36BF" w:rsidRPr="00BF4BB2" w:rsidRDefault="00AA36BF">
      <w:pPr>
        <w:rPr>
          <w:rFonts w:ascii="Times New Roman" w:hAnsi="Times New Roman" w:cs="Times New Roman"/>
        </w:rPr>
      </w:pPr>
    </w:p>
    <w:p w14:paraId="6E1EFF70" w14:textId="77777777" w:rsidR="00AA36BF" w:rsidRPr="00BF4BB2" w:rsidRDefault="00AA36BF">
      <w:pPr>
        <w:rPr>
          <w:rFonts w:ascii="Times New Roman" w:hAnsi="Times New Roman" w:cs="Times New Roman"/>
        </w:rPr>
      </w:pPr>
    </w:p>
    <w:p w14:paraId="78F0EB17" w14:textId="77777777" w:rsidR="00AA36BF" w:rsidRPr="00BF4BB2" w:rsidRDefault="00AA36BF">
      <w:pPr>
        <w:rPr>
          <w:rFonts w:ascii="Times New Roman" w:hAnsi="Times New Roman" w:cs="Times New Roman"/>
        </w:rPr>
      </w:pPr>
    </w:p>
    <w:p w14:paraId="090848C4" w14:textId="77777777" w:rsidR="00AA36BF" w:rsidRPr="00BF4BB2" w:rsidRDefault="00AA36BF">
      <w:pPr>
        <w:rPr>
          <w:rFonts w:ascii="Times New Roman" w:hAnsi="Times New Roman" w:cs="Times New Roman"/>
        </w:rPr>
      </w:pPr>
    </w:p>
    <w:p w14:paraId="24E39576" w14:textId="77777777" w:rsidR="00AA36BF" w:rsidRPr="00BF4BB2" w:rsidRDefault="00AA36BF">
      <w:pPr>
        <w:rPr>
          <w:rFonts w:ascii="Times New Roman" w:hAnsi="Times New Roman" w:cs="Times New Roman"/>
        </w:rPr>
      </w:pPr>
    </w:p>
    <w:tbl>
      <w:tblPr>
        <w:tblStyle w:val="Tabellasemplice3"/>
        <w:tblpPr w:leftFromText="180" w:rightFromText="180" w:vertAnchor="text" w:horzAnchor="margin" w:tblpXSpec="center" w:tblpY="317"/>
        <w:tblW w:w="11341" w:type="dxa"/>
        <w:tblLayout w:type="fixed"/>
        <w:tblLook w:val="04A0" w:firstRow="1" w:lastRow="0" w:firstColumn="1" w:lastColumn="0" w:noHBand="0" w:noVBand="1"/>
      </w:tblPr>
      <w:tblGrid>
        <w:gridCol w:w="2269"/>
        <w:gridCol w:w="1276"/>
        <w:gridCol w:w="992"/>
        <w:gridCol w:w="850"/>
        <w:gridCol w:w="851"/>
        <w:gridCol w:w="850"/>
        <w:gridCol w:w="851"/>
        <w:gridCol w:w="850"/>
        <w:gridCol w:w="851"/>
        <w:gridCol w:w="850"/>
        <w:gridCol w:w="851"/>
      </w:tblGrid>
      <w:tr w:rsidR="00AA36BF" w:rsidRPr="00BF4BB2" w14:paraId="30877DE5" w14:textId="77777777" w:rsidTr="00AA36BF">
        <w:trPr>
          <w:cnfStyle w:val="100000000000" w:firstRow="1" w:lastRow="0" w:firstColumn="0" w:lastColumn="0" w:oddVBand="0" w:evenVBand="0" w:oddHBand="0" w:evenHBand="0" w:firstRowFirstColumn="0" w:firstRowLastColumn="0" w:lastRowFirstColumn="0" w:lastRowLastColumn="0"/>
          <w:trHeight w:val="709"/>
        </w:trPr>
        <w:tc>
          <w:tcPr>
            <w:cnfStyle w:val="001000000100" w:firstRow="0" w:lastRow="0" w:firstColumn="1" w:lastColumn="0" w:oddVBand="0" w:evenVBand="0" w:oddHBand="0" w:evenHBand="0" w:firstRowFirstColumn="1" w:firstRowLastColumn="0" w:lastRowFirstColumn="0" w:lastRowLastColumn="0"/>
            <w:tcW w:w="2269" w:type="dxa"/>
            <w:tcBorders>
              <w:bottom w:val="double" w:sz="4" w:space="0" w:color="auto"/>
              <w:right w:val="double" w:sz="4" w:space="0" w:color="auto"/>
            </w:tcBorders>
            <w:vAlign w:val="center"/>
          </w:tcPr>
          <w:p w14:paraId="45845614" w14:textId="77777777" w:rsidR="00AA36BF" w:rsidRPr="00BF4BB2" w:rsidRDefault="00AA36BF" w:rsidP="00AA36BF">
            <w:pPr>
              <w:jc w:val="center"/>
              <w:rPr>
                <w:rFonts w:ascii="Times New Roman" w:hAnsi="Times New Roman" w:cs="Times New Roman"/>
                <w:b w:val="0"/>
                <w:bCs w:val="0"/>
                <w:sz w:val="18"/>
                <w:szCs w:val="18"/>
              </w:rPr>
            </w:pPr>
          </w:p>
        </w:tc>
        <w:tc>
          <w:tcPr>
            <w:tcW w:w="1276" w:type="dxa"/>
            <w:tcBorders>
              <w:left w:val="double" w:sz="4" w:space="0" w:color="auto"/>
              <w:bottom w:val="double" w:sz="4" w:space="0" w:color="auto"/>
              <w:right w:val="double" w:sz="4" w:space="0" w:color="auto"/>
            </w:tcBorders>
            <w:shd w:val="clear" w:color="auto" w:fill="C5E0B3" w:themeFill="accent6" w:themeFillTint="66"/>
            <w:vAlign w:val="center"/>
          </w:tcPr>
          <w:p w14:paraId="00E71409"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TOTAL (n/%) [n = 1262]</w:t>
            </w:r>
          </w:p>
        </w:tc>
        <w:tc>
          <w:tcPr>
            <w:tcW w:w="992" w:type="dxa"/>
            <w:tcBorders>
              <w:left w:val="double" w:sz="4" w:space="0" w:color="auto"/>
              <w:bottom w:val="double" w:sz="4" w:space="0" w:color="auto"/>
            </w:tcBorders>
            <w:vAlign w:val="center"/>
          </w:tcPr>
          <w:p w14:paraId="3BF85DC9"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22/23 (n/%)      [n = 305]</w:t>
            </w:r>
          </w:p>
        </w:tc>
        <w:tc>
          <w:tcPr>
            <w:tcW w:w="850" w:type="dxa"/>
            <w:tcBorders>
              <w:bottom w:val="double" w:sz="4" w:space="0" w:color="auto"/>
            </w:tcBorders>
            <w:vAlign w:val="center"/>
          </w:tcPr>
          <w:p w14:paraId="4232AA8F"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21/22 (n/%)    [n = 340]</w:t>
            </w:r>
          </w:p>
        </w:tc>
        <w:tc>
          <w:tcPr>
            <w:tcW w:w="851" w:type="dxa"/>
            <w:tcBorders>
              <w:bottom w:val="double" w:sz="4" w:space="0" w:color="auto"/>
            </w:tcBorders>
            <w:vAlign w:val="center"/>
          </w:tcPr>
          <w:p w14:paraId="2CC5FA48"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20/21 (n/%)   [n = 7]</w:t>
            </w:r>
          </w:p>
        </w:tc>
        <w:tc>
          <w:tcPr>
            <w:tcW w:w="850" w:type="dxa"/>
            <w:tcBorders>
              <w:bottom w:val="double" w:sz="4" w:space="0" w:color="auto"/>
            </w:tcBorders>
            <w:vAlign w:val="center"/>
          </w:tcPr>
          <w:p w14:paraId="421F56D3"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19/20 (n/%)   [n = 117]</w:t>
            </w:r>
          </w:p>
        </w:tc>
        <w:tc>
          <w:tcPr>
            <w:tcW w:w="851" w:type="dxa"/>
            <w:tcBorders>
              <w:bottom w:val="double" w:sz="4" w:space="0" w:color="auto"/>
            </w:tcBorders>
            <w:vAlign w:val="center"/>
          </w:tcPr>
          <w:p w14:paraId="4752BF1C"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18/19 (n/%)   [n = 119]</w:t>
            </w:r>
          </w:p>
        </w:tc>
        <w:tc>
          <w:tcPr>
            <w:tcW w:w="850" w:type="dxa"/>
            <w:tcBorders>
              <w:bottom w:val="double" w:sz="4" w:space="0" w:color="auto"/>
            </w:tcBorders>
            <w:vAlign w:val="center"/>
          </w:tcPr>
          <w:p w14:paraId="4C7A6293"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17/18 (n/%)   [n = 115]</w:t>
            </w:r>
          </w:p>
        </w:tc>
        <w:tc>
          <w:tcPr>
            <w:tcW w:w="851" w:type="dxa"/>
            <w:tcBorders>
              <w:bottom w:val="double" w:sz="4" w:space="0" w:color="auto"/>
            </w:tcBorders>
            <w:vAlign w:val="center"/>
          </w:tcPr>
          <w:p w14:paraId="0E246D3C"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16/17 (n/%)   [n = 106]</w:t>
            </w:r>
          </w:p>
        </w:tc>
        <w:tc>
          <w:tcPr>
            <w:tcW w:w="850" w:type="dxa"/>
            <w:tcBorders>
              <w:bottom w:val="double" w:sz="4" w:space="0" w:color="auto"/>
            </w:tcBorders>
            <w:vAlign w:val="center"/>
          </w:tcPr>
          <w:p w14:paraId="267F4362"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15/16 (n/%)   [n = 87]</w:t>
            </w:r>
          </w:p>
        </w:tc>
        <w:tc>
          <w:tcPr>
            <w:tcW w:w="851" w:type="dxa"/>
            <w:tcBorders>
              <w:bottom w:val="double" w:sz="4" w:space="0" w:color="auto"/>
            </w:tcBorders>
            <w:vAlign w:val="center"/>
          </w:tcPr>
          <w:p w14:paraId="7B48BCFF" w14:textId="77777777" w:rsidR="00AA36BF" w:rsidRPr="00BF4BB2" w:rsidRDefault="00AA36BF" w:rsidP="00AA36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6"/>
                <w:szCs w:val="16"/>
              </w:rPr>
            </w:pPr>
            <w:r w:rsidRPr="00BF4BB2">
              <w:rPr>
                <w:rFonts w:ascii="Times New Roman" w:hAnsi="Times New Roman" w:cs="Times New Roman"/>
                <w:bCs w:val="0"/>
                <w:caps w:val="0"/>
                <w:sz w:val="16"/>
                <w:szCs w:val="16"/>
              </w:rPr>
              <w:t>14/15 (n/%)   [n = 66]</w:t>
            </w:r>
          </w:p>
        </w:tc>
      </w:tr>
      <w:tr w:rsidR="00AA36BF" w:rsidRPr="00BF4BB2" w14:paraId="459EF3F8" w14:textId="77777777" w:rsidTr="00AA36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69" w:type="dxa"/>
            <w:tcBorders>
              <w:top w:val="double" w:sz="4" w:space="0" w:color="auto"/>
              <w:right w:val="double" w:sz="4" w:space="0" w:color="auto"/>
            </w:tcBorders>
            <w:vAlign w:val="center"/>
          </w:tcPr>
          <w:p w14:paraId="58F58C63"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Congenital heart disease</w:t>
            </w:r>
          </w:p>
        </w:tc>
        <w:tc>
          <w:tcPr>
            <w:tcW w:w="1276" w:type="dxa"/>
            <w:tcBorders>
              <w:top w:val="double" w:sz="4" w:space="0" w:color="auto"/>
              <w:left w:val="double" w:sz="4" w:space="0" w:color="auto"/>
              <w:right w:val="double" w:sz="4" w:space="0" w:color="auto"/>
            </w:tcBorders>
            <w:shd w:val="clear" w:color="auto" w:fill="C5E0B3" w:themeFill="accent6" w:themeFillTint="66"/>
            <w:vAlign w:val="center"/>
          </w:tcPr>
          <w:p w14:paraId="5F1795C5"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70 (5.5%)</w:t>
            </w:r>
          </w:p>
        </w:tc>
        <w:tc>
          <w:tcPr>
            <w:tcW w:w="992" w:type="dxa"/>
            <w:tcBorders>
              <w:top w:val="double" w:sz="4" w:space="0" w:color="auto"/>
              <w:left w:val="double" w:sz="4" w:space="0" w:color="auto"/>
            </w:tcBorders>
            <w:vAlign w:val="center"/>
          </w:tcPr>
          <w:p w14:paraId="4923CE33"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15 </w:t>
            </w:r>
          </w:p>
          <w:p w14:paraId="26D97E4F" w14:textId="505ADED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(4.9%)</w:t>
            </w:r>
          </w:p>
        </w:tc>
        <w:tc>
          <w:tcPr>
            <w:tcW w:w="850" w:type="dxa"/>
            <w:tcBorders>
              <w:top w:val="double" w:sz="4" w:space="0" w:color="auto"/>
            </w:tcBorders>
            <w:vAlign w:val="center"/>
          </w:tcPr>
          <w:p w14:paraId="00CF6B14"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20 (5.9%)</w:t>
            </w:r>
          </w:p>
        </w:tc>
        <w:tc>
          <w:tcPr>
            <w:tcW w:w="851" w:type="dxa"/>
            <w:tcBorders>
              <w:top w:val="double" w:sz="4" w:space="0" w:color="auto"/>
            </w:tcBorders>
            <w:vAlign w:val="center"/>
          </w:tcPr>
          <w:p w14:paraId="3859BF0C"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304B9198" w14:textId="3EC5765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tcBorders>
              <w:top w:val="double" w:sz="4" w:space="0" w:color="auto"/>
            </w:tcBorders>
            <w:vAlign w:val="center"/>
          </w:tcPr>
          <w:p w14:paraId="01952EF7"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5 </w:t>
            </w:r>
          </w:p>
          <w:p w14:paraId="5E1D37F4" w14:textId="6E7B0C56"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(4.3%)</w:t>
            </w:r>
          </w:p>
        </w:tc>
        <w:tc>
          <w:tcPr>
            <w:tcW w:w="851" w:type="dxa"/>
            <w:tcBorders>
              <w:top w:val="double" w:sz="4" w:space="0" w:color="auto"/>
            </w:tcBorders>
            <w:vAlign w:val="center"/>
          </w:tcPr>
          <w:p w14:paraId="21F878C7"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10 (8.4%)</w:t>
            </w:r>
          </w:p>
        </w:tc>
        <w:tc>
          <w:tcPr>
            <w:tcW w:w="850" w:type="dxa"/>
            <w:tcBorders>
              <w:top w:val="double" w:sz="4" w:space="0" w:color="auto"/>
            </w:tcBorders>
            <w:vAlign w:val="center"/>
          </w:tcPr>
          <w:p w14:paraId="5167C6F9"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5 </w:t>
            </w:r>
          </w:p>
          <w:p w14:paraId="543E2017" w14:textId="11E676C9"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(4.4%)</w:t>
            </w:r>
          </w:p>
        </w:tc>
        <w:tc>
          <w:tcPr>
            <w:tcW w:w="851" w:type="dxa"/>
            <w:tcBorders>
              <w:top w:val="double" w:sz="4" w:space="0" w:color="auto"/>
            </w:tcBorders>
            <w:vAlign w:val="center"/>
          </w:tcPr>
          <w:p w14:paraId="6E470A44"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6 </w:t>
            </w:r>
          </w:p>
          <w:p w14:paraId="6E61FC3A" w14:textId="477BAA74"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(5.7%)</w:t>
            </w:r>
          </w:p>
        </w:tc>
        <w:tc>
          <w:tcPr>
            <w:tcW w:w="850" w:type="dxa"/>
            <w:tcBorders>
              <w:top w:val="double" w:sz="4" w:space="0" w:color="auto"/>
            </w:tcBorders>
            <w:vAlign w:val="center"/>
          </w:tcPr>
          <w:p w14:paraId="623C7DC2"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40163029" w14:textId="4B0D8F3A"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(3.4%)</w:t>
            </w:r>
          </w:p>
        </w:tc>
        <w:tc>
          <w:tcPr>
            <w:tcW w:w="851" w:type="dxa"/>
            <w:tcBorders>
              <w:top w:val="double" w:sz="4" w:space="0" w:color="auto"/>
            </w:tcBorders>
            <w:vAlign w:val="center"/>
          </w:tcPr>
          <w:p w14:paraId="74D4A724"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6 </w:t>
            </w:r>
          </w:p>
          <w:p w14:paraId="2E426EBC" w14:textId="789E8802"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(9.2%)</w:t>
            </w:r>
          </w:p>
        </w:tc>
      </w:tr>
      <w:tr w:rsidR="00AA36BF" w:rsidRPr="00BF4BB2" w14:paraId="67C36D45" w14:textId="77777777" w:rsidTr="00AA36BF">
        <w:trPr>
          <w:trHeight w:val="559"/>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7E024A7B"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Neurological impairment</w:t>
            </w:r>
          </w:p>
        </w:tc>
        <w:tc>
          <w:tcPr>
            <w:tcW w:w="1276" w:type="dxa"/>
            <w:tcBorders>
              <w:left w:val="double" w:sz="4" w:space="0" w:color="auto"/>
              <w:right w:val="double" w:sz="4" w:space="0" w:color="auto"/>
            </w:tcBorders>
            <w:shd w:val="clear" w:color="auto" w:fill="C5E0B3" w:themeFill="accent6" w:themeFillTint="66"/>
            <w:vAlign w:val="center"/>
          </w:tcPr>
          <w:p w14:paraId="38F04546"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43 (3.4%)</w:t>
            </w:r>
          </w:p>
        </w:tc>
        <w:tc>
          <w:tcPr>
            <w:tcW w:w="992" w:type="dxa"/>
            <w:tcBorders>
              <w:left w:val="double" w:sz="4" w:space="0" w:color="auto"/>
            </w:tcBorders>
            <w:vAlign w:val="center"/>
          </w:tcPr>
          <w:p w14:paraId="45A29742"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13 </w:t>
            </w:r>
          </w:p>
          <w:p w14:paraId="749E5A2E" w14:textId="0D59B5DD"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(4.3%)</w:t>
            </w:r>
          </w:p>
        </w:tc>
        <w:tc>
          <w:tcPr>
            <w:tcW w:w="850" w:type="dxa"/>
            <w:vAlign w:val="center"/>
          </w:tcPr>
          <w:p w14:paraId="79F6890C"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14 (4.1%)</w:t>
            </w:r>
          </w:p>
        </w:tc>
        <w:tc>
          <w:tcPr>
            <w:tcW w:w="851" w:type="dxa"/>
            <w:vAlign w:val="center"/>
          </w:tcPr>
          <w:p w14:paraId="1D5F5CE2"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01F498C2" w14:textId="66030839"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0F686750"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1F9506A5" w14:textId="5337669D"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(2.6%)</w:t>
            </w:r>
          </w:p>
        </w:tc>
        <w:tc>
          <w:tcPr>
            <w:tcW w:w="851" w:type="dxa"/>
            <w:vAlign w:val="center"/>
          </w:tcPr>
          <w:p w14:paraId="5B443D47"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4 </w:t>
            </w:r>
          </w:p>
          <w:p w14:paraId="332CBC50" w14:textId="429B4F76"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(3.3%)</w:t>
            </w:r>
          </w:p>
        </w:tc>
        <w:tc>
          <w:tcPr>
            <w:tcW w:w="850" w:type="dxa"/>
            <w:vAlign w:val="center"/>
          </w:tcPr>
          <w:p w14:paraId="13C77DD5" w14:textId="77777777" w:rsidR="00DE1961" w:rsidRPr="00BF4BB2" w:rsidRDefault="00AA36BF" w:rsidP="00DE19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564127C5" w14:textId="00A6A2FD" w:rsidR="00AA36BF" w:rsidRPr="00BF4BB2" w:rsidRDefault="00AA36BF" w:rsidP="00DE19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(1.8%)</w:t>
            </w:r>
          </w:p>
        </w:tc>
        <w:tc>
          <w:tcPr>
            <w:tcW w:w="851" w:type="dxa"/>
            <w:vAlign w:val="center"/>
          </w:tcPr>
          <w:p w14:paraId="5F751C04"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1C9FA130" w14:textId="3661C2A6"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(2.9%)</w:t>
            </w:r>
          </w:p>
        </w:tc>
        <w:tc>
          <w:tcPr>
            <w:tcW w:w="850" w:type="dxa"/>
            <w:vAlign w:val="center"/>
          </w:tcPr>
          <w:p w14:paraId="41929A09"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32F76224" w14:textId="45B16593"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(3.4%)</w:t>
            </w:r>
          </w:p>
        </w:tc>
        <w:tc>
          <w:tcPr>
            <w:tcW w:w="851" w:type="dxa"/>
            <w:vAlign w:val="center"/>
          </w:tcPr>
          <w:p w14:paraId="7B6315CD"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577CBF4A" w14:textId="1D1CF802"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(1.5%)</w:t>
            </w:r>
          </w:p>
        </w:tc>
      </w:tr>
      <w:tr w:rsidR="00AA36BF" w:rsidRPr="00BF4BB2" w14:paraId="1D4BA9A7" w14:textId="77777777" w:rsidTr="00AA36B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4F43E5C7"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Immunological disease</w:t>
            </w:r>
          </w:p>
        </w:tc>
        <w:tc>
          <w:tcPr>
            <w:tcW w:w="1276" w:type="dxa"/>
            <w:tcBorders>
              <w:left w:val="double" w:sz="4" w:space="0" w:color="auto"/>
              <w:right w:val="double" w:sz="4" w:space="0" w:color="auto"/>
            </w:tcBorders>
            <w:shd w:val="clear" w:color="auto" w:fill="C5E0B3" w:themeFill="accent6" w:themeFillTint="66"/>
            <w:vAlign w:val="center"/>
          </w:tcPr>
          <w:p w14:paraId="7AD2EAD7"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6 (0.5%)</w:t>
            </w:r>
          </w:p>
        </w:tc>
        <w:tc>
          <w:tcPr>
            <w:tcW w:w="992" w:type="dxa"/>
            <w:tcBorders>
              <w:left w:val="double" w:sz="4" w:space="0" w:color="auto"/>
            </w:tcBorders>
            <w:vAlign w:val="center"/>
          </w:tcPr>
          <w:p w14:paraId="2FD1906C"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08883B5C" w14:textId="09918CC1"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(0.7%)</w:t>
            </w:r>
          </w:p>
        </w:tc>
        <w:tc>
          <w:tcPr>
            <w:tcW w:w="850" w:type="dxa"/>
            <w:vAlign w:val="center"/>
          </w:tcPr>
          <w:p w14:paraId="6C68420D"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1</w:t>
            </w:r>
          </w:p>
          <w:p w14:paraId="6D59F8A2" w14:textId="76BADF83"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(0.3%)</w:t>
            </w:r>
          </w:p>
        </w:tc>
        <w:tc>
          <w:tcPr>
            <w:tcW w:w="851" w:type="dxa"/>
            <w:vAlign w:val="center"/>
          </w:tcPr>
          <w:p w14:paraId="2EE5BE62"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2FA4523E" w14:textId="2003050E"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21BF0002"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4DF3E3DF" w14:textId="33501193"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7F4DBEB0"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2079C991" w14:textId="63EFBDB5"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2E19FEB4"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7B367432" w14:textId="67331784"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1" w:type="dxa"/>
            <w:vAlign w:val="center"/>
          </w:tcPr>
          <w:p w14:paraId="3C639E22"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7314AF07" w14:textId="2AC0AAC2"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(1.9%)</w:t>
            </w:r>
          </w:p>
        </w:tc>
        <w:tc>
          <w:tcPr>
            <w:tcW w:w="850" w:type="dxa"/>
            <w:vAlign w:val="center"/>
          </w:tcPr>
          <w:p w14:paraId="26BE2A2F"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7B8B8BF6" w14:textId="302C18BF"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297FB534"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33855647" w14:textId="234858B4"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r>
      <w:tr w:rsidR="00AA36BF" w:rsidRPr="00BF4BB2" w14:paraId="57B9C195" w14:textId="77777777" w:rsidTr="00AA36BF">
        <w:trPr>
          <w:trHeight w:val="431"/>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7AB8268F"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Oncological disorders</w:t>
            </w:r>
          </w:p>
        </w:tc>
        <w:tc>
          <w:tcPr>
            <w:tcW w:w="1276" w:type="dxa"/>
            <w:tcBorders>
              <w:left w:val="double" w:sz="4" w:space="0" w:color="auto"/>
              <w:right w:val="double" w:sz="4" w:space="0" w:color="auto"/>
            </w:tcBorders>
            <w:shd w:val="clear" w:color="auto" w:fill="C5E0B3" w:themeFill="accent6" w:themeFillTint="66"/>
            <w:vAlign w:val="center"/>
          </w:tcPr>
          <w:p w14:paraId="05AC3350"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8 (0.6%)</w:t>
            </w:r>
          </w:p>
        </w:tc>
        <w:tc>
          <w:tcPr>
            <w:tcW w:w="992" w:type="dxa"/>
            <w:tcBorders>
              <w:left w:val="double" w:sz="4" w:space="0" w:color="auto"/>
            </w:tcBorders>
            <w:vAlign w:val="center"/>
          </w:tcPr>
          <w:p w14:paraId="72AD0F09"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3A39452D" w14:textId="159E3D94"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w:t>
            </w:r>
          </w:p>
        </w:tc>
        <w:tc>
          <w:tcPr>
            <w:tcW w:w="850" w:type="dxa"/>
            <w:vAlign w:val="center"/>
          </w:tcPr>
          <w:p w14:paraId="5A1A819A"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421FA344" w14:textId="7A1D88EA"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(0.6%)</w:t>
            </w:r>
          </w:p>
        </w:tc>
        <w:tc>
          <w:tcPr>
            <w:tcW w:w="851" w:type="dxa"/>
            <w:vAlign w:val="center"/>
          </w:tcPr>
          <w:p w14:paraId="61F8C74F"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52C75253" w14:textId="14ECF828"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6059EA53"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43AE2633" w14:textId="37700AC5"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(0.8%)</w:t>
            </w:r>
          </w:p>
        </w:tc>
        <w:tc>
          <w:tcPr>
            <w:tcW w:w="851" w:type="dxa"/>
            <w:vAlign w:val="center"/>
          </w:tcPr>
          <w:p w14:paraId="6B608B4A"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0AFC4986" w14:textId="64996264"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(0.7%)</w:t>
            </w:r>
          </w:p>
        </w:tc>
        <w:tc>
          <w:tcPr>
            <w:tcW w:w="850" w:type="dxa"/>
            <w:vAlign w:val="center"/>
          </w:tcPr>
          <w:p w14:paraId="4657E368"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0B9D48BD" w14:textId="364D1629"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6FCFDF16"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2BFC30D6" w14:textId="54B64708"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0" w:type="dxa"/>
            <w:vAlign w:val="center"/>
          </w:tcPr>
          <w:p w14:paraId="09EC23B2"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04EA41BC" w14:textId="68651BE6"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675D1157"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29E8816B" w14:textId="23574E21"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r>
      <w:tr w:rsidR="00AA36BF" w:rsidRPr="00BF4BB2" w14:paraId="46B42AC6" w14:textId="77777777" w:rsidTr="00AA36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0C44578F"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Cystic fibrosis</w:t>
            </w:r>
          </w:p>
        </w:tc>
        <w:tc>
          <w:tcPr>
            <w:tcW w:w="1276" w:type="dxa"/>
            <w:tcBorders>
              <w:left w:val="double" w:sz="4" w:space="0" w:color="auto"/>
              <w:right w:val="double" w:sz="4" w:space="0" w:color="auto"/>
            </w:tcBorders>
            <w:shd w:val="clear" w:color="auto" w:fill="C5E0B3" w:themeFill="accent6" w:themeFillTint="66"/>
            <w:vAlign w:val="center"/>
          </w:tcPr>
          <w:p w14:paraId="34DFC80A"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5 (0.4%)</w:t>
            </w:r>
          </w:p>
        </w:tc>
        <w:tc>
          <w:tcPr>
            <w:tcW w:w="992" w:type="dxa"/>
            <w:tcBorders>
              <w:left w:val="double" w:sz="4" w:space="0" w:color="auto"/>
            </w:tcBorders>
            <w:vAlign w:val="center"/>
          </w:tcPr>
          <w:p w14:paraId="0C1DD68F"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0809FF3A" w14:textId="7426B5EA"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5C35C9E5"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02911483" w14:textId="45EACFE1"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(0.6%)</w:t>
            </w:r>
          </w:p>
        </w:tc>
        <w:tc>
          <w:tcPr>
            <w:tcW w:w="851" w:type="dxa"/>
            <w:vAlign w:val="center"/>
          </w:tcPr>
          <w:p w14:paraId="0DA1D820"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12CCA129" w14:textId="028A45BB"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576A0934"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4F4F64E2" w14:textId="747F6C48"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4E031A0E"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33DE0B6B" w14:textId="71CC8479"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29CCF971"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6868CF20" w14:textId="34BBF5AF"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1" w:type="dxa"/>
            <w:vAlign w:val="center"/>
          </w:tcPr>
          <w:p w14:paraId="7BC27E1F"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17DEF4DD" w14:textId="14AE3F63"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0" w:type="dxa"/>
            <w:vAlign w:val="center"/>
          </w:tcPr>
          <w:p w14:paraId="0C99C05E"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5F648DE3" w14:textId="43220EAC"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(1.1%)</w:t>
            </w:r>
          </w:p>
        </w:tc>
        <w:tc>
          <w:tcPr>
            <w:tcW w:w="851" w:type="dxa"/>
            <w:vAlign w:val="center"/>
          </w:tcPr>
          <w:p w14:paraId="5C96A061"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2FA421DF" w14:textId="786F3023"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r>
      <w:tr w:rsidR="00AA36BF" w:rsidRPr="00BF4BB2" w14:paraId="4D54876F" w14:textId="77777777" w:rsidTr="00AA36BF">
        <w:trPr>
          <w:trHeight w:val="350"/>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08D9C1B4"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Wheezing</w:t>
            </w:r>
          </w:p>
        </w:tc>
        <w:tc>
          <w:tcPr>
            <w:tcW w:w="1276" w:type="dxa"/>
            <w:tcBorders>
              <w:left w:val="double" w:sz="4" w:space="0" w:color="auto"/>
              <w:right w:val="double" w:sz="4" w:space="0" w:color="auto"/>
            </w:tcBorders>
            <w:shd w:val="clear" w:color="auto" w:fill="C5E0B3" w:themeFill="accent6" w:themeFillTint="66"/>
            <w:vAlign w:val="center"/>
          </w:tcPr>
          <w:p w14:paraId="24E8CCB7"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92 (7.3%)</w:t>
            </w:r>
          </w:p>
        </w:tc>
        <w:tc>
          <w:tcPr>
            <w:tcW w:w="992" w:type="dxa"/>
            <w:tcBorders>
              <w:left w:val="double" w:sz="4" w:space="0" w:color="auto"/>
            </w:tcBorders>
            <w:vAlign w:val="center"/>
          </w:tcPr>
          <w:p w14:paraId="3DB154CD"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22 </w:t>
            </w:r>
          </w:p>
          <w:p w14:paraId="12025669" w14:textId="6FBCEBDC"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(7.2%)</w:t>
            </w:r>
          </w:p>
        </w:tc>
        <w:tc>
          <w:tcPr>
            <w:tcW w:w="850" w:type="dxa"/>
            <w:vAlign w:val="center"/>
          </w:tcPr>
          <w:p w14:paraId="7EB9AA05"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18 (5.3%)</w:t>
            </w:r>
          </w:p>
        </w:tc>
        <w:tc>
          <w:tcPr>
            <w:tcW w:w="851" w:type="dxa"/>
            <w:vAlign w:val="center"/>
          </w:tcPr>
          <w:p w14:paraId="588507D4"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33BC84A4" w14:textId="74B82C36"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6239671C" w14:textId="6C94F844"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15 (12.8%)</w:t>
            </w:r>
          </w:p>
        </w:tc>
        <w:tc>
          <w:tcPr>
            <w:tcW w:w="851" w:type="dxa"/>
            <w:vAlign w:val="center"/>
          </w:tcPr>
          <w:p w14:paraId="19849A41"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6 </w:t>
            </w:r>
          </w:p>
          <w:p w14:paraId="4F358DB7" w14:textId="680B6DEA"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(5%)</w:t>
            </w:r>
          </w:p>
        </w:tc>
        <w:tc>
          <w:tcPr>
            <w:tcW w:w="850" w:type="dxa"/>
            <w:vAlign w:val="center"/>
          </w:tcPr>
          <w:p w14:paraId="49FCED76"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9 </w:t>
            </w:r>
          </w:p>
          <w:p w14:paraId="548A7893" w14:textId="378A26BD"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(7.8%)</w:t>
            </w:r>
          </w:p>
        </w:tc>
        <w:tc>
          <w:tcPr>
            <w:tcW w:w="851" w:type="dxa"/>
            <w:vAlign w:val="center"/>
          </w:tcPr>
          <w:p w14:paraId="51C3BCCB"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6 </w:t>
            </w:r>
          </w:p>
          <w:p w14:paraId="5F408A19" w14:textId="6F6D5E33"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(5.7%)</w:t>
            </w:r>
          </w:p>
        </w:tc>
        <w:tc>
          <w:tcPr>
            <w:tcW w:w="850" w:type="dxa"/>
            <w:vAlign w:val="center"/>
          </w:tcPr>
          <w:p w14:paraId="15E86865"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6 </w:t>
            </w:r>
          </w:p>
          <w:p w14:paraId="49FED419" w14:textId="01758E80"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(6.8%)</w:t>
            </w:r>
          </w:p>
        </w:tc>
        <w:tc>
          <w:tcPr>
            <w:tcW w:w="851" w:type="dxa"/>
            <w:vAlign w:val="center"/>
          </w:tcPr>
          <w:p w14:paraId="501B95F4"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10 (15.4%)</w:t>
            </w:r>
          </w:p>
        </w:tc>
      </w:tr>
      <w:tr w:rsidR="00AA36BF" w:rsidRPr="00BF4BB2" w14:paraId="364F2039" w14:textId="77777777" w:rsidTr="00AA36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3EDC8657"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trisomy 21</w:t>
            </w:r>
          </w:p>
        </w:tc>
        <w:tc>
          <w:tcPr>
            <w:tcW w:w="1276" w:type="dxa"/>
            <w:tcBorders>
              <w:left w:val="double" w:sz="4" w:space="0" w:color="auto"/>
              <w:right w:val="double" w:sz="4" w:space="0" w:color="auto"/>
            </w:tcBorders>
            <w:shd w:val="clear" w:color="auto" w:fill="C5E0B3" w:themeFill="accent6" w:themeFillTint="66"/>
            <w:vAlign w:val="center"/>
          </w:tcPr>
          <w:p w14:paraId="2D1A895B"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10 (0.8%)</w:t>
            </w:r>
          </w:p>
        </w:tc>
        <w:tc>
          <w:tcPr>
            <w:tcW w:w="992" w:type="dxa"/>
            <w:tcBorders>
              <w:left w:val="double" w:sz="4" w:space="0" w:color="auto"/>
            </w:tcBorders>
            <w:vAlign w:val="center"/>
          </w:tcPr>
          <w:p w14:paraId="79BDC263"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6E14220D" w14:textId="570F1C4E"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w:t>
            </w:r>
          </w:p>
        </w:tc>
        <w:tc>
          <w:tcPr>
            <w:tcW w:w="850" w:type="dxa"/>
            <w:vAlign w:val="center"/>
          </w:tcPr>
          <w:p w14:paraId="12208751"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156B3D31" w14:textId="168F4A42"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1" w:type="dxa"/>
            <w:vAlign w:val="center"/>
          </w:tcPr>
          <w:p w14:paraId="3C17B644"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4E174D01" w14:textId="465EC0D0"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27E00ED3"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6EF1EEC9" w14:textId="19F00442"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1C5BF490"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5262838A" w14:textId="0F1E66D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(0.7%)</w:t>
            </w:r>
          </w:p>
        </w:tc>
        <w:tc>
          <w:tcPr>
            <w:tcW w:w="850" w:type="dxa"/>
            <w:vAlign w:val="center"/>
          </w:tcPr>
          <w:p w14:paraId="2409C267"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285D1BFA" w14:textId="072EA8AE"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1" w:type="dxa"/>
            <w:vAlign w:val="center"/>
          </w:tcPr>
          <w:p w14:paraId="5E99B8E7"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17070D4E" w14:textId="5D2E91BC"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0" w:type="dxa"/>
            <w:vAlign w:val="center"/>
          </w:tcPr>
          <w:p w14:paraId="763E5467"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049627C1" w14:textId="0FF99E65"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(1.1%)</w:t>
            </w:r>
          </w:p>
        </w:tc>
        <w:tc>
          <w:tcPr>
            <w:tcW w:w="851" w:type="dxa"/>
            <w:vAlign w:val="center"/>
          </w:tcPr>
          <w:p w14:paraId="4E430378"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0F7FD65B" w14:textId="19939836"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r>
      <w:tr w:rsidR="00AA36BF" w:rsidRPr="00BF4BB2" w14:paraId="76F562E1" w14:textId="77777777" w:rsidTr="00AA36BF">
        <w:trPr>
          <w:trHeight w:val="367"/>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14940945"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Genetic disorders</w:t>
            </w:r>
          </w:p>
        </w:tc>
        <w:tc>
          <w:tcPr>
            <w:tcW w:w="1276" w:type="dxa"/>
            <w:tcBorders>
              <w:left w:val="double" w:sz="4" w:space="0" w:color="auto"/>
              <w:right w:val="double" w:sz="4" w:space="0" w:color="auto"/>
            </w:tcBorders>
            <w:shd w:val="clear" w:color="auto" w:fill="C5E0B3" w:themeFill="accent6" w:themeFillTint="66"/>
            <w:vAlign w:val="center"/>
          </w:tcPr>
          <w:p w14:paraId="0E345863"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39 (3.1%)</w:t>
            </w:r>
          </w:p>
        </w:tc>
        <w:tc>
          <w:tcPr>
            <w:tcW w:w="992" w:type="dxa"/>
            <w:tcBorders>
              <w:left w:val="double" w:sz="4" w:space="0" w:color="auto"/>
            </w:tcBorders>
            <w:vAlign w:val="center"/>
          </w:tcPr>
          <w:p w14:paraId="7EB03B75"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7 </w:t>
            </w:r>
          </w:p>
          <w:p w14:paraId="092F89E9" w14:textId="7FD738F0"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(2.3%)</w:t>
            </w:r>
          </w:p>
        </w:tc>
        <w:tc>
          <w:tcPr>
            <w:tcW w:w="850" w:type="dxa"/>
            <w:vAlign w:val="center"/>
          </w:tcPr>
          <w:p w14:paraId="7FCA6F1B"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13 (3.8%)</w:t>
            </w:r>
          </w:p>
        </w:tc>
        <w:tc>
          <w:tcPr>
            <w:tcW w:w="851" w:type="dxa"/>
            <w:vAlign w:val="center"/>
          </w:tcPr>
          <w:p w14:paraId="7C39898C"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1415593F" w14:textId="5CE94644"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3F1ECC08"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5 </w:t>
            </w:r>
          </w:p>
          <w:p w14:paraId="120D71DF" w14:textId="59A58CFE"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(4.3%)</w:t>
            </w:r>
          </w:p>
        </w:tc>
        <w:tc>
          <w:tcPr>
            <w:tcW w:w="851" w:type="dxa"/>
            <w:vAlign w:val="center"/>
          </w:tcPr>
          <w:p w14:paraId="440BCD30"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28D64364" w14:textId="0EC20378"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(2.6%)</w:t>
            </w:r>
          </w:p>
        </w:tc>
        <w:tc>
          <w:tcPr>
            <w:tcW w:w="850" w:type="dxa"/>
            <w:vAlign w:val="center"/>
          </w:tcPr>
          <w:p w14:paraId="5F53EEFE"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3EE422D4" w14:textId="25739CD2"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1" w:type="dxa"/>
            <w:vAlign w:val="center"/>
          </w:tcPr>
          <w:p w14:paraId="170DE3F0"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5 </w:t>
            </w:r>
          </w:p>
          <w:p w14:paraId="5118EE24" w14:textId="4A576D6E"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(4.8%)</w:t>
            </w:r>
          </w:p>
        </w:tc>
        <w:tc>
          <w:tcPr>
            <w:tcW w:w="850" w:type="dxa"/>
            <w:vAlign w:val="center"/>
          </w:tcPr>
          <w:p w14:paraId="342D594E"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4474ADB9" w14:textId="5038F575"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(2.3%)</w:t>
            </w:r>
          </w:p>
        </w:tc>
        <w:tc>
          <w:tcPr>
            <w:tcW w:w="851" w:type="dxa"/>
            <w:vAlign w:val="center"/>
          </w:tcPr>
          <w:p w14:paraId="3002C42C"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4 </w:t>
            </w:r>
          </w:p>
          <w:p w14:paraId="4B397975" w14:textId="7BE8E0BE"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(6.1%)</w:t>
            </w:r>
          </w:p>
        </w:tc>
      </w:tr>
      <w:tr w:rsidR="00AA36BF" w:rsidRPr="00BF4BB2" w14:paraId="4E2AC2F9" w14:textId="77777777" w:rsidTr="00AA36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3EDF48BA"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Bpd</w:t>
            </w:r>
          </w:p>
        </w:tc>
        <w:tc>
          <w:tcPr>
            <w:tcW w:w="1276" w:type="dxa"/>
            <w:tcBorders>
              <w:left w:val="double" w:sz="4" w:space="0" w:color="auto"/>
              <w:right w:val="double" w:sz="4" w:space="0" w:color="auto"/>
            </w:tcBorders>
            <w:shd w:val="clear" w:color="auto" w:fill="C5E0B3" w:themeFill="accent6" w:themeFillTint="66"/>
            <w:vAlign w:val="center"/>
          </w:tcPr>
          <w:p w14:paraId="16F5CC22" w14:textId="77777777"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18 (1.4%)</w:t>
            </w:r>
          </w:p>
        </w:tc>
        <w:tc>
          <w:tcPr>
            <w:tcW w:w="992" w:type="dxa"/>
            <w:tcBorders>
              <w:left w:val="double" w:sz="4" w:space="0" w:color="auto"/>
            </w:tcBorders>
            <w:vAlign w:val="center"/>
          </w:tcPr>
          <w:p w14:paraId="13548F6C"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6EA4EF8B" w14:textId="49E5E37A"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w:t>
            </w:r>
          </w:p>
        </w:tc>
        <w:tc>
          <w:tcPr>
            <w:tcW w:w="850" w:type="dxa"/>
            <w:vAlign w:val="center"/>
          </w:tcPr>
          <w:p w14:paraId="1D6D12BA"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5 </w:t>
            </w:r>
          </w:p>
          <w:p w14:paraId="4886945E" w14:textId="04F3F0E4"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(1.5%)</w:t>
            </w:r>
          </w:p>
        </w:tc>
        <w:tc>
          <w:tcPr>
            <w:tcW w:w="851" w:type="dxa"/>
            <w:vAlign w:val="center"/>
          </w:tcPr>
          <w:p w14:paraId="1B6716FA"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6DF6B123" w14:textId="6868E6B2"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059F3002"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2BF6877F" w14:textId="1B862DFE"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(2.6%)</w:t>
            </w:r>
          </w:p>
        </w:tc>
        <w:tc>
          <w:tcPr>
            <w:tcW w:w="851" w:type="dxa"/>
            <w:vAlign w:val="center"/>
          </w:tcPr>
          <w:p w14:paraId="01DDA6A0"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2BB8EFAD" w14:textId="13CB85EE"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(0.7%)</w:t>
            </w:r>
          </w:p>
        </w:tc>
        <w:tc>
          <w:tcPr>
            <w:tcW w:w="850" w:type="dxa"/>
            <w:vAlign w:val="center"/>
          </w:tcPr>
          <w:p w14:paraId="6D74E3DE"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70CF7FD5" w14:textId="320463C9"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1" w:type="dxa"/>
            <w:vAlign w:val="center"/>
          </w:tcPr>
          <w:p w14:paraId="6F236AAF"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6368133A" w14:textId="0AEE32E6"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(0.9%)</w:t>
            </w:r>
          </w:p>
        </w:tc>
        <w:tc>
          <w:tcPr>
            <w:tcW w:w="850" w:type="dxa"/>
            <w:vAlign w:val="center"/>
          </w:tcPr>
          <w:p w14:paraId="6D9C179E"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2AB673DC" w14:textId="4AC7C9F8"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(2.3%)</w:t>
            </w:r>
          </w:p>
        </w:tc>
        <w:tc>
          <w:tcPr>
            <w:tcW w:w="851" w:type="dxa"/>
            <w:vAlign w:val="center"/>
          </w:tcPr>
          <w:p w14:paraId="4B6CB223" w14:textId="77777777" w:rsidR="00DE1961"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2 </w:t>
            </w:r>
          </w:p>
          <w:p w14:paraId="348785F4" w14:textId="752C9C14" w:rsidR="00AA36BF" w:rsidRPr="00BF4BB2" w:rsidRDefault="00AA36BF" w:rsidP="00AA36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(3.1%)</w:t>
            </w:r>
          </w:p>
        </w:tc>
      </w:tr>
      <w:tr w:rsidR="00AA36BF" w:rsidRPr="00BF4BB2" w14:paraId="6D3BC5B6" w14:textId="77777777" w:rsidTr="00AA36BF">
        <w:trPr>
          <w:trHeight w:val="350"/>
        </w:trPr>
        <w:tc>
          <w:tcPr>
            <w:cnfStyle w:val="001000000000" w:firstRow="0" w:lastRow="0" w:firstColumn="1" w:lastColumn="0" w:oddVBand="0" w:evenVBand="0" w:oddHBand="0" w:evenHBand="0" w:firstRowFirstColumn="0" w:firstRowLastColumn="0" w:lastRowFirstColumn="0" w:lastRowLastColumn="0"/>
            <w:tcW w:w="2269" w:type="dxa"/>
            <w:tcBorders>
              <w:right w:val="double" w:sz="4" w:space="0" w:color="auto"/>
            </w:tcBorders>
            <w:vAlign w:val="center"/>
          </w:tcPr>
          <w:p w14:paraId="5986A26C" w14:textId="77777777" w:rsidR="00AA36BF" w:rsidRPr="00BF4BB2" w:rsidRDefault="00AA36BF" w:rsidP="00AA36BF">
            <w:pPr>
              <w:jc w:val="center"/>
              <w:rPr>
                <w:rFonts w:ascii="Times New Roman" w:hAnsi="Times New Roman" w:cs="Times New Roman"/>
                <w:bCs w:val="0"/>
                <w:color w:val="000000"/>
                <w:sz w:val="18"/>
                <w:szCs w:val="18"/>
              </w:rPr>
            </w:pPr>
            <w:r w:rsidRPr="00BF4BB2">
              <w:rPr>
                <w:rFonts w:ascii="Times New Roman" w:hAnsi="Times New Roman" w:cs="Times New Roman"/>
                <w:bCs w:val="0"/>
                <w:color w:val="000000"/>
                <w:sz w:val="18"/>
                <w:szCs w:val="18"/>
              </w:rPr>
              <w:t>Others</w:t>
            </w:r>
          </w:p>
        </w:tc>
        <w:tc>
          <w:tcPr>
            <w:tcW w:w="1276" w:type="dxa"/>
            <w:tcBorders>
              <w:left w:val="double" w:sz="4" w:space="0" w:color="auto"/>
              <w:right w:val="double" w:sz="4" w:space="0" w:color="auto"/>
            </w:tcBorders>
            <w:shd w:val="clear" w:color="auto" w:fill="C5E0B3" w:themeFill="accent6" w:themeFillTint="66"/>
            <w:vAlign w:val="center"/>
          </w:tcPr>
          <w:p w14:paraId="1D11EC84" w14:textId="7777777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F4BB2">
              <w:rPr>
                <w:rFonts w:ascii="Times New Roman" w:hAnsi="Times New Roman" w:cs="Times New Roman"/>
                <w:b/>
                <w:color w:val="000000"/>
                <w:sz w:val="18"/>
                <w:szCs w:val="18"/>
              </w:rPr>
              <w:t>51 (4%)</w:t>
            </w:r>
          </w:p>
        </w:tc>
        <w:tc>
          <w:tcPr>
            <w:tcW w:w="992" w:type="dxa"/>
            <w:tcBorders>
              <w:left w:val="double" w:sz="4" w:space="0" w:color="auto"/>
            </w:tcBorders>
            <w:vAlign w:val="center"/>
          </w:tcPr>
          <w:p w14:paraId="0B294D48"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13</w:t>
            </w:r>
          </w:p>
          <w:p w14:paraId="53AB5147" w14:textId="2E0EDC61"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 xml:space="preserve"> (4.3%)</w:t>
            </w:r>
          </w:p>
        </w:tc>
        <w:tc>
          <w:tcPr>
            <w:tcW w:w="850" w:type="dxa"/>
            <w:vAlign w:val="center"/>
          </w:tcPr>
          <w:p w14:paraId="1070C5AB"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17 </w:t>
            </w:r>
          </w:p>
          <w:p w14:paraId="6E59FC03" w14:textId="7C743060"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(5%)</w:t>
            </w:r>
          </w:p>
        </w:tc>
        <w:tc>
          <w:tcPr>
            <w:tcW w:w="851" w:type="dxa"/>
            <w:vAlign w:val="center"/>
          </w:tcPr>
          <w:p w14:paraId="4EF00126"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0 </w:t>
            </w:r>
          </w:p>
          <w:p w14:paraId="0D25FC86" w14:textId="515BEF16"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(0%)</w:t>
            </w:r>
          </w:p>
        </w:tc>
        <w:tc>
          <w:tcPr>
            <w:tcW w:w="850" w:type="dxa"/>
            <w:vAlign w:val="center"/>
          </w:tcPr>
          <w:p w14:paraId="1FEC2D87"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4 </w:t>
            </w:r>
          </w:p>
          <w:p w14:paraId="055556DB" w14:textId="4701822F"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(3.4%)</w:t>
            </w:r>
          </w:p>
        </w:tc>
        <w:tc>
          <w:tcPr>
            <w:tcW w:w="851" w:type="dxa"/>
            <w:vAlign w:val="center"/>
          </w:tcPr>
          <w:p w14:paraId="5B922D73"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6 </w:t>
            </w:r>
          </w:p>
          <w:p w14:paraId="35F1CF8C" w14:textId="2F4DED3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(5%)</w:t>
            </w:r>
          </w:p>
        </w:tc>
        <w:tc>
          <w:tcPr>
            <w:tcW w:w="850" w:type="dxa"/>
            <w:vAlign w:val="center"/>
          </w:tcPr>
          <w:p w14:paraId="70DC1E19"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4 </w:t>
            </w:r>
          </w:p>
          <w:p w14:paraId="18B40C59" w14:textId="3856B149"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(3.5%)</w:t>
            </w:r>
          </w:p>
        </w:tc>
        <w:tc>
          <w:tcPr>
            <w:tcW w:w="851" w:type="dxa"/>
            <w:vAlign w:val="center"/>
          </w:tcPr>
          <w:p w14:paraId="44CEC2A2"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4E4A67AE" w14:textId="3CC0A034"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(2.9%)</w:t>
            </w:r>
          </w:p>
        </w:tc>
        <w:tc>
          <w:tcPr>
            <w:tcW w:w="850" w:type="dxa"/>
            <w:vAlign w:val="center"/>
          </w:tcPr>
          <w:p w14:paraId="5B2A1618"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3 </w:t>
            </w:r>
          </w:p>
          <w:p w14:paraId="177864A4" w14:textId="1842F127"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(3.4%)</w:t>
            </w:r>
          </w:p>
        </w:tc>
        <w:tc>
          <w:tcPr>
            <w:tcW w:w="851" w:type="dxa"/>
            <w:vAlign w:val="center"/>
          </w:tcPr>
          <w:p w14:paraId="65C1965C" w14:textId="77777777" w:rsidR="00DE1961"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BF4BB2">
              <w:rPr>
                <w:rFonts w:ascii="Times New Roman" w:hAnsi="Times New Roman" w:cs="Times New Roman"/>
                <w:color w:val="000000"/>
                <w:sz w:val="18"/>
                <w:szCs w:val="18"/>
              </w:rPr>
              <w:t xml:space="preserve">1 </w:t>
            </w:r>
          </w:p>
          <w:p w14:paraId="00B9A6AC" w14:textId="23FAC0C2" w:rsidR="00AA36BF" w:rsidRPr="00BF4BB2" w:rsidRDefault="00AA36BF" w:rsidP="00AA36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F4BB2">
              <w:rPr>
                <w:rFonts w:ascii="Times New Roman" w:hAnsi="Times New Roman" w:cs="Times New Roman"/>
                <w:color w:val="000000"/>
                <w:sz w:val="18"/>
                <w:szCs w:val="18"/>
              </w:rPr>
              <w:t>(1.5%)</w:t>
            </w:r>
          </w:p>
        </w:tc>
      </w:tr>
    </w:tbl>
    <w:p w14:paraId="10E871E6" w14:textId="21767B18" w:rsidR="00AA36BF" w:rsidRPr="00BF4BB2" w:rsidRDefault="00BF4BB2">
      <w:pPr>
        <w:rPr>
          <w:rFonts w:ascii="Times New Roman" w:hAnsi="Times New Roman" w:cs="Times New Roman"/>
          <w:b/>
        </w:rPr>
      </w:pPr>
      <w:r w:rsidRPr="00BF4BB2">
        <w:rPr>
          <w:rFonts w:ascii="Times New Roman" w:hAnsi="Times New Roman" w:cs="Times New Roman"/>
          <w:b/>
        </w:rPr>
        <w:t>Table S3</w:t>
      </w:r>
    </w:p>
    <w:p w14:paraId="60FD6EA8" w14:textId="436E3866" w:rsidR="00AA36BF" w:rsidRPr="00BF4BB2" w:rsidRDefault="00BF4BB2">
      <w:pPr>
        <w:rPr>
          <w:rFonts w:ascii="Times New Roman" w:hAnsi="Times New Roman" w:cs="Times New Roman"/>
        </w:rPr>
      </w:pPr>
      <w:r w:rsidRPr="00BF4BB2">
        <w:rPr>
          <w:rFonts w:ascii="Times New Roman" w:hAnsi="Times New Roman" w:cs="Times New Roman"/>
          <w:noProof/>
          <w:lang w:val="it-IT" w:eastAsia="it-IT"/>
        </w:rPr>
        <mc:AlternateContent>
          <mc:Choice Requires="wps">
            <w:drawing>
              <wp:anchor distT="0" distB="0" distL="114300" distR="114300" simplePos="0" relativeHeight="251670528" behindDoc="0" locked="0" layoutInCell="1" allowOverlap="1" wp14:anchorId="27A3DA98" wp14:editId="673422F3">
                <wp:simplePos x="0" y="0"/>
                <wp:positionH relativeFrom="column">
                  <wp:posOffset>-437988</wp:posOffset>
                </wp:positionH>
                <wp:positionV relativeFrom="paragraph">
                  <wp:posOffset>3513982</wp:posOffset>
                </wp:positionV>
                <wp:extent cx="7198833" cy="571608"/>
                <wp:effectExtent l="0" t="0" r="0" b="12700"/>
                <wp:wrapNone/>
                <wp:docPr id="768578718" name="Casella di testo 1"/>
                <wp:cNvGraphicFramePr/>
                <a:graphic xmlns:a="http://schemas.openxmlformats.org/drawingml/2006/main">
                  <a:graphicData uri="http://schemas.microsoft.com/office/word/2010/wordprocessingShape">
                    <wps:wsp>
                      <wps:cNvSpPr txBox="1"/>
                      <wps:spPr>
                        <a:xfrm>
                          <a:off x="0" y="0"/>
                          <a:ext cx="7198833" cy="571608"/>
                        </a:xfrm>
                        <a:prstGeom prst="rect">
                          <a:avLst/>
                        </a:prstGeom>
                        <a:solidFill>
                          <a:prstClr val="white"/>
                        </a:solidFill>
                        <a:ln>
                          <a:noFill/>
                        </a:ln>
                      </wps:spPr>
                      <wps:txbx>
                        <w:txbxContent>
                          <w:p w14:paraId="5EB0FB51" w14:textId="43245EA0" w:rsidR="0058264F" w:rsidRPr="00BF4BB2" w:rsidRDefault="0058264F" w:rsidP="00AA36BF">
                            <w:pPr>
                              <w:pStyle w:val="Didascalia"/>
                              <w:rPr>
                                <w:rFonts w:ascii="Times New Roman" w:hAnsi="Times New Roman" w:cs="Times New Roman"/>
                                <w:noProof/>
                                <w:color w:val="auto"/>
                                <w:sz w:val="22"/>
                                <w:szCs w:val="22"/>
                              </w:rPr>
                            </w:pPr>
                            <w:r w:rsidRPr="00BF4BB2">
                              <w:rPr>
                                <w:rFonts w:ascii="Times New Roman" w:hAnsi="Times New Roman" w:cs="Times New Roman"/>
                                <w:b/>
                                <w:bCs/>
                                <w:color w:val="auto"/>
                                <w:sz w:val="22"/>
                                <w:szCs w:val="22"/>
                              </w:rPr>
                              <w:t xml:space="preserve">Table S3. </w:t>
                            </w:r>
                            <w:r w:rsidRPr="00BF4BB2">
                              <w:rPr>
                                <w:rFonts w:ascii="Times New Roman" w:hAnsi="Times New Roman" w:cs="Times New Roman"/>
                                <w:color w:val="auto"/>
                                <w:sz w:val="22"/>
                                <w:szCs w:val="22"/>
                              </w:rPr>
                              <w:t xml:space="preserve">Distribution of the comorbidities according to different seasons, described as an absolute number and percentage over the total cases [n] registered in the given season. The column “total” shows all  the cases from 2014-2015 to 2022-2023 seasons. BPD = bronchopulmonary dysplasia.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A3DA98" id="_x0000_s1028" type="#_x0000_t202" style="position:absolute;margin-left:-34.5pt;margin-top:276.7pt;width:566.8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" stroked="f">
                <v:textbox inset="0,0,0,0">
                  <w:txbxContent>
                    <w:p w14:paraId="5EB0FB51" w14:textId="43245EA0" w:rsidR="0058264F" w:rsidRPr="00BF4BB2" w:rsidRDefault="0058264F" w:rsidP="00AA36BF">
                      <w:pPr>
                        <w:pStyle w:val="Didascalia"/>
                        <w:rPr>
                          <w:rFonts w:ascii="Times New Roman" w:hAnsi="Times New Roman" w:cs="Times New Roman"/>
                          <w:noProof/>
                          <w:color w:val="auto"/>
                          <w:sz w:val="22"/>
                          <w:szCs w:val="22"/>
                        </w:rPr>
                      </w:pPr>
                      <w:r w:rsidRPr="00BF4BB2">
                        <w:rPr>
                          <w:rFonts w:ascii="Times New Roman" w:hAnsi="Times New Roman" w:cs="Times New Roman"/>
                          <w:b/>
                          <w:bCs/>
                          <w:color w:val="auto"/>
                          <w:sz w:val="22"/>
                          <w:szCs w:val="22"/>
                        </w:rPr>
                        <w:t xml:space="preserve">Table S3. </w:t>
                      </w:r>
                      <w:r w:rsidRPr="00BF4BB2">
                        <w:rPr>
                          <w:rFonts w:ascii="Times New Roman" w:hAnsi="Times New Roman" w:cs="Times New Roman"/>
                          <w:color w:val="auto"/>
                          <w:sz w:val="22"/>
                          <w:szCs w:val="22"/>
                        </w:rPr>
                        <w:t xml:space="preserve">Distribution of the comorbidities according to different seasons, described as an absolute number and percentage over the total cases [n] registered in the given season. The column “total” shows all  the cases from 2014-2015 to 2022-2023 seasons. BPD = bronchopulmonary dysplasia. </w:t>
                      </w:r>
                    </w:p>
                  </w:txbxContent>
                </v:textbox>
              </v:shape>
            </w:pict>
          </mc:Fallback>
        </mc:AlternateContent>
      </w:r>
    </w:p>
    <w:p w14:paraId="4EA85D4D" w14:textId="4DF176FA" w:rsidR="00AA36BF" w:rsidRPr="00BF4BB2" w:rsidRDefault="00AA36BF">
      <w:pPr>
        <w:rPr>
          <w:rFonts w:ascii="Times New Roman" w:hAnsi="Times New Roman" w:cs="Times New Roman"/>
        </w:rPr>
      </w:pPr>
    </w:p>
    <w:p w14:paraId="77D95DC9" w14:textId="77777777" w:rsidR="00BF4BB2" w:rsidRPr="00BF4BB2" w:rsidRDefault="00BF4BB2">
      <w:pPr>
        <w:rPr>
          <w:rFonts w:ascii="Times New Roman" w:hAnsi="Times New Roman" w:cs="Times New Roman"/>
        </w:rPr>
      </w:pPr>
      <w:r w:rsidRPr="00BF4BB2">
        <w:rPr>
          <w:rFonts w:ascii="Times New Roman" w:hAnsi="Times New Roman" w:cs="Times New Roman"/>
        </w:rPr>
        <w:br w:type="page"/>
      </w:r>
    </w:p>
    <w:p w14:paraId="092B7588" w14:textId="77777777" w:rsidR="00BF4BB2" w:rsidRPr="00BF4BB2" w:rsidRDefault="00BF4BB2" w:rsidP="00BF4BB2">
      <w:pPr>
        <w:rPr>
          <w:rFonts w:ascii="Times New Roman" w:hAnsi="Times New Roman" w:cs="Times New Roman"/>
          <w:sz w:val="24"/>
          <w:szCs w:val="24"/>
        </w:rPr>
      </w:pPr>
    </w:p>
    <w:p w14:paraId="634890A3" w14:textId="77777777" w:rsidR="00BF4BB2" w:rsidRPr="00BF4BB2" w:rsidRDefault="00BF4BB2" w:rsidP="00BF4BB2">
      <w:pPr>
        <w:rPr>
          <w:rFonts w:ascii="Times New Roman" w:hAnsi="Times New Roman" w:cs="Times New Roman"/>
          <w:sz w:val="24"/>
          <w:szCs w:val="24"/>
        </w:rPr>
      </w:pPr>
    </w:p>
    <w:p w14:paraId="71E199D3" w14:textId="2CD86258" w:rsidR="00BF4BB2" w:rsidRPr="00BF4BB2" w:rsidRDefault="00BF4BB2" w:rsidP="00BF4BB2">
      <w:pPr>
        <w:jc w:val="center"/>
        <w:rPr>
          <w:rFonts w:ascii="Times New Roman" w:hAnsi="Times New Roman" w:cs="Times New Roman"/>
        </w:rPr>
      </w:pPr>
      <w:r w:rsidRPr="00BF4BB2">
        <w:rPr>
          <w:rFonts w:ascii="Times New Roman" w:hAnsi="Times New Roman" w:cs="Times New Roman"/>
          <w:noProof/>
          <w:lang w:val="it-IT" w:eastAsia="it-IT"/>
        </w:rPr>
        <w:drawing>
          <wp:inline distT="0" distB="0" distL="0" distR="0" wp14:anchorId="608C20B9" wp14:editId="60B281DC">
            <wp:extent cx="4244975" cy="3588385"/>
            <wp:effectExtent l="0" t="0" r="0" b="0"/>
            <wp:docPr id="965271959" name="Grafico 1">
              <a:extLst xmlns:a="http://schemas.openxmlformats.org/drawingml/2006/main">
                <a:ext uri="{FF2B5EF4-FFF2-40B4-BE49-F238E27FC236}">
                  <a16:creationId xmlns:a16="http://schemas.microsoft.com/office/drawing/2014/main" id="{1A0247CD-E740-FA05-0D7E-69043DD28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6D720F8" w14:textId="352B9941" w:rsidR="00BF4BB2" w:rsidRPr="00BF4BB2" w:rsidRDefault="00BF4BB2" w:rsidP="00BF4BB2">
      <w:pPr>
        <w:rPr>
          <w:rFonts w:ascii="Times New Roman" w:hAnsi="Times New Roman" w:cs="Times New Roman"/>
        </w:rPr>
      </w:pPr>
      <w:r w:rsidRPr="00BF4BB2">
        <w:rPr>
          <w:rFonts w:ascii="Times New Roman" w:hAnsi="Times New Roman" w:cs="Times New Roman"/>
          <w:noProof/>
          <w:lang w:val="it-IT" w:eastAsia="it-IT"/>
        </w:rPr>
        <mc:AlternateContent>
          <mc:Choice Requires="wps">
            <w:drawing>
              <wp:anchor distT="0" distB="0" distL="114300" distR="114300" simplePos="0" relativeHeight="251674624" behindDoc="0" locked="0" layoutInCell="1" allowOverlap="1" wp14:anchorId="798FAD8A" wp14:editId="4CD2E944">
                <wp:simplePos x="0" y="0"/>
                <wp:positionH relativeFrom="column">
                  <wp:posOffset>1159659</wp:posOffset>
                </wp:positionH>
                <wp:positionV relativeFrom="paragraph">
                  <wp:posOffset>75673</wp:posOffset>
                </wp:positionV>
                <wp:extent cx="3891280" cy="477520"/>
                <wp:effectExtent l="0" t="0" r="0" b="0"/>
                <wp:wrapNone/>
                <wp:docPr id="302641138" name="Casella di testo 1"/>
                <wp:cNvGraphicFramePr/>
                <a:graphic xmlns:a="http://schemas.openxmlformats.org/drawingml/2006/main">
                  <a:graphicData uri="http://schemas.microsoft.com/office/word/2010/wordprocessingShape">
                    <wps:wsp>
                      <wps:cNvSpPr txBox="1"/>
                      <wps:spPr>
                        <a:xfrm>
                          <a:off x="0" y="0"/>
                          <a:ext cx="3891280" cy="477520"/>
                        </a:xfrm>
                        <a:prstGeom prst="rect">
                          <a:avLst/>
                        </a:prstGeom>
                        <a:solidFill>
                          <a:prstClr val="white"/>
                        </a:solidFill>
                        <a:ln>
                          <a:noFill/>
                        </a:ln>
                      </wps:spPr>
                      <wps:txbx>
                        <w:txbxContent>
                          <w:p w14:paraId="6D9BB2E9" w14:textId="77777777" w:rsidR="00BF4BB2" w:rsidRPr="00BF4BB2" w:rsidRDefault="00BF4BB2" w:rsidP="00BF4BB2">
                            <w:pPr>
                              <w:pStyle w:val="Didascalia"/>
                              <w:rPr>
                                <w:rFonts w:ascii="Times New Roman" w:hAnsi="Times New Roman" w:cs="Times New Roman"/>
                                <w:color w:val="auto"/>
                                <w:sz w:val="24"/>
                                <w:szCs w:val="24"/>
                              </w:rPr>
                            </w:pPr>
                            <w:r w:rsidRPr="00BF4BB2">
                              <w:rPr>
                                <w:rFonts w:ascii="Times New Roman" w:hAnsi="Times New Roman" w:cs="Times New Roman"/>
                                <w:b/>
                                <w:bCs/>
                                <w:color w:val="auto"/>
                                <w:sz w:val="24"/>
                                <w:szCs w:val="24"/>
                              </w:rPr>
                              <w:t>Figure S</w:t>
                            </w:r>
                            <w:r w:rsidRPr="00BF4BB2">
                              <w:rPr>
                                <w:rFonts w:ascii="Times New Roman" w:hAnsi="Times New Roman" w:cs="Times New Roman"/>
                                <w:b/>
                                <w:bCs/>
                                <w:color w:val="auto"/>
                                <w:sz w:val="24"/>
                                <w:szCs w:val="24"/>
                              </w:rPr>
                              <w:fldChar w:fldCharType="begin"/>
                            </w:r>
                            <w:r w:rsidRPr="00BF4BB2">
                              <w:rPr>
                                <w:rFonts w:ascii="Times New Roman" w:hAnsi="Times New Roman" w:cs="Times New Roman"/>
                                <w:b/>
                                <w:bCs/>
                                <w:color w:val="auto"/>
                                <w:sz w:val="24"/>
                                <w:szCs w:val="24"/>
                              </w:rPr>
                              <w:instrText xml:space="preserve"> SEQ Figure \* ARABIC </w:instrText>
                            </w:r>
                            <w:r w:rsidRPr="00BF4BB2">
                              <w:rPr>
                                <w:rFonts w:ascii="Times New Roman" w:hAnsi="Times New Roman" w:cs="Times New Roman"/>
                                <w:b/>
                                <w:bCs/>
                                <w:color w:val="auto"/>
                                <w:sz w:val="24"/>
                                <w:szCs w:val="24"/>
                              </w:rPr>
                              <w:fldChar w:fldCharType="separate"/>
                            </w:r>
                            <w:r w:rsidRPr="00BF4BB2">
                              <w:rPr>
                                <w:rFonts w:ascii="Times New Roman" w:hAnsi="Times New Roman" w:cs="Times New Roman"/>
                                <w:b/>
                                <w:bCs/>
                                <w:noProof/>
                                <w:color w:val="auto"/>
                                <w:sz w:val="24"/>
                                <w:szCs w:val="24"/>
                              </w:rPr>
                              <w:t>1</w:t>
                            </w:r>
                            <w:r w:rsidRPr="00BF4BB2">
                              <w:rPr>
                                <w:rFonts w:ascii="Times New Roman" w:hAnsi="Times New Roman" w:cs="Times New Roman"/>
                                <w:b/>
                                <w:bCs/>
                                <w:color w:val="auto"/>
                                <w:sz w:val="24"/>
                                <w:szCs w:val="24"/>
                              </w:rPr>
                              <w:fldChar w:fldCharType="end"/>
                            </w:r>
                            <w:r w:rsidRPr="00BF4BB2">
                              <w:rPr>
                                <w:rFonts w:ascii="Times New Roman" w:hAnsi="Times New Roman" w:cs="Times New Roman"/>
                                <w:b/>
                                <w:bCs/>
                                <w:color w:val="auto"/>
                                <w:sz w:val="24"/>
                                <w:szCs w:val="24"/>
                              </w:rPr>
                              <w:t>.</w:t>
                            </w:r>
                            <w:r w:rsidRPr="00BF4BB2">
                              <w:rPr>
                                <w:rFonts w:ascii="Times New Roman" w:hAnsi="Times New Roman" w:cs="Times New Roman"/>
                                <w:color w:val="auto"/>
                                <w:sz w:val="24"/>
                                <w:szCs w:val="24"/>
                              </w:rPr>
                              <w:t xml:space="preserve"> Total number of patients &lt;1 year-old included in the study, divided by age in months. m = months of 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w14:anchorId="798FAD8A" id="_x0000_s1029" type="#_x0000_t202" style="position:absolute;margin-left:91.3pt;margin-top:5.95pt;width:306.4pt;height:37.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" stroked="f">
                <v:textbox style="mso-fit-shape-to-text:t" inset="0,0,0,0">
                  <w:txbxContent>
                    <w:p w14:paraId="6D9BB2E9" w14:textId="77777777" w:rsidR="00BF4BB2" w:rsidRPr="00BF4BB2" w:rsidRDefault="00BF4BB2" w:rsidP="00BF4BB2">
                      <w:pPr>
                        <w:pStyle w:val="Didascalia"/>
                        <w:rPr>
                          <w:rFonts w:ascii="Times New Roman" w:hAnsi="Times New Roman" w:cs="Times New Roman"/>
                          <w:color w:val="auto"/>
                          <w:sz w:val="24"/>
                          <w:szCs w:val="24"/>
                        </w:rPr>
                      </w:pPr>
                      <w:r w:rsidRPr="00BF4BB2">
                        <w:rPr>
                          <w:rFonts w:ascii="Times New Roman" w:hAnsi="Times New Roman" w:cs="Times New Roman"/>
                          <w:b/>
                          <w:bCs/>
                          <w:color w:val="auto"/>
                          <w:sz w:val="24"/>
                          <w:szCs w:val="24"/>
                        </w:rPr>
                        <w:t>Figure S</w:t>
                      </w:r>
                      <w:r w:rsidRPr="00BF4BB2">
                        <w:rPr>
                          <w:rFonts w:ascii="Times New Roman" w:hAnsi="Times New Roman" w:cs="Times New Roman"/>
                          <w:b/>
                          <w:bCs/>
                          <w:color w:val="auto"/>
                          <w:sz w:val="24"/>
                          <w:szCs w:val="24"/>
                        </w:rPr>
                        <w:fldChar w:fldCharType="begin"/>
                      </w:r>
                      <w:r w:rsidRPr="00BF4BB2">
                        <w:rPr>
                          <w:rFonts w:ascii="Times New Roman" w:hAnsi="Times New Roman" w:cs="Times New Roman"/>
                          <w:b/>
                          <w:bCs/>
                          <w:color w:val="auto"/>
                          <w:sz w:val="24"/>
                          <w:szCs w:val="24"/>
                        </w:rPr>
                        <w:instrText xml:space="preserve"> SEQ Figure \* ARABIC </w:instrText>
                      </w:r>
                      <w:r w:rsidRPr="00BF4BB2">
                        <w:rPr>
                          <w:rFonts w:ascii="Times New Roman" w:hAnsi="Times New Roman" w:cs="Times New Roman"/>
                          <w:b/>
                          <w:bCs/>
                          <w:color w:val="auto"/>
                          <w:sz w:val="24"/>
                          <w:szCs w:val="24"/>
                        </w:rPr>
                        <w:fldChar w:fldCharType="separate"/>
                      </w:r>
                      <w:r w:rsidRPr="00BF4BB2">
                        <w:rPr>
                          <w:rFonts w:ascii="Times New Roman" w:hAnsi="Times New Roman" w:cs="Times New Roman"/>
                          <w:b/>
                          <w:bCs/>
                          <w:noProof/>
                          <w:color w:val="auto"/>
                          <w:sz w:val="24"/>
                          <w:szCs w:val="24"/>
                        </w:rPr>
                        <w:t>1</w:t>
                      </w:r>
                      <w:r w:rsidRPr="00BF4BB2">
                        <w:rPr>
                          <w:rFonts w:ascii="Times New Roman" w:hAnsi="Times New Roman" w:cs="Times New Roman"/>
                          <w:b/>
                          <w:bCs/>
                          <w:color w:val="auto"/>
                          <w:sz w:val="24"/>
                          <w:szCs w:val="24"/>
                        </w:rPr>
                        <w:fldChar w:fldCharType="end"/>
                      </w:r>
                      <w:r w:rsidRPr="00BF4BB2">
                        <w:rPr>
                          <w:rFonts w:ascii="Times New Roman" w:hAnsi="Times New Roman" w:cs="Times New Roman"/>
                          <w:b/>
                          <w:bCs/>
                          <w:color w:val="auto"/>
                          <w:sz w:val="24"/>
                          <w:szCs w:val="24"/>
                        </w:rPr>
                        <w:t>.</w:t>
                      </w:r>
                      <w:r w:rsidRPr="00BF4BB2">
                        <w:rPr>
                          <w:rFonts w:ascii="Times New Roman" w:hAnsi="Times New Roman" w:cs="Times New Roman"/>
                          <w:color w:val="auto"/>
                          <w:sz w:val="24"/>
                          <w:szCs w:val="24"/>
                        </w:rPr>
                        <w:t xml:space="preserve"> Total number of patients &lt;1 year-old included in the study, divided by age in months. m = months of age.</w:t>
                      </w:r>
                    </w:p>
                  </w:txbxContent>
                </v:textbox>
              </v:shape>
            </w:pict>
          </mc:Fallback>
        </mc:AlternateContent>
      </w:r>
    </w:p>
    <w:p w14:paraId="3618CAE5" w14:textId="3B9DF0CC" w:rsidR="00BF4BB2" w:rsidRPr="00BF4BB2" w:rsidRDefault="00BF4BB2" w:rsidP="00BF4BB2">
      <w:pPr>
        <w:rPr>
          <w:rFonts w:ascii="Times New Roman" w:hAnsi="Times New Roman" w:cs="Times New Roman"/>
        </w:rPr>
      </w:pPr>
    </w:p>
    <w:p w14:paraId="552E55BA" w14:textId="5742A9B9" w:rsidR="00BF4BB2" w:rsidRPr="00BF4BB2" w:rsidRDefault="00BF4BB2">
      <w:pPr>
        <w:rPr>
          <w:rFonts w:ascii="Times New Roman" w:hAnsi="Times New Roman" w:cs="Times New Roman"/>
        </w:rPr>
      </w:pPr>
      <w:r w:rsidRPr="00BF4BB2">
        <w:rPr>
          <w:rFonts w:ascii="Times New Roman" w:hAnsi="Times New Roman" w:cs="Times New Roman"/>
        </w:rPr>
        <w:br w:type="page"/>
      </w:r>
    </w:p>
    <w:p w14:paraId="562DAB01" w14:textId="31062054" w:rsidR="00BF4BB2" w:rsidRPr="00BF4BB2" w:rsidRDefault="00BF4BB2" w:rsidP="00BF4BB2">
      <w:pPr>
        <w:rPr>
          <w:rFonts w:ascii="Times New Roman" w:hAnsi="Times New Roman" w:cs="Times New Roman"/>
          <w:b/>
        </w:rPr>
      </w:pPr>
      <w:r w:rsidRPr="00BF4BB2">
        <w:rPr>
          <w:rFonts w:ascii="Times New Roman" w:hAnsi="Times New Roman" w:cs="Times New Roman"/>
          <w:b/>
        </w:rPr>
        <w:lastRenderedPageBreak/>
        <w:t>Figure S2</w:t>
      </w:r>
    </w:p>
    <w:p w14:paraId="32F53455" w14:textId="62A31EE1" w:rsidR="00AA36BF" w:rsidRPr="00BF4BB2" w:rsidRDefault="00BF4BB2" w:rsidP="00BF4BB2">
      <w:pPr>
        <w:jc w:val="center"/>
        <w:rPr>
          <w:rFonts w:ascii="Times New Roman" w:hAnsi="Times New Roman" w:cs="Times New Roman"/>
        </w:rPr>
      </w:pPr>
      <w:r w:rsidRPr="00BF4BB2">
        <w:rPr>
          <w:rFonts w:ascii="Times New Roman" w:hAnsi="Times New Roman" w:cs="Times New Roman"/>
          <w:noProof/>
          <w:lang w:val="it-IT" w:eastAsia="it-IT"/>
        </w:rPr>
        <mc:AlternateContent>
          <mc:Choice Requires="wps">
            <w:drawing>
              <wp:anchor distT="0" distB="0" distL="114300" distR="114300" simplePos="0" relativeHeight="251672576" behindDoc="0" locked="0" layoutInCell="1" allowOverlap="1" wp14:anchorId="669C3936" wp14:editId="1C7D9AB8">
                <wp:simplePos x="0" y="0"/>
                <wp:positionH relativeFrom="column">
                  <wp:posOffset>246110</wp:posOffset>
                </wp:positionH>
                <wp:positionV relativeFrom="paragraph">
                  <wp:posOffset>4474426</wp:posOffset>
                </wp:positionV>
                <wp:extent cx="5601065" cy="470776"/>
                <wp:effectExtent l="0" t="0" r="12700" b="12065"/>
                <wp:wrapNone/>
                <wp:docPr id="1779439215" name="Casella di testo 1"/>
                <wp:cNvGraphicFramePr/>
                <a:graphic xmlns:a="http://schemas.openxmlformats.org/drawingml/2006/main">
                  <a:graphicData uri="http://schemas.microsoft.com/office/word/2010/wordprocessingShape">
                    <wps:wsp>
                      <wps:cNvSpPr txBox="1"/>
                      <wps:spPr>
                        <a:xfrm>
                          <a:off x="0" y="0"/>
                          <a:ext cx="5601065" cy="470776"/>
                        </a:xfrm>
                        <a:prstGeom prst="rect">
                          <a:avLst/>
                        </a:prstGeom>
                        <a:solidFill>
                          <a:schemeClr val="lt1"/>
                        </a:solidFill>
                        <a:ln w="6350">
                          <a:noFill/>
                        </a:ln>
                      </wps:spPr>
                      <wps:txbx>
                        <w:txbxContent>
                          <w:p w14:paraId="25432C55" w14:textId="7DBE4592" w:rsidR="0058264F" w:rsidRPr="00BF4BB2" w:rsidRDefault="0058264F" w:rsidP="00AA36BF">
                            <w:pPr>
                              <w:pStyle w:val="Didascalia"/>
                              <w:rPr>
                                <w:rFonts w:ascii="Times New Roman" w:hAnsi="Times New Roman" w:cs="Times New Roman"/>
                                <w:color w:val="auto"/>
                                <w:sz w:val="22"/>
                                <w:szCs w:val="22"/>
                              </w:rPr>
                            </w:pPr>
                            <w:r w:rsidRPr="00BF4BB2">
                              <w:rPr>
                                <w:rFonts w:ascii="Times New Roman" w:hAnsi="Times New Roman" w:cs="Times New Roman"/>
                                <w:b/>
                                <w:bCs/>
                                <w:color w:val="auto"/>
                                <w:sz w:val="22"/>
                                <w:szCs w:val="22"/>
                              </w:rPr>
                              <w:t>Figure S2</w:t>
                            </w:r>
                            <w:r w:rsidRPr="00BF4BB2">
                              <w:rPr>
                                <w:rFonts w:ascii="Times New Roman" w:hAnsi="Times New Roman" w:cs="Times New Roman"/>
                                <w:color w:val="auto"/>
                                <w:sz w:val="22"/>
                                <w:szCs w:val="22"/>
                              </w:rPr>
                              <w:t>: Distribution of the different comorbidities over the total number of patients presenting comorbidities.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669C3936" id="_x0000_s1030" type="#_x0000_t202" style="position:absolute;left:0;text-align:left;margin-left:19.4pt;margin-top:352.3pt;width:441.05pt;height:37.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" fillcolor="white [3201]" stroked="f" strokeweight=".5pt">
                <v:textbox>
                  <w:txbxContent>
                    <w:p w14:paraId="25432C55" w14:textId="7DBE4592" w:rsidR="0058264F" w:rsidRPr="00BF4BB2" w:rsidRDefault="0058264F" w:rsidP="00AA36BF">
                      <w:pPr>
                        <w:pStyle w:val="Didascalia"/>
                        <w:rPr>
                          <w:rFonts w:ascii="Times New Roman" w:hAnsi="Times New Roman" w:cs="Times New Roman"/>
                          <w:color w:val="auto"/>
                          <w:sz w:val="22"/>
                          <w:szCs w:val="22"/>
                        </w:rPr>
                      </w:pPr>
                      <w:r w:rsidRPr="00BF4BB2">
                        <w:rPr>
                          <w:rFonts w:ascii="Times New Roman" w:hAnsi="Times New Roman" w:cs="Times New Roman"/>
                          <w:b/>
                          <w:bCs/>
                          <w:color w:val="auto"/>
                          <w:sz w:val="22"/>
                          <w:szCs w:val="22"/>
                        </w:rPr>
                        <w:t>Figure S2</w:t>
                      </w:r>
                      <w:r w:rsidRPr="00BF4BB2">
                        <w:rPr>
                          <w:rFonts w:ascii="Times New Roman" w:hAnsi="Times New Roman" w:cs="Times New Roman"/>
                          <w:color w:val="auto"/>
                          <w:sz w:val="22"/>
                          <w:szCs w:val="22"/>
                        </w:rPr>
                        <w:t>: Distribution of the different comorbidities over the total number of patients presenting comorbidities.</w:t>
                      </w:r>
                    </w:p>
                  </w:txbxContent>
                </v:textbox>
              </v:shape>
            </w:pict>
          </mc:Fallback>
        </mc:AlternateContent>
      </w:r>
      <w:r w:rsidR="00AA36BF" w:rsidRPr="00BF4BB2">
        <w:rPr>
          <w:rFonts w:ascii="Times New Roman" w:hAnsi="Times New Roman" w:cs="Times New Roman"/>
          <w:noProof/>
          <w:lang w:val="it-IT" w:eastAsia="it-IT"/>
        </w:rPr>
        <w:drawing>
          <wp:inline distT="0" distB="0" distL="0" distR="0" wp14:anchorId="4B2478FF" wp14:editId="4333EC6C">
            <wp:extent cx="6332220" cy="4386814"/>
            <wp:effectExtent l="0" t="0" r="0" b="7620"/>
            <wp:docPr id="1988491878" name="Grafico 1">
              <a:extLst xmlns:a="http://schemas.openxmlformats.org/drawingml/2006/main">
                <a:ext uri="{FF2B5EF4-FFF2-40B4-BE49-F238E27FC236}">
                  <a16:creationId xmlns:a16="http://schemas.microsoft.com/office/drawing/2014/main" id="{CC5BE858-71B5-467A-1F90-81CC475DF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AAAEAD" w14:textId="38D51C15" w:rsidR="00AA36BF" w:rsidRPr="00BF4BB2" w:rsidRDefault="00AA36BF">
      <w:pPr>
        <w:rPr>
          <w:rFonts w:ascii="Times New Roman" w:hAnsi="Times New Roman" w:cs="Times New Roman"/>
        </w:rPr>
      </w:pPr>
    </w:p>
    <w:p w14:paraId="39FF1C3E" w14:textId="7AF7ED4A" w:rsidR="00E22D8B" w:rsidRDefault="00F35DFD">
      <w:pPr>
        <w:rPr>
          <w:rFonts w:ascii="Times New Roman" w:hAnsi="Times New Roman" w:cs="Times New Roman"/>
          <w:noProof/>
        </w:rPr>
      </w:pPr>
      <w:r w:rsidRPr="00BF4BB2">
        <w:rPr>
          <w:rFonts w:ascii="Times New Roman" w:hAnsi="Times New Roman" w:cs="Times New Roman"/>
          <w:noProof/>
        </w:rPr>
        <w:t xml:space="preserve"> </w:t>
      </w:r>
    </w:p>
    <w:p w14:paraId="14572C6B" w14:textId="77777777" w:rsidR="00E22D8B" w:rsidRDefault="00E22D8B">
      <w:pPr>
        <w:rPr>
          <w:rFonts w:ascii="Times New Roman" w:hAnsi="Times New Roman" w:cs="Times New Roman"/>
          <w:noProof/>
        </w:rPr>
      </w:pPr>
      <w:r>
        <w:rPr>
          <w:rFonts w:ascii="Times New Roman" w:hAnsi="Times New Roman" w:cs="Times New Roman"/>
          <w:noProof/>
        </w:rPr>
        <w:br w:type="page"/>
      </w:r>
    </w:p>
    <w:p w14:paraId="6F4FB426" w14:textId="77777777"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b/>
          <w:color w:val="000000"/>
        </w:rPr>
      </w:pPr>
      <w:r w:rsidRPr="00C36DB2">
        <w:rPr>
          <w:rFonts w:asciiTheme="majorBidi" w:hAnsiTheme="majorBidi" w:cstheme="majorBidi"/>
          <w:b/>
          <w:color w:val="000000"/>
        </w:rPr>
        <w:lastRenderedPageBreak/>
        <w:t>Supplementary Methods</w:t>
      </w:r>
    </w:p>
    <w:p w14:paraId="5FBF073F" w14:textId="77777777"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color w:val="000000"/>
        </w:rPr>
      </w:pPr>
      <w:r w:rsidRPr="00C36DB2">
        <w:rPr>
          <w:rFonts w:asciiTheme="majorBidi" w:hAnsiTheme="majorBidi" w:cstheme="majorBidi"/>
          <w:color w:val="000000"/>
        </w:rPr>
        <w:t>The analysis was performed on a nasal swab</w:t>
      </w:r>
      <w:r>
        <w:rPr>
          <w:rFonts w:asciiTheme="majorBidi" w:hAnsiTheme="majorBidi" w:cstheme="majorBidi"/>
          <w:color w:val="000000"/>
        </w:rPr>
        <w:t xml:space="preserve"> or </w:t>
      </w:r>
      <w:r w:rsidRPr="00424779">
        <w:rPr>
          <w:rFonts w:asciiTheme="majorBidi" w:hAnsiTheme="majorBidi" w:cstheme="majorBidi"/>
        </w:rPr>
        <w:t>bronchoalveolar lavage fluid</w:t>
      </w:r>
      <w:r w:rsidRPr="00C36DB2">
        <w:rPr>
          <w:rFonts w:asciiTheme="majorBidi" w:hAnsiTheme="majorBidi" w:cstheme="majorBidi"/>
          <w:color w:val="000000"/>
        </w:rPr>
        <w:t xml:space="preserve">. Viral RNA was extracted from biological samples using </w:t>
      </w:r>
      <w:proofErr w:type="spellStart"/>
      <w:r w:rsidRPr="00C36DB2">
        <w:rPr>
          <w:rFonts w:asciiTheme="majorBidi" w:hAnsiTheme="majorBidi" w:cstheme="majorBidi"/>
          <w:color w:val="000000"/>
        </w:rPr>
        <w:t>MagCore</w:t>
      </w:r>
      <w:proofErr w:type="spellEnd"/>
      <w:r w:rsidRPr="00C36DB2">
        <w:rPr>
          <w:rFonts w:asciiTheme="majorBidi" w:hAnsiTheme="majorBidi" w:cstheme="majorBidi"/>
          <w:color w:val="000000"/>
        </w:rPr>
        <w:t>® Viral Nucleic Acid Extraction Kit (</w:t>
      </w:r>
      <w:proofErr w:type="spellStart"/>
      <w:r w:rsidRPr="00C36DB2">
        <w:rPr>
          <w:rFonts w:asciiTheme="majorBidi" w:hAnsiTheme="majorBidi" w:cstheme="majorBidi"/>
          <w:color w:val="000000"/>
        </w:rPr>
        <w:t>Diatech</w:t>
      </w:r>
      <w:proofErr w:type="spellEnd"/>
      <w:r w:rsidRPr="00C36DB2">
        <w:rPr>
          <w:rFonts w:asciiTheme="majorBidi" w:hAnsiTheme="majorBidi" w:cstheme="majorBidi"/>
          <w:color w:val="000000"/>
        </w:rPr>
        <w:t xml:space="preserve"> </w:t>
      </w:r>
      <w:proofErr w:type="spellStart"/>
      <w:r w:rsidRPr="00C36DB2">
        <w:rPr>
          <w:rFonts w:asciiTheme="majorBidi" w:hAnsiTheme="majorBidi" w:cstheme="majorBidi"/>
          <w:color w:val="000000"/>
        </w:rPr>
        <w:t>LabLine</w:t>
      </w:r>
      <w:proofErr w:type="spellEnd"/>
      <w:r w:rsidRPr="00C36DB2">
        <w:rPr>
          <w:rFonts w:asciiTheme="majorBidi" w:hAnsiTheme="majorBidi" w:cstheme="majorBidi"/>
          <w:color w:val="000000"/>
        </w:rPr>
        <w:t xml:space="preserve">, </w:t>
      </w:r>
      <w:proofErr w:type="spellStart"/>
      <w:r w:rsidRPr="00C36DB2">
        <w:rPr>
          <w:rFonts w:asciiTheme="majorBidi" w:hAnsiTheme="majorBidi" w:cstheme="majorBidi"/>
          <w:color w:val="000000"/>
        </w:rPr>
        <w:t>Jesi</w:t>
      </w:r>
      <w:proofErr w:type="spellEnd"/>
      <w:r w:rsidRPr="00C36DB2">
        <w:rPr>
          <w:rFonts w:asciiTheme="majorBidi" w:hAnsiTheme="majorBidi" w:cstheme="majorBidi"/>
          <w:color w:val="000000"/>
        </w:rPr>
        <w:t>, Italy).</w:t>
      </w:r>
      <w:r w:rsidRPr="00C36DB2">
        <w:rPr>
          <w:rFonts w:asciiTheme="majorBidi" w:hAnsiTheme="majorBidi" w:cstheme="majorBidi"/>
        </w:rPr>
        <w:t xml:space="preserve"> The </w:t>
      </w:r>
      <w:r w:rsidRPr="00C36DB2">
        <w:rPr>
          <w:rFonts w:asciiTheme="majorBidi" w:hAnsiTheme="majorBidi" w:cstheme="majorBidi"/>
          <w:color w:val="000000"/>
        </w:rPr>
        <w:t xml:space="preserve">quantitative Reverse Transcription Polymerase Chain Reaction (RT-qPCR) </w:t>
      </w:r>
      <w:r w:rsidRPr="00C36DB2">
        <w:rPr>
          <w:rFonts w:asciiTheme="majorBidi" w:hAnsiTheme="majorBidi" w:cstheme="majorBidi"/>
        </w:rPr>
        <w:t>amplification was performed in 20 </w:t>
      </w:r>
      <w:proofErr w:type="spellStart"/>
      <w:r w:rsidRPr="00C36DB2">
        <w:rPr>
          <w:rFonts w:asciiTheme="majorBidi" w:hAnsiTheme="majorBidi" w:cstheme="majorBidi"/>
        </w:rPr>
        <w:t>μl</w:t>
      </w:r>
      <w:proofErr w:type="spellEnd"/>
      <w:r w:rsidRPr="00C36DB2">
        <w:rPr>
          <w:rFonts w:asciiTheme="majorBidi" w:hAnsiTheme="majorBidi" w:cstheme="majorBidi"/>
        </w:rPr>
        <w:t xml:space="preserve"> reaction volumes containing 5 </w:t>
      </w:r>
      <w:proofErr w:type="spellStart"/>
      <w:r w:rsidRPr="00C36DB2">
        <w:rPr>
          <w:rFonts w:asciiTheme="majorBidi" w:hAnsiTheme="majorBidi" w:cstheme="majorBidi"/>
        </w:rPr>
        <w:t>μl</w:t>
      </w:r>
      <w:proofErr w:type="spellEnd"/>
      <w:r w:rsidRPr="00C36DB2">
        <w:rPr>
          <w:rFonts w:asciiTheme="majorBidi" w:hAnsiTheme="majorBidi" w:cstheme="majorBidi"/>
        </w:rPr>
        <w:t xml:space="preserve"> of </w:t>
      </w:r>
      <w:proofErr w:type="spellStart"/>
      <w:r w:rsidRPr="00C36DB2">
        <w:rPr>
          <w:rFonts w:asciiTheme="majorBidi" w:hAnsiTheme="majorBidi" w:cstheme="majorBidi"/>
        </w:rPr>
        <w:t>TaqPath</w:t>
      </w:r>
      <w:proofErr w:type="spellEnd"/>
      <w:r w:rsidRPr="00C36DB2">
        <w:rPr>
          <w:rFonts w:asciiTheme="majorBidi" w:hAnsiTheme="majorBidi" w:cstheme="majorBidi"/>
        </w:rPr>
        <w:t xml:space="preserve"> 1-Step Multiplex Master Mix (Applied Biosystem, Waltham, Massachusetts, USA). </w:t>
      </w:r>
      <w:r w:rsidRPr="00C36DB2">
        <w:rPr>
          <w:rFonts w:asciiTheme="majorBidi" w:hAnsiTheme="majorBidi" w:cstheme="majorBidi"/>
          <w:color w:val="000000"/>
          <w:highlight w:val="white"/>
        </w:rPr>
        <w:t xml:space="preserve">The </w:t>
      </w:r>
      <w:r w:rsidRPr="00C36DB2">
        <w:rPr>
          <w:rFonts w:asciiTheme="majorBidi" w:hAnsiTheme="majorBidi" w:cstheme="majorBidi"/>
          <w:color w:val="000000"/>
        </w:rPr>
        <w:t xml:space="preserve">RT-qPCR </w:t>
      </w:r>
      <w:r w:rsidRPr="00C36DB2">
        <w:rPr>
          <w:rFonts w:asciiTheme="majorBidi" w:hAnsiTheme="majorBidi" w:cstheme="majorBidi"/>
          <w:color w:val="000000"/>
          <w:highlight w:val="white"/>
        </w:rPr>
        <w:t xml:space="preserve">was performed in an </w:t>
      </w:r>
      <w:proofErr w:type="spellStart"/>
      <w:r w:rsidRPr="00C36DB2">
        <w:rPr>
          <w:rFonts w:asciiTheme="majorBidi" w:hAnsiTheme="majorBidi" w:cstheme="majorBidi"/>
          <w:color w:val="000000"/>
        </w:rPr>
        <w:t>QuantStudio</w:t>
      </w:r>
      <w:proofErr w:type="spellEnd"/>
      <w:r w:rsidRPr="00C36DB2">
        <w:rPr>
          <w:rFonts w:asciiTheme="majorBidi" w:hAnsiTheme="majorBidi" w:cstheme="majorBidi"/>
          <w:color w:val="000000"/>
        </w:rPr>
        <w:t xml:space="preserve"> 5 Real-Time PCR System (Applied Biosystem, Waltham, Massachusetts, USA)</w:t>
      </w:r>
      <w:r w:rsidRPr="00C36DB2">
        <w:rPr>
          <w:rFonts w:asciiTheme="majorBidi" w:hAnsiTheme="majorBidi" w:cstheme="majorBidi"/>
          <w:color w:val="000000"/>
          <w:highlight w:val="white"/>
        </w:rPr>
        <w:t xml:space="preserve"> using the following cycling parameters: 25°C for 2 minutes, 53 °C for 10  minutes, 95°C for 2  minutes followed by 40 cycles of a two-stage temperature profile of 95 °C for 3 seconds and 60 °C for 30 seconds.</w:t>
      </w:r>
    </w:p>
    <w:p w14:paraId="3E85D607" w14:textId="77777777"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color w:val="000000"/>
        </w:rPr>
      </w:pPr>
      <w:r w:rsidRPr="00C36DB2">
        <w:rPr>
          <w:rFonts w:asciiTheme="majorBidi" w:hAnsiTheme="majorBidi" w:cstheme="majorBidi"/>
          <w:color w:val="000000"/>
        </w:rPr>
        <w:t>Positive and negative controls were used to validate each run. All reactions were performed in duplicate. If no increase in fluorescent signal was observed after 40 cycles, the sample is assumed as negative for the analyzed pathogen.</w:t>
      </w:r>
    </w:p>
    <w:p w14:paraId="2F7091BA" w14:textId="77777777"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rPr>
      </w:pPr>
    </w:p>
    <w:p w14:paraId="0C93557B" w14:textId="77777777"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i/>
          <w:color w:val="000000"/>
        </w:rPr>
      </w:pPr>
      <w:r w:rsidRPr="00C36DB2">
        <w:rPr>
          <w:rFonts w:asciiTheme="majorBidi" w:hAnsiTheme="majorBidi" w:cstheme="majorBidi"/>
          <w:i/>
          <w:color w:val="000000"/>
        </w:rPr>
        <w:t>RT-qPCR panel for ILI detection</w:t>
      </w:r>
    </w:p>
    <w:p w14:paraId="0B42F90C" w14:textId="7FABEA22"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color w:val="000000"/>
        </w:rPr>
      </w:pPr>
      <w:bookmarkStart w:id="2" w:name="_heading=h.gjdgxs" w:colFirst="0" w:colLast="0"/>
      <w:bookmarkEnd w:id="2"/>
      <w:r w:rsidRPr="00C36DB2">
        <w:rPr>
          <w:rFonts w:asciiTheme="majorBidi" w:hAnsiTheme="majorBidi" w:cstheme="majorBidi"/>
          <w:color w:val="000000"/>
        </w:rPr>
        <w:t xml:space="preserve">The ILI panel included </w:t>
      </w:r>
      <w:r>
        <w:rPr>
          <w:rFonts w:asciiTheme="majorBidi" w:hAnsiTheme="majorBidi" w:cstheme="majorBidi"/>
          <w:color w:val="000000"/>
        </w:rPr>
        <w:t xml:space="preserve">RSV, </w:t>
      </w:r>
      <w:r w:rsidRPr="00C36DB2">
        <w:rPr>
          <w:rFonts w:asciiTheme="majorBidi" w:hAnsiTheme="majorBidi" w:cstheme="majorBidi"/>
          <w:color w:val="000000"/>
        </w:rPr>
        <w:t>Influenza virus (A, B), Parainfluenza virus (serotype 1,</w:t>
      </w:r>
      <w:r>
        <w:rPr>
          <w:rFonts w:asciiTheme="majorBidi" w:hAnsiTheme="majorBidi" w:cstheme="majorBidi"/>
          <w:color w:val="000000"/>
        </w:rPr>
        <w:t xml:space="preserve"> </w:t>
      </w:r>
      <w:r w:rsidRPr="00C36DB2">
        <w:rPr>
          <w:rFonts w:asciiTheme="majorBidi" w:hAnsiTheme="majorBidi" w:cstheme="majorBidi"/>
          <w:color w:val="000000"/>
        </w:rPr>
        <w:t>2,</w:t>
      </w:r>
      <w:r>
        <w:rPr>
          <w:rFonts w:asciiTheme="majorBidi" w:hAnsiTheme="majorBidi" w:cstheme="majorBidi"/>
          <w:color w:val="000000"/>
        </w:rPr>
        <w:t xml:space="preserve"> </w:t>
      </w:r>
      <w:r w:rsidRPr="00C36DB2">
        <w:rPr>
          <w:rFonts w:asciiTheme="majorBidi" w:hAnsiTheme="majorBidi" w:cstheme="majorBidi"/>
          <w:color w:val="000000"/>
        </w:rPr>
        <w:t>3), Adenovirus, Bocavirus, Metapneumovirus and Rhinovirus. Primers and probes are listed in</w:t>
      </w:r>
      <w:r w:rsidRPr="00C36DB2">
        <w:rPr>
          <w:rFonts w:asciiTheme="majorBidi" w:hAnsiTheme="majorBidi" w:cstheme="majorBidi"/>
        </w:rPr>
        <w:t xml:space="preserve"> the</w:t>
      </w:r>
      <w:r w:rsidRPr="00C36DB2">
        <w:rPr>
          <w:rFonts w:asciiTheme="majorBidi" w:hAnsiTheme="majorBidi" w:cstheme="majorBidi"/>
          <w:color w:val="000000"/>
        </w:rPr>
        <w:t xml:space="preserve"> </w:t>
      </w:r>
      <w:r w:rsidRPr="006378DD">
        <w:rPr>
          <w:rFonts w:asciiTheme="majorBidi" w:hAnsiTheme="majorBidi" w:cstheme="majorBidi"/>
        </w:rPr>
        <w:t xml:space="preserve">Supplementary Table </w:t>
      </w:r>
      <w:r w:rsidR="006378DD">
        <w:rPr>
          <w:rFonts w:asciiTheme="majorBidi" w:hAnsiTheme="majorBidi" w:cstheme="majorBidi"/>
        </w:rPr>
        <w:t>S4</w:t>
      </w:r>
      <w:r w:rsidRPr="00C36DB2">
        <w:rPr>
          <w:rFonts w:asciiTheme="majorBidi" w:hAnsiTheme="majorBidi" w:cstheme="majorBidi"/>
          <w:color w:val="000000"/>
        </w:rPr>
        <w:t>. All primers</w:t>
      </w:r>
      <w:r w:rsidRPr="00C36DB2">
        <w:rPr>
          <w:rFonts w:asciiTheme="majorBidi" w:hAnsiTheme="majorBidi" w:cstheme="majorBidi"/>
          <w:color w:val="000000"/>
          <w:highlight w:val="white"/>
        </w:rPr>
        <w:t xml:space="preserve"> were used at a concentration of 300 </w:t>
      </w:r>
      <w:proofErr w:type="spellStart"/>
      <w:r w:rsidRPr="00C36DB2">
        <w:rPr>
          <w:rFonts w:asciiTheme="majorBidi" w:hAnsiTheme="majorBidi" w:cstheme="majorBidi"/>
          <w:color w:val="000000"/>
          <w:highlight w:val="white"/>
        </w:rPr>
        <w:t>nM</w:t>
      </w:r>
      <w:proofErr w:type="spellEnd"/>
      <w:r w:rsidRPr="00C36DB2">
        <w:rPr>
          <w:rFonts w:asciiTheme="majorBidi" w:hAnsiTheme="majorBidi" w:cstheme="majorBidi"/>
          <w:color w:val="000000"/>
          <w:highlight w:val="white"/>
        </w:rPr>
        <w:t>; the FAM-labelled probe was used at a concentration of 25 </w:t>
      </w:r>
      <w:proofErr w:type="spellStart"/>
      <w:r w:rsidRPr="00C36DB2">
        <w:rPr>
          <w:rFonts w:asciiTheme="majorBidi" w:hAnsiTheme="majorBidi" w:cstheme="majorBidi"/>
          <w:color w:val="000000"/>
          <w:highlight w:val="white"/>
        </w:rPr>
        <w:t>nM</w:t>
      </w:r>
      <w:proofErr w:type="spellEnd"/>
      <w:r w:rsidRPr="00C36DB2">
        <w:rPr>
          <w:rFonts w:asciiTheme="majorBidi" w:hAnsiTheme="majorBidi" w:cstheme="majorBidi"/>
          <w:color w:val="000000"/>
          <w:highlight w:val="white"/>
        </w:rPr>
        <w:t xml:space="preserve"> and VIC-labelled probe was used at a concentration of 50 </w:t>
      </w:r>
      <w:proofErr w:type="spellStart"/>
      <w:r w:rsidRPr="00C36DB2">
        <w:rPr>
          <w:rFonts w:asciiTheme="majorBidi" w:hAnsiTheme="majorBidi" w:cstheme="majorBidi"/>
          <w:color w:val="000000"/>
          <w:highlight w:val="white"/>
        </w:rPr>
        <w:t>nM.</w:t>
      </w:r>
      <w:proofErr w:type="spellEnd"/>
      <w:r w:rsidRPr="00C36DB2">
        <w:rPr>
          <w:rFonts w:asciiTheme="majorBidi" w:hAnsiTheme="majorBidi" w:cstheme="majorBidi"/>
          <w:color w:val="000000"/>
          <w:highlight w:val="white"/>
        </w:rPr>
        <w:t xml:space="preserve"> Five </w:t>
      </w:r>
      <w:proofErr w:type="spellStart"/>
      <w:r w:rsidRPr="00C36DB2">
        <w:rPr>
          <w:rFonts w:asciiTheme="majorBidi" w:hAnsiTheme="majorBidi" w:cstheme="majorBidi"/>
          <w:color w:val="000000"/>
          <w:highlight w:val="white"/>
        </w:rPr>
        <w:t>μl</w:t>
      </w:r>
      <w:proofErr w:type="spellEnd"/>
      <w:r w:rsidRPr="00C36DB2">
        <w:rPr>
          <w:rFonts w:asciiTheme="majorBidi" w:hAnsiTheme="majorBidi" w:cstheme="majorBidi"/>
          <w:color w:val="000000"/>
          <w:highlight w:val="white"/>
        </w:rPr>
        <w:t xml:space="preserve"> of RNA extract was used for each reaction. </w:t>
      </w:r>
      <w:r w:rsidR="000C50FD" w:rsidRPr="00C36DB2">
        <w:rPr>
          <w:rFonts w:asciiTheme="majorBidi" w:hAnsiTheme="majorBidi" w:cstheme="majorBidi"/>
          <w:highlight w:val="white"/>
        </w:rPr>
        <w:t xml:space="preserve">The presence of SARS-CoV-2 was evaluated </w:t>
      </w:r>
      <w:r w:rsidR="000C50FD">
        <w:rPr>
          <w:rFonts w:asciiTheme="majorBidi" w:hAnsiTheme="majorBidi" w:cstheme="majorBidi"/>
          <w:highlight w:val="white"/>
        </w:rPr>
        <w:t xml:space="preserve">separately </w:t>
      </w:r>
      <w:r w:rsidR="000C50FD" w:rsidRPr="00C36DB2">
        <w:rPr>
          <w:rFonts w:asciiTheme="majorBidi" w:hAnsiTheme="majorBidi" w:cstheme="majorBidi"/>
          <w:highlight w:val="white"/>
        </w:rPr>
        <w:t xml:space="preserve">through RT-qPCR according to international  guidelines </w:t>
      </w:r>
      <w:r w:rsidR="000C50FD">
        <w:rPr>
          <w:rFonts w:asciiTheme="majorBidi" w:hAnsiTheme="majorBidi" w:cstheme="majorBidi"/>
        </w:rPr>
        <w:t>(1).</w:t>
      </w:r>
    </w:p>
    <w:p w14:paraId="2358FF07" w14:textId="77777777" w:rsidR="00E22D8B" w:rsidRPr="00C36DB2" w:rsidRDefault="00E22D8B" w:rsidP="00E22D8B">
      <w:pPr>
        <w:pBdr>
          <w:top w:val="nil"/>
          <w:left w:val="nil"/>
          <w:bottom w:val="nil"/>
          <w:right w:val="nil"/>
          <w:between w:val="nil"/>
        </w:pBdr>
        <w:spacing w:line="480" w:lineRule="auto"/>
        <w:jc w:val="both"/>
        <w:rPr>
          <w:rFonts w:asciiTheme="majorBidi" w:hAnsiTheme="majorBidi" w:cstheme="majorBidi"/>
          <w:color w:val="000000"/>
          <w:highlight w:val="white"/>
        </w:rPr>
      </w:pPr>
    </w:p>
    <w:p w14:paraId="6124ED35" w14:textId="244F19F1" w:rsidR="00416B05" w:rsidRDefault="00416B05">
      <w:pPr>
        <w:rPr>
          <w:rFonts w:asciiTheme="majorBidi" w:hAnsiTheme="majorBidi" w:cstheme="majorBidi"/>
          <w:i/>
          <w:color w:val="000000"/>
        </w:rPr>
      </w:pPr>
      <w:r>
        <w:rPr>
          <w:rFonts w:asciiTheme="majorBidi" w:hAnsiTheme="majorBidi" w:cstheme="majorBidi"/>
          <w:i/>
          <w:color w:val="000000"/>
        </w:rPr>
        <w:br w:type="page"/>
      </w:r>
    </w:p>
    <w:p w14:paraId="4C6C5B44" w14:textId="77777777" w:rsidR="00416B05" w:rsidRDefault="00416B05">
      <w:pPr>
        <w:rPr>
          <w:rFonts w:asciiTheme="majorBidi" w:hAnsiTheme="majorBidi" w:cstheme="majorBidi"/>
          <w:i/>
          <w:color w:val="000000"/>
        </w:rPr>
        <w:sectPr w:rsidR="00416B05" w:rsidSect="00FE54E6">
          <w:pgSz w:w="12240" w:h="15840"/>
          <w:pgMar w:top="1417" w:right="1134" w:bottom="1134" w:left="1134" w:header="708" w:footer="708" w:gutter="0"/>
          <w:cols w:space="708"/>
          <w:docGrid w:linePitch="360"/>
        </w:sectPr>
      </w:pPr>
    </w:p>
    <w:p w14:paraId="193608A9" w14:textId="77777777" w:rsidR="00416B05" w:rsidRDefault="00416B05" w:rsidP="00416B05">
      <w:pPr>
        <w:pBdr>
          <w:top w:val="nil"/>
          <w:left w:val="nil"/>
          <w:bottom w:val="nil"/>
          <w:right w:val="nil"/>
          <w:between w:val="nil"/>
        </w:pBdr>
        <w:rPr>
          <w:b/>
          <w:color w:val="000000"/>
        </w:rPr>
      </w:pPr>
      <w:r>
        <w:rPr>
          <w:rFonts w:asciiTheme="majorBidi" w:hAnsiTheme="majorBidi" w:cstheme="majorBidi"/>
          <w:i/>
          <w:color w:val="000000"/>
        </w:rPr>
        <w:lastRenderedPageBreak/>
        <w:t xml:space="preserve"> </w:t>
      </w:r>
      <w:r>
        <w:rPr>
          <w:rFonts w:asciiTheme="majorBidi" w:hAnsiTheme="majorBidi" w:cstheme="majorBidi"/>
          <w:i/>
          <w:color w:val="000000"/>
        </w:rPr>
        <w:br w:type="page"/>
      </w:r>
    </w:p>
    <w:tbl>
      <w:tblPr>
        <w:tblpPr w:leftFromText="141" w:rightFromText="141" w:vertAnchor="page" w:horzAnchor="page" w:tblpX="1150" w:tblpY="1985"/>
        <w:tblW w:w="13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1783"/>
        <w:gridCol w:w="3023"/>
        <w:gridCol w:w="3260"/>
        <w:gridCol w:w="4964"/>
      </w:tblGrid>
      <w:tr w:rsidR="00416B05" w:rsidRPr="00C3537D" w14:paraId="23942671" w14:textId="77777777" w:rsidTr="00416B05">
        <w:tc>
          <w:tcPr>
            <w:tcW w:w="716" w:type="dxa"/>
            <w:vAlign w:val="center"/>
          </w:tcPr>
          <w:p w14:paraId="48F6EBCC" w14:textId="77777777" w:rsidR="00416B05" w:rsidRPr="00C3537D" w:rsidRDefault="00416B05" w:rsidP="00416B05">
            <w:pPr>
              <w:jc w:val="center"/>
              <w:rPr>
                <w:rFonts w:ascii="Times New Roman" w:hAnsi="Times New Roman" w:cs="Times New Roman"/>
                <w:color w:val="000000"/>
                <w:sz w:val="15"/>
                <w:szCs w:val="15"/>
              </w:rPr>
            </w:pPr>
          </w:p>
        </w:tc>
        <w:tc>
          <w:tcPr>
            <w:tcW w:w="1783" w:type="dxa"/>
            <w:vAlign w:val="center"/>
          </w:tcPr>
          <w:p w14:paraId="43C0D7FC" w14:textId="77777777" w:rsidR="00416B05" w:rsidRPr="00C3537D" w:rsidRDefault="00416B05" w:rsidP="00416B05">
            <w:pPr>
              <w:jc w:val="center"/>
              <w:rPr>
                <w:rFonts w:ascii="Times New Roman" w:hAnsi="Times New Roman" w:cs="Times New Roman"/>
                <w:color w:val="000000"/>
                <w:sz w:val="15"/>
                <w:szCs w:val="15"/>
              </w:rPr>
            </w:pPr>
          </w:p>
        </w:tc>
        <w:tc>
          <w:tcPr>
            <w:tcW w:w="3023" w:type="dxa"/>
            <w:vAlign w:val="center"/>
          </w:tcPr>
          <w:p w14:paraId="582AC772"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Forward</w:t>
            </w:r>
          </w:p>
        </w:tc>
        <w:tc>
          <w:tcPr>
            <w:tcW w:w="3260" w:type="dxa"/>
            <w:vAlign w:val="center"/>
          </w:tcPr>
          <w:p w14:paraId="7C3245A4"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Reverse</w:t>
            </w:r>
          </w:p>
        </w:tc>
        <w:tc>
          <w:tcPr>
            <w:tcW w:w="4964" w:type="dxa"/>
            <w:vAlign w:val="center"/>
          </w:tcPr>
          <w:p w14:paraId="2FA68DA1"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Probe</w:t>
            </w:r>
          </w:p>
        </w:tc>
      </w:tr>
      <w:tr w:rsidR="00416B05" w:rsidRPr="00C3537D" w14:paraId="77B330E1" w14:textId="77777777" w:rsidTr="00416B05">
        <w:tc>
          <w:tcPr>
            <w:tcW w:w="716" w:type="dxa"/>
            <w:vMerge w:val="restart"/>
            <w:vAlign w:val="center"/>
          </w:tcPr>
          <w:p w14:paraId="0593856F" w14:textId="77777777" w:rsidR="00416B05" w:rsidRPr="00C3537D" w:rsidRDefault="00416B05" w:rsidP="00416B05">
            <w:pPr>
              <w:jc w:val="center"/>
              <w:rPr>
                <w:rFonts w:ascii="Times New Roman" w:hAnsi="Times New Roman" w:cs="Times New Roman"/>
                <w:color w:val="000000"/>
                <w:sz w:val="18"/>
                <w:szCs w:val="18"/>
              </w:rPr>
            </w:pPr>
            <w:r w:rsidRPr="00C3537D">
              <w:rPr>
                <w:rFonts w:ascii="Times New Roman" w:hAnsi="Times New Roman" w:cs="Times New Roman"/>
                <w:color w:val="000000"/>
                <w:sz w:val="18"/>
                <w:szCs w:val="18"/>
              </w:rPr>
              <w:t>Mix1</w:t>
            </w:r>
          </w:p>
        </w:tc>
        <w:tc>
          <w:tcPr>
            <w:tcW w:w="1783" w:type="dxa"/>
            <w:vAlign w:val="center"/>
          </w:tcPr>
          <w:p w14:paraId="0772B8A3"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Flu H1N1</w:t>
            </w:r>
          </w:p>
        </w:tc>
        <w:tc>
          <w:tcPr>
            <w:tcW w:w="3023" w:type="dxa"/>
            <w:vAlign w:val="center"/>
          </w:tcPr>
          <w:p w14:paraId="5721F95D"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CAAGCCGGAAATAGCAATAAGAC</w:t>
            </w:r>
          </w:p>
        </w:tc>
        <w:tc>
          <w:tcPr>
            <w:tcW w:w="3260" w:type="dxa"/>
            <w:vAlign w:val="center"/>
          </w:tcPr>
          <w:p w14:paraId="4D684ECF"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CCCGGCTCTACTAGTGTCCAGTA</w:t>
            </w:r>
          </w:p>
        </w:tc>
        <w:tc>
          <w:tcPr>
            <w:tcW w:w="4964" w:type="dxa"/>
            <w:vAlign w:val="center"/>
          </w:tcPr>
          <w:p w14:paraId="35A435DD"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VIC-CAAAGTGAGGGATCAAGAAGGGAGAATGAAC-QSY</w:t>
            </w:r>
          </w:p>
        </w:tc>
      </w:tr>
      <w:tr w:rsidR="00416B05" w:rsidRPr="00C3537D" w14:paraId="21FFDF2A" w14:textId="77777777" w:rsidTr="00416B05">
        <w:tc>
          <w:tcPr>
            <w:tcW w:w="716" w:type="dxa"/>
            <w:vMerge/>
            <w:vAlign w:val="center"/>
          </w:tcPr>
          <w:p w14:paraId="30672086" w14:textId="77777777" w:rsidR="00416B05" w:rsidRPr="00C3537D" w:rsidRDefault="00416B05" w:rsidP="00416B05">
            <w:pPr>
              <w:widowControl w:val="0"/>
              <w:pBdr>
                <w:top w:val="nil"/>
                <w:left w:val="nil"/>
                <w:bottom w:val="nil"/>
                <w:right w:val="nil"/>
                <w:between w:val="nil"/>
              </w:pBdr>
              <w:spacing w:line="276" w:lineRule="auto"/>
              <w:rPr>
                <w:rFonts w:ascii="Times New Roman" w:hAnsi="Times New Roman" w:cs="Times New Roman"/>
                <w:color w:val="000000"/>
                <w:sz w:val="18"/>
                <w:szCs w:val="18"/>
              </w:rPr>
            </w:pPr>
          </w:p>
        </w:tc>
        <w:tc>
          <w:tcPr>
            <w:tcW w:w="1783" w:type="dxa"/>
            <w:vAlign w:val="center"/>
          </w:tcPr>
          <w:p w14:paraId="7F578706"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Flu H3N2</w:t>
            </w:r>
          </w:p>
        </w:tc>
        <w:tc>
          <w:tcPr>
            <w:tcW w:w="3023" w:type="dxa"/>
            <w:vAlign w:val="center"/>
          </w:tcPr>
          <w:p w14:paraId="5BE3E2EB"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GATTATGCCTCCCTTAGGTCACTAGT</w:t>
            </w:r>
          </w:p>
        </w:tc>
        <w:tc>
          <w:tcPr>
            <w:tcW w:w="3260" w:type="dxa"/>
            <w:vAlign w:val="center"/>
          </w:tcPr>
          <w:p w14:paraId="50854762"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TCCAGTCCAATTGAAGCTTTCA</w:t>
            </w:r>
          </w:p>
        </w:tc>
        <w:tc>
          <w:tcPr>
            <w:tcW w:w="4964" w:type="dxa"/>
            <w:vAlign w:val="center"/>
          </w:tcPr>
          <w:p w14:paraId="241057AA"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FAM-CCTCATCCGGCACACTGGAGTTTAACA-QSY</w:t>
            </w:r>
          </w:p>
        </w:tc>
      </w:tr>
      <w:tr w:rsidR="00416B05" w:rsidRPr="00C3537D" w14:paraId="49C455A5" w14:textId="77777777" w:rsidTr="00416B05">
        <w:tc>
          <w:tcPr>
            <w:tcW w:w="716" w:type="dxa"/>
            <w:vMerge w:val="restart"/>
            <w:vAlign w:val="center"/>
          </w:tcPr>
          <w:p w14:paraId="70210FE4" w14:textId="77777777" w:rsidR="00416B05" w:rsidRPr="00C3537D" w:rsidRDefault="00416B05" w:rsidP="00416B05">
            <w:pPr>
              <w:jc w:val="center"/>
              <w:rPr>
                <w:rFonts w:ascii="Times New Roman" w:hAnsi="Times New Roman" w:cs="Times New Roman"/>
                <w:color w:val="000000"/>
                <w:sz w:val="18"/>
                <w:szCs w:val="18"/>
              </w:rPr>
            </w:pPr>
            <w:r w:rsidRPr="00C3537D">
              <w:rPr>
                <w:rFonts w:ascii="Times New Roman" w:hAnsi="Times New Roman" w:cs="Times New Roman"/>
                <w:color w:val="000000"/>
                <w:sz w:val="18"/>
                <w:szCs w:val="18"/>
              </w:rPr>
              <w:t>Mix2</w:t>
            </w:r>
          </w:p>
        </w:tc>
        <w:tc>
          <w:tcPr>
            <w:tcW w:w="1783" w:type="dxa"/>
            <w:vAlign w:val="center"/>
          </w:tcPr>
          <w:p w14:paraId="3F6BA287"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Flu B</w:t>
            </w:r>
          </w:p>
        </w:tc>
        <w:tc>
          <w:tcPr>
            <w:tcW w:w="3023" w:type="dxa"/>
            <w:vAlign w:val="center"/>
          </w:tcPr>
          <w:p w14:paraId="1F46E2E5"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AAA ACT AGG AAC GCT CTG TGC TTT</w:t>
            </w:r>
          </w:p>
        </w:tc>
        <w:tc>
          <w:tcPr>
            <w:tcW w:w="3260" w:type="dxa"/>
            <w:vAlign w:val="center"/>
          </w:tcPr>
          <w:p w14:paraId="7D7B3A76"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GATCTCGCTGCTCTGCTATGAG</w:t>
            </w:r>
          </w:p>
        </w:tc>
        <w:tc>
          <w:tcPr>
            <w:tcW w:w="4964" w:type="dxa"/>
            <w:vAlign w:val="center"/>
          </w:tcPr>
          <w:p w14:paraId="7B7EC7CF"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VIC-TGCGAGAAACAAGCATCACATTCACACA-QSY</w:t>
            </w:r>
          </w:p>
        </w:tc>
      </w:tr>
      <w:tr w:rsidR="00416B05" w:rsidRPr="00C3537D" w14:paraId="2AE86006" w14:textId="77777777" w:rsidTr="00416B05">
        <w:tc>
          <w:tcPr>
            <w:tcW w:w="716" w:type="dxa"/>
            <w:vMerge/>
            <w:vAlign w:val="center"/>
          </w:tcPr>
          <w:p w14:paraId="0C16881E" w14:textId="77777777" w:rsidR="00416B05" w:rsidRPr="00C3537D" w:rsidRDefault="00416B05" w:rsidP="00416B05">
            <w:pPr>
              <w:widowControl w:val="0"/>
              <w:pBdr>
                <w:top w:val="nil"/>
                <w:left w:val="nil"/>
                <w:bottom w:val="nil"/>
                <w:right w:val="nil"/>
                <w:between w:val="nil"/>
              </w:pBdr>
              <w:spacing w:line="276" w:lineRule="auto"/>
              <w:rPr>
                <w:rFonts w:ascii="Times New Roman" w:hAnsi="Times New Roman" w:cs="Times New Roman"/>
                <w:color w:val="000000"/>
                <w:sz w:val="18"/>
                <w:szCs w:val="18"/>
              </w:rPr>
            </w:pPr>
          </w:p>
        </w:tc>
        <w:tc>
          <w:tcPr>
            <w:tcW w:w="1783" w:type="dxa"/>
            <w:vAlign w:val="center"/>
          </w:tcPr>
          <w:p w14:paraId="57708CF6"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RSV</w:t>
            </w:r>
          </w:p>
        </w:tc>
        <w:tc>
          <w:tcPr>
            <w:tcW w:w="3023" w:type="dxa"/>
            <w:vAlign w:val="center"/>
          </w:tcPr>
          <w:p w14:paraId="13DC9DB3"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GGAAACATACGTGAACAARCTTCA</w:t>
            </w:r>
          </w:p>
        </w:tc>
        <w:tc>
          <w:tcPr>
            <w:tcW w:w="3260" w:type="dxa"/>
            <w:vAlign w:val="center"/>
          </w:tcPr>
          <w:p w14:paraId="119A97D3"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CATATTGTWAGTGATGCAGGATCAT</w:t>
            </w:r>
          </w:p>
        </w:tc>
        <w:tc>
          <w:tcPr>
            <w:tcW w:w="4964" w:type="dxa"/>
            <w:vAlign w:val="center"/>
          </w:tcPr>
          <w:p w14:paraId="72BF2B2D"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FAM-AAGGCTCCACATACACAGCTGCTGT-QSY</w:t>
            </w:r>
          </w:p>
        </w:tc>
      </w:tr>
      <w:tr w:rsidR="00416B05" w:rsidRPr="00C3537D" w14:paraId="7C74801C" w14:textId="77777777" w:rsidTr="00416B05">
        <w:tc>
          <w:tcPr>
            <w:tcW w:w="716" w:type="dxa"/>
            <w:vMerge w:val="restart"/>
            <w:vAlign w:val="center"/>
          </w:tcPr>
          <w:p w14:paraId="2FB897A1" w14:textId="77777777" w:rsidR="00416B05" w:rsidRPr="00C3537D" w:rsidRDefault="00416B05" w:rsidP="00416B05">
            <w:pPr>
              <w:jc w:val="center"/>
              <w:rPr>
                <w:rFonts w:ascii="Times New Roman" w:hAnsi="Times New Roman" w:cs="Times New Roman"/>
                <w:color w:val="000000"/>
                <w:sz w:val="18"/>
                <w:szCs w:val="18"/>
              </w:rPr>
            </w:pPr>
            <w:r w:rsidRPr="00C3537D">
              <w:rPr>
                <w:rFonts w:ascii="Times New Roman" w:hAnsi="Times New Roman" w:cs="Times New Roman"/>
                <w:color w:val="000000"/>
                <w:sz w:val="18"/>
                <w:szCs w:val="18"/>
              </w:rPr>
              <w:t>Mix3</w:t>
            </w:r>
          </w:p>
        </w:tc>
        <w:tc>
          <w:tcPr>
            <w:tcW w:w="1783" w:type="dxa"/>
            <w:vAlign w:val="center"/>
          </w:tcPr>
          <w:p w14:paraId="579DBFF9"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Adenovirus</w:t>
            </w:r>
          </w:p>
        </w:tc>
        <w:tc>
          <w:tcPr>
            <w:tcW w:w="3023" w:type="dxa"/>
            <w:vAlign w:val="center"/>
          </w:tcPr>
          <w:p w14:paraId="59DA8E0B"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GGACGCCTCGGAGTACCTGAG</w:t>
            </w:r>
          </w:p>
        </w:tc>
        <w:tc>
          <w:tcPr>
            <w:tcW w:w="3260" w:type="dxa"/>
            <w:vAlign w:val="center"/>
          </w:tcPr>
          <w:p w14:paraId="30882CFD"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ACNGTGGGGTTTCTGAACTTGTT</w:t>
            </w:r>
          </w:p>
        </w:tc>
        <w:tc>
          <w:tcPr>
            <w:tcW w:w="4964" w:type="dxa"/>
            <w:vAlign w:val="center"/>
          </w:tcPr>
          <w:p w14:paraId="7332BC73"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VIC-CTGGTGCAGTTCGCCCGTGCCA-QSY</w:t>
            </w:r>
          </w:p>
        </w:tc>
      </w:tr>
      <w:tr w:rsidR="00416B05" w:rsidRPr="00C3537D" w14:paraId="4701CCB9" w14:textId="77777777" w:rsidTr="00416B05">
        <w:tc>
          <w:tcPr>
            <w:tcW w:w="716" w:type="dxa"/>
            <w:vMerge/>
            <w:vAlign w:val="center"/>
          </w:tcPr>
          <w:p w14:paraId="1C63A796" w14:textId="77777777" w:rsidR="00416B05" w:rsidRPr="00C3537D" w:rsidRDefault="00416B05" w:rsidP="00416B05">
            <w:pPr>
              <w:widowControl w:val="0"/>
              <w:pBdr>
                <w:top w:val="nil"/>
                <w:left w:val="nil"/>
                <w:bottom w:val="nil"/>
                <w:right w:val="nil"/>
                <w:between w:val="nil"/>
              </w:pBdr>
              <w:spacing w:line="276" w:lineRule="auto"/>
              <w:rPr>
                <w:rFonts w:ascii="Times New Roman" w:hAnsi="Times New Roman" w:cs="Times New Roman"/>
                <w:color w:val="000000"/>
                <w:sz w:val="18"/>
                <w:szCs w:val="18"/>
              </w:rPr>
            </w:pPr>
          </w:p>
        </w:tc>
        <w:tc>
          <w:tcPr>
            <w:tcW w:w="1783" w:type="dxa"/>
            <w:vAlign w:val="center"/>
          </w:tcPr>
          <w:p w14:paraId="3620F13F"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Rhinovirus</w:t>
            </w:r>
          </w:p>
        </w:tc>
        <w:tc>
          <w:tcPr>
            <w:tcW w:w="3023" w:type="dxa"/>
            <w:vAlign w:val="center"/>
          </w:tcPr>
          <w:p w14:paraId="28D3C9DE"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CCCGTGTGCTCRCTTTG</w:t>
            </w:r>
          </w:p>
        </w:tc>
        <w:tc>
          <w:tcPr>
            <w:tcW w:w="3260" w:type="dxa"/>
            <w:vAlign w:val="center"/>
          </w:tcPr>
          <w:p w14:paraId="5FF4042A"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CTAGCTGCAGGGTTARGGTTAGC</w:t>
            </w:r>
          </w:p>
        </w:tc>
        <w:tc>
          <w:tcPr>
            <w:tcW w:w="4964" w:type="dxa"/>
            <w:vAlign w:val="center"/>
          </w:tcPr>
          <w:p w14:paraId="2F50BA24"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FAM- TCCTCCGGCCCCTGAATGT-QSY</w:t>
            </w:r>
          </w:p>
        </w:tc>
      </w:tr>
      <w:tr w:rsidR="00416B05" w:rsidRPr="00C3537D" w14:paraId="764C56B1" w14:textId="77777777" w:rsidTr="00416B05">
        <w:tc>
          <w:tcPr>
            <w:tcW w:w="716" w:type="dxa"/>
            <w:vMerge w:val="restart"/>
            <w:vAlign w:val="center"/>
          </w:tcPr>
          <w:p w14:paraId="2B17A049" w14:textId="77777777" w:rsidR="00416B05" w:rsidRPr="00C3537D" w:rsidRDefault="00416B05" w:rsidP="00416B05">
            <w:pPr>
              <w:jc w:val="center"/>
              <w:rPr>
                <w:rFonts w:ascii="Times New Roman" w:hAnsi="Times New Roman" w:cs="Times New Roman"/>
                <w:color w:val="000000"/>
                <w:sz w:val="18"/>
                <w:szCs w:val="18"/>
              </w:rPr>
            </w:pPr>
            <w:r w:rsidRPr="00C3537D">
              <w:rPr>
                <w:rFonts w:ascii="Times New Roman" w:hAnsi="Times New Roman" w:cs="Times New Roman"/>
                <w:color w:val="000000"/>
                <w:sz w:val="18"/>
                <w:szCs w:val="18"/>
              </w:rPr>
              <w:t>Mix4</w:t>
            </w:r>
          </w:p>
        </w:tc>
        <w:tc>
          <w:tcPr>
            <w:tcW w:w="1783" w:type="dxa"/>
            <w:vAlign w:val="center"/>
          </w:tcPr>
          <w:p w14:paraId="446CEA82"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PIV1</w:t>
            </w:r>
          </w:p>
        </w:tc>
        <w:tc>
          <w:tcPr>
            <w:tcW w:w="3023" w:type="dxa"/>
            <w:vAlign w:val="center"/>
          </w:tcPr>
          <w:p w14:paraId="216D5CD6"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ATCTCATTATTACCYGGACCAAGTCTACT</w:t>
            </w:r>
          </w:p>
        </w:tc>
        <w:tc>
          <w:tcPr>
            <w:tcW w:w="3260" w:type="dxa"/>
            <w:vAlign w:val="center"/>
          </w:tcPr>
          <w:p w14:paraId="7B8F4EE3"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CATCCTTGAGTGATTAAGTTTGATGAATA</w:t>
            </w:r>
          </w:p>
        </w:tc>
        <w:tc>
          <w:tcPr>
            <w:tcW w:w="4964" w:type="dxa"/>
            <w:vAlign w:val="center"/>
          </w:tcPr>
          <w:p w14:paraId="43D24FCD"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FAM-AGGATGTGTTAGAYTACCTTCATTATCAATTGGTGATG-QSY</w:t>
            </w:r>
          </w:p>
        </w:tc>
      </w:tr>
      <w:tr w:rsidR="00416B05" w:rsidRPr="00C3537D" w14:paraId="0C369FA2" w14:textId="77777777" w:rsidTr="00416B05">
        <w:tc>
          <w:tcPr>
            <w:tcW w:w="716" w:type="dxa"/>
            <w:vMerge/>
            <w:vAlign w:val="center"/>
          </w:tcPr>
          <w:p w14:paraId="69A6C1BB" w14:textId="77777777" w:rsidR="00416B05" w:rsidRPr="00C3537D" w:rsidRDefault="00416B05" w:rsidP="00416B05">
            <w:pPr>
              <w:widowControl w:val="0"/>
              <w:pBdr>
                <w:top w:val="nil"/>
                <w:left w:val="nil"/>
                <w:bottom w:val="nil"/>
                <w:right w:val="nil"/>
                <w:between w:val="nil"/>
              </w:pBdr>
              <w:spacing w:line="276" w:lineRule="auto"/>
              <w:rPr>
                <w:rFonts w:ascii="Times New Roman" w:hAnsi="Times New Roman" w:cs="Times New Roman"/>
                <w:color w:val="000000"/>
                <w:sz w:val="18"/>
                <w:szCs w:val="18"/>
              </w:rPr>
            </w:pPr>
          </w:p>
        </w:tc>
        <w:tc>
          <w:tcPr>
            <w:tcW w:w="1783" w:type="dxa"/>
            <w:vAlign w:val="center"/>
          </w:tcPr>
          <w:p w14:paraId="3D62FF78"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PIV2</w:t>
            </w:r>
          </w:p>
        </w:tc>
        <w:tc>
          <w:tcPr>
            <w:tcW w:w="3023" w:type="dxa"/>
            <w:vAlign w:val="center"/>
          </w:tcPr>
          <w:p w14:paraId="19EF84F3"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CTGCAGCTATGAGTAATC</w:t>
            </w:r>
          </w:p>
        </w:tc>
        <w:tc>
          <w:tcPr>
            <w:tcW w:w="3260" w:type="dxa"/>
            <w:vAlign w:val="center"/>
          </w:tcPr>
          <w:p w14:paraId="14CC1667"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TGATCGAGCATCTGGAAT</w:t>
            </w:r>
          </w:p>
        </w:tc>
        <w:tc>
          <w:tcPr>
            <w:tcW w:w="4964" w:type="dxa"/>
            <w:vAlign w:val="center"/>
          </w:tcPr>
          <w:p w14:paraId="748422C4"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VIC-AGCMATGCATTCACCAGAAGCCAGC-QSY</w:t>
            </w:r>
          </w:p>
        </w:tc>
      </w:tr>
      <w:tr w:rsidR="00416B05" w:rsidRPr="00C3537D" w14:paraId="6ECDCD75" w14:textId="77777777" w:rsidTr="00416B05">
        <w:tc>
          <w:tcPr>
            <w:tcW w:w="716" w:type="dxa"/>
            <w:vMerge w:val="restart"/>
            <w:vAlign w:val="center"/>
          </w:tcPr>
          <w:p w14:paraId="2696C905" w14:textId="77777777" w:rsidR="00416B05" w:rsidRPr="00C3537D" w:rsidRDefault="00416B05" w:rsidP="00416B05">
            <w:pPr>
              <w:jc w:val="center"/>
              <w:rPr>
                <w:rFonts w:ascii="Times New Roman" w:hAnsi="Times New Roman" w:cs="Times New Roman"/>
                <w:color w:val="000000"/>
                <w:sz w:val="18"/>
                <w:szCs w:val="18"/>
              </w:rPr>
            </w:pPr>
            <w:r w:rsidRPr="00C3537D">
              <w:rPr>
                <w:rFonts w:ascii="Times New Roman" w:hAnsi="Times New Roman" w:cs="Times New Roman"/>
                <w:color w:val="000000"/>
                <w:sz w:val="18"/>
                <w:szCs w:val="18"/>
              </w:rPr>
              <w:t>Mix5</w:t>
            </w:r>
          </w:p>
        </w:tc>
        <w:tc>
          <w:tcPr>
            <w:tcW w:w="1783" w:type="dxa"/>
            <w:vAlign w:val="center"/>
          </w:tcPr>
          <w:p w14:paraId="01AA7D04"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PIV3</w:t>
            </w:r>
          </w:p>
        </w:tc>
        <w:tc>
          <w:tcPr>
            <w:tcW w:w="3023" w:type="dxa"/>
            <w:vAlign w:val="center"/>
          </w:tcPr>
          <w:p w14:paraId="048ABEC6"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ACTCTATCYACTCTCAGACC</w:t>
            </w:r>
          </w:p>
        </w:tc>
        <w:tc>
          <w:tcPr>
            <w:tcW w:w="3260" w:type="dxa"/>
            <w:vAlign w:val="center"/>
          </w:tcPr>
          <w:p w14:paraId="59C56DE0"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TGGGATCTCTGAGGATAC</w:t>
            </w:r>
          </w:p>
        </w:tc>
        <w:tc>
          <w:tcPr>
            <w:tcW w:w="4964" w:type="dxa"/>
            <w:vAlign w:val="center"/>
          </w:tcPr>
          <w:p w14:paraId="061500D6"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VIC-AAGGGACCACGCGCTCCWTTCATC-QSY</w:t>
            </w:r>
          </w:p>
        </w:tc>
      </w:tr>
      <w:tr w:rsidR="00416B05" w:rsidRPr="00C3537D" w14:paraId="272B5BB5" w14:textId="77777777" w:rsidTr="00416B05">
        <w:tc>
          <w:tcPr>
            <w:tcW w:w="716" w:type="dxa"/>
            <w:vMerge/>
            <w:vAlign w:val="center"/>
          </w:tcPr>
          <w:p w14:paraId="684FF8CA" w14:textId="77777777" w:rsidR="00416B05" w:rsidRPr="00C3537D" w:rsidRDefault="00416B05" w:rsidP="00416B05">
            <w:pPr>
              <w:widowControl w:val="0"/>
              <w:pBdr>
                <w:top w:val="nil"/>
                <w:left w:val="nil"/>
                <w:bottom w:val="nil"/>
                <w:right w:val="nil"/>
                <w:between w:val="nil"/>
              </w:pBdr>
              <w:spacing w:line="276" w:lineRule="auto"/>
              <w:rPr>
                <w:rFonts w:ascii="Times New Roman" w:hAnsi="Times New Roman" w:cs="Times New Roman"/>
                <w:color w:val="000000"/>
                <w:sz w:val="18"/>
                <w:szCs w:val="18"/>
              </w:rPr>
            </w:pPr>
          </w:p>
        </w:tc>
        <w:tc>
          <w:tcPr>
            <w:tcW w:w="1783" w:type="dxa"/>
            <w:vAlign w:val="center"/>
          </w:tcPr>
          <w:p w14:paraId="5F083DD0"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Metapneumovirus</w:t>
            </w:r>
          </w:p>
        </w:tc>
        <w:tc>
          <w:tcPr>
            <w:tcW w:w="3023" w:type="dxa"/>
            <w:vAlign w:val="center"/>
          </w:tcPr>
          <w:p w14:paraId="5A384BFF"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AACCGTGTACTAAGTGATGCACTC</w:t>
            </w:r>
          </w:p>
        </w:tc>
        <w:tc>
          <w:tcPr>
            <w:tcW w:w="3260" w:type="dxa"/>
            <w:vAlign w:val="center"/>
          </w:tcPr>
          <w:p w14:paraId="3CC86402"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CATTGTTTGACCGGCYCCATAA</w:t>
            </w:r>
          </w:p>
        </w:tc>
        <w:tc>
          <w:tcPr>
            <w:tcW w:w="4964" w:type="dxa"/>
            <w:vAlign w:val="center"/>
          </w:tcPr>
          <w:p w14:paraId="6EB1698E"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FAM-CTTTGCCATACTCAATGAACAAAC-QSY</w:t>
            </w:r>
          </w:p>
        </w:tc>
      </w:tr>
      <w:tr w:rsidR="00416B05" w:rsidRPr="00C3537D" w14:paraId="6E51E7A9" w14:textId="77777777" w:rsidTr="00416B05">
        <w:tc>
          <w:tcPr>
            <w:tcW w:w="716" w:type="dxa"/>
            <w:vMerge w:val="restart"/>
            <w:vAlign w:val="center"/>
          </w:tcPr>
          <w:p w14:paraId="4569F09E" w14:textId="77777777" w:rsidR="00416B05" w:rsidRPr="00C3537D" w:rsidRDefault="00416B05" w:rsidP="00416B05">
            <w:pPr>
              <w:jc w:val="center"/>
              <w:rPr>
                <w:rFonts w:ascii="Times New Roman" w:hAnsi="Times New Roman" w:cs="Times New Roman"/>
                <w:color w:val="000000"/>
                <w:sz w:val="18"/>
                <w:szCs w:val="18"/>
              </w:rPr>
            </w:pPr>
            <w:r w:rsidRPr="00C3537D">
              <w:rPr>
                <w:rFonts w:ascii="Times New Roman" w:hAnsi="Times New Roman" w:cs="Times New Roman"/>
                <w:color w:val="000000"/>
                <w:sz w:val="18"/>
                <w:szCs w:val="18"/>
              </w:rPr>
              <w:t>Mix6</w:t>
            </w:r>
          </w:p>
        </w:tc>
        <w:tc>
          <w:tcPr>
            <w:tcW w:w="1783" w:type="dxa"/>
            <w:vAlign w:val="center"/>
          </w:tcPr>
          <w:p w14:paraId="0C40AA47"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Bocavirus</w:t>
            </w:r>
          </w:p>
        </w:tc>
        <w:tc>
          <w:tcPr>
            <w:tcW w:w="3023" w:type="dxa"/>
            <w:vAlign w:val="center"/>
          </w:tcPr>
          <w:p w14:paraId="27D12735"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AGAGGCTCGGGCTCATATCA</w:t>
            </w:r>
          </w:p>
        </w:tc>
        <w:tc>
          <w:tcPr>
            <w:tcW w:w="3260" w:type="dxa"/>
            <w:vAlign w:val="center"/>
          </w:tcPr>
          <w:p w14:paraId="1DD9E5B0"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GAGGTCTTCGAAGCAGTGCAA</w:t>
            </w:r>
          </w:p>
        </w:tc>
        <w:tc>
          <w:tcPr>
            <w:tcW w:w="4964" w:type="dxa"/>
            <w:vAlign w:val="center"/>
          </w:tcPr>
          <w:p w14:paraId="4B4D44B6"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VIC-CAGGAACACCCAATCAGCCACCTATCG-QSY</w:t>
            </w:r>
          </w:p>
        </w:tc>
      </w:tr>
      <w:tr w:rsidR="00416B05" w:rsidRPr="00C3537D" w14:paraId="4145EB09" w14:textId="77777777" w:rsidTr="00416B05">
        <w:tc>
          <w:tcPr>
            <w:tcW w:w="716" w:type="dxa"/>
            <w:vMerge/>
            <w:vAlign w:val="center"/>
          </w:tcPr>
          <w:p w14:paraId="57312DA9" w14:textId="77777777" w:rsidR="00416B05" w:rsidRPr="00C3537D" w:rsidRDefault="00416B05" w:rsidP="00416B05">
            <w:pPr>
              <w:widowControl w:val="0"/>
              <w:pBdr>
                <w:top w:val="nil"/>
                <w:left w:val="nil"/>
                <w:bottom w:val="nil"/>
                <w:right w:val="nil"/>
                <w:between w:val="nil"/>
              </w:pBdr>
              <w:spacing w:line="276" w:lineRule="auto"/>
              <w:rPr>
                <w:rFonts w:ascii="Times New Roman" w:hAnsi="Times New Roman" w:cs="Times New Roman"/>
                <w:color w:val="000000"/>
                <w:sz w:val="18"/>
                <w:szCs w:val="18"/>
              </w:rPr>
            </w:pPr>
          </w:p>
        </w:tc>
        <w:tc>
          <w:tcPr>
            <w:tcW w:w="1783" w:type="dxa"/>
            <w:vAlign w:val="center"/>
          </w:tcPr>
          <w:p w14:paraId="14B1A28F" w14:textId="77777777" w:rsidR="00416B05" w:rsidRPr="00C3537D" w:rsidRDefault="00416B05" w:rsidP="00416B05">
            <w:pPr>
              <w:jc w:val="center"/>
              <w:rPr>
                <w:rFonts w:ascii="Times New Roman" w:hAnsi="Times New Roman" w:cs="Times New Roman"/>
                <w:b/>
                <w:color w:val="000000"/>
                <w:sz w:val="18"/>
                <w:szCs w:val="18"/>
              </w:rPr>
            </w:pPr>
            <w:r w:rsidRPr="00C3537D">
              <w:rPr>
                <w:rFonts w:ascii="Times New Roman" w:hAnsi="Times New Roman" w:cs="Times New Roman"/>
                <w:b/>
                <w:color w:val="000000"/>
                <w:sz w:val="18"/>
                <w:szCs w:val="18"/>
              </w:rPr>
              <w:t>B. pertussis</w:t>
            </w:r>
          </w:p>
        </w:tc>
        <w:tc>
          <w:tcPr>
            <w:tcW w:w="3023" w:type="dxa"/>
            <w:vAlign w:val="center"/>
          </w:tcPr>
          <w:p w14:paraId="7DB60C95"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CGGATGAACACCCATAAGCAT</w:t>
            </w:r>
          </w:p>
        </w:tc>
        <w:tc>
          <w:tcPr>
            <w:tcW w:w="3260" w:type="dxa"/>
            <w:vAlign w:val="center"/>
          </w:tcPr>
          <w:p w14:paraId="4C0D98A7"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CGATCAATTGCTGGACCATTT</w:t>
            </w:r>
          </w:p>
        </w:tc>
        <w:tc>
          <w:tcPr>
            <w:tcW w:w="4964" w:type="dxa"/>
            <w:vAlign w:val="center"/>
          </w:tcPr>
          <w:p w14:paraId="40A6277E" w14:textId="77777777" w:rsidR="00416B05" w:rsidRPr="00C3537D" w:rsidRDefault="00416B05" w:rsidP="00416B05">
            <w:pPr>
              <w:jc w:val="center"/>
              <w:rPr>
                <w:rFonts w:ascii="Times New Roman" w:hAnsi="Times New Roman" w:cs="Times New Roman"/>
                <w:color w:val="000000"/>
                <w:sz w:val="15"/>
                <w:szCs w:val="15"/>
              </w:rPr>
            </w:pPr>
            <w:r w:rsidRPr="00C3537D">
              <w:rPr>
                <w:rFonts w:ascii="Times New Roman" w:hAnsi="Times New Roman" w:cs="Times New Roman"/>
                <w:color w:val="000000"/>
                <w:sz w:val="15"/>
                <w:szCs w:val="15"/>
              </w:rPr>
              <w:t>FAM-CCCGATTGACCTTCCTACGTCGACTC-QSY</w:t>
            </w:r>
          </w:p>
        </w:tc>
      </w:tr>
    </w:tbl>
    <w:p w14:paraId="57723BC3" w14:textId="0AA93A80" w:rsidR="00416B05" w:rsidRPr="00C3537D" w:rsidRDefault="00416B05" w:rsidP="00416B05">
      <w:pPr>
        <w:pBdr>
          <w:top w:val="nil"/>
          <w:left w:val="nil"/>
          <w:bottom w:val="nil"/>
          <w:right w:val="nil"/>
          <w:between w:val="nil"/>
        </w:pBdr>
        <w:rPr>
          <w:rFonts w:ascii="Times New Roman" w:hAnsi="Times New Roman" w:cs="Times New Roman"/>
        </w:rPr>
      </w:pPr>
      <w:r w:rsidRPr="00C3537D">
        <w:rPr>
          <w:rFonts w:ascii="Times New Roman" w:hAnsi="Times New Roman" w:cs="Times New Roman"/>
          <w:b/>
          <w:color w:val="000000"/>
        </w:rPr>
        <w:t xml:space="preserve">Supplementary Table 1. </w:t>
      </w:r>
      <w:r w:rsidRPr="00C3537D">
        <w:rPr>
          <w:rFonts w:ascii="Times New Roman" w:hAnsi="Times New Roman" w:cs="Times New Roman"/>
          <w:color w:val="000000"/>
        </w:rPr>
        <w:t xml:space="preserve">Primer and probe sequences for the RT-qPCR </w:t>
      </w:r>
      <w:r w:rsidRPr="00C3537D">
        <w:rPr>
          <w:rFonts w:ascii="Times New Roman" w:hAnsi="Times New Roman" w:cs="Times New Roman"/>
        </w:rPr>
        <w:t>analysis of the ILI panel</w:t>
      </w:r>
    </w:p>
    <w:p w14:paraId="239150F7" w14:textId="77777777" w:rsidR="00416B05" w:rsidRDefault="00416B05" w:rsidP="00416B05">
      <w:pPr>
        <w:pBdr>
          <w:top w:val="nil"/>
          <w:left w:val="nil"/>
          <w:bottom w:val="nil"/>
          <w:right w:val="nil"/>
          <w:between w:val="nil"/>
        </w:pBdr>
        <w:rPr>
          <w:color w:val="000000"/>
        </w:rPr>
      </w:pPr>
    </w:p>
    <w:p w14:paraId="16E7017B" w14:textId="77777777" w:rsidR="00416B05" w:rsidRDefault="00416B05" w:rsidP="00416B05">
      <w:pPr>
        <w:pBdr>
          <w:top w:val="nil"/>
          <w:left w:val="nil"/>
          <w:bottom w:val="nil"/>
          <w:right w:val="nil"/>
          <w:between w:val="nil"/>
        </w:pBdr>
        <w:spacing w:line="360" w:lineRule="auto"/>
        <w:jc w:val="both"/>
      </w:pPr>
      <w:bookmarkStart w:id="3" w:name="_heading=h.qrxjaejrgq6s" w:colFirst="0" w:colLast="0"/>
      <w:bookmarkEnd w:id="3"/>
    </w:p>
    <w:p w14:paraId="3CFACDEA" w14:textId="77777777" w:rsidR="00416B05" w:rsidRPr="00C3537D" w:rsidRDefault="00416B05" w:rsidP="00416B05">
      <w:pPr>
        <w:pBdr>
          <w:top w:val="nil"/>
          <w:left w:val="nil"/>
          <w:bottom w:val="nil"/>
          <w:right w:val="nil"/>
          <w:between w:val="nil"/>
        </w:pBdr>
        <w:spacing w:line="360" w:lineRule="auto"/>
        <w:jc w:val="both"/>
        <w:rPr>
          <w:rFonts w:ascii="Times New Roman" w:hAnsi="Times New Roman" w:cs="Times New Roman"/>
          <w:color w:val="000000"/>
        </w:rPr>
      </w:pPr>
      <w:r w:rsidRPr="00C3537D">
        <w:rPr>
          <w:rFonts w:ascii="Times New Roman" w:hAnsi="Times New Roman" w:cs="Times New Roman"/>
        </w:rPr>
        <w:t xml:space="preserve">RT-qPCR: Quantitative Reverse Transcription Polymerase Chain Reaction; Flu: Influenza virus; RSV: Respiratory Syncytial Virus; </w:t>
      </w:r>
      <w:r w:rsidRPr="00C3537D">
        <w:rPr>
          <w:rFonts w:ascii="Times New Roman" w:hAnsi="Times New Roman" w:cs="Times New Roman"/>
          <w:color w:val="000000"/>
        </w:rPr>
        <w:t>PIV: parainfluenza virus; B. pertussis: Bordetella pertussis</w:t>
      </w:r>
    </w:p>
    <w:p w14:paraId="457501B1" w14:textId="34CEB68C" w:rsidR="00416B05" w:rsidRDefault="00416B05" w:rsidP="00416B05">
      <w:pPr>
        <w:rPr>
          <w:rFonts w:asciiTheme="majorBidi" w:hAnsiTheme="majorBidi" w:cstheme="majorBidi"/>
          <w:i/>
          <w:color w:val="000000"/>
        </w:rPr>
      </w:pPr>
    </w:p>
    <w:p w14:paraId="793DEB21" w14:textId="77777777" w:rsidR="00416B05" w:rsidRDefault="00416B05" w:rsidP="00416B05">
      <w:pPr>
        <w:rPr>
          <w:rFonts w:asciiTheme="majorBidi" w:hAnsiTheme="majorBidi" w:cstheme="majorBidi"/>
          <w:i/>
          <w:color w:val="000000"/>
        </w:rPr>
        <w:sectPr w:rsidR="00416B05" w:rsidSect="00FE54E6">
          <w:pgSz w:w="15840" w:h="12240" w:orient="landscape"/>
          <w:pgMar w:top="1134" w:right="1417" w:bottom="1134" w:left="1134" w:header="708" w:footer="708" w:gutter="0"/>
          <w:cols w:space="708"/>
          <w:docGrid w:linePitch="360"/>
        </w:sectPr>
      </w:pPr>
    </w:p>
    <w:p w14:paraId="1B1DCF5C" w14:textId="77777777" w:rsidR="00E22D8B" w:rsidRPr="0067022F" w:rsidRDefault="00E22D8B" w:rsidP="00E22D8B">
      <w:pPr>
        <w:spacing w:line="480" w:lineRule="auto"/>
        <w:jc w:val="both"/>
        <w:rPr>
          <w:rFonts w:asciiTheme="majorBidi" w:hAnsiTheme="majorBidi" w:cstheme="majorBidi"/>
          <w:b/>
          <w:bCs/>
        </w:rPr>
      </w:pPr>
      <w:r w:rsidRPr="0067022F">
        <w:rPr>
          <w:rFonts w:asciiTheme="majorBidi" w:hAnsiTheme="majorBidi" w:cstheme="majorBidi"/>
          <w:b/>
          <w:bCs/>
        </w:rPr>
        <w:lastRenderedPageBreak/>
        <w:t>Reference:</w:t>
      </w:r>
    </w:p>
    <w:p w14:paraId="61A8B597" w14:textId="77777777" w:rsidR="00E22D8B" w:rsidRPr="0034039D" w:rsidRDefault="00E22D8B" w:rsidP="00E22D8B">
      <w:pPr>
        <w:numPr>
          <w:ilvl w:val="0"/>
          <w:numId w:val="1"/>
        </w:numPr>
        <w:pBdr>
          <w:top w:val="nil"/>
          <w:left w:val="nil"/>
          <w:bottom w:val="nil"/>
          <w:right w:val="nil"/>
          <w:between w:val="nil"/>
        </w:pBdr>
        <w:spacing w:after="0" w:line="360" w:lineRule="auto"/>
        <w:jc w:val="both"/>
      </w:pPr>
      <w:r>
        <w:t xml:space="preserve">Centers for Disease Control and Prevention. Interim Guidelines for Collecting and Handling of Clinical Specimens for COVID-19 Testing. Available from: </w:t>
      </w:r>
      <w:hyperlink r:id="rId8">
        <w:r>
          <w:rPr>
            <w:color w:val="1155CC"/>
            <w:u w:val="single"/>
          </w:rPr>
          <w:t>https://www.cdc.gov/coronavirus/2019-nCoV/lab/guidelines-clinical-specimens.html</w:t>
        </w:r>
      </w:hyperlink>
      <w:r>
        <w:t>. Accessed 17 January 2022.</w:t>
      </w:r>
      <w:bookmarkStart w:id="4" w:name="_heading=h.7a4myn6vfel2" w:colFirst="0" w:colLast="0"/>
      <w:bookmarkStart w:id="5" w:name="_heading=h.fxvpy33703bh" w:colFirst="0" w:colLast="0"/>
      <w:bookmarkStart w:id="6" w:name="_heading=h.d8k2urhxbnkp" w:colFirst="0" w:colLast="0"/>
      <w:bookmarkStart w:id="7" w:name="_heading=h.30j0zll" w:colFirst="0" w:colLast="0"/>
      <w:bookmarkEnd w:id="4"/>
      <w:bookmarkEnd w:id="5"/>
      <w:bookmarkEnd w:id="6"/>
      <w:bookmarkEnd w:id="7"/>
    </w:p>
    <w:p w14:paraId="204B5266" w14:textId="77777777" w:rsidR="00E22D8B" w:rsidRPr="00C36DB2" w:rsidRDefault="00E22D8B" w:rsidP="00E22D8B">
      <w:pPr>
        <w:spacing w:line="480" w:lineRule="auto"/>
        <w:jc w:val="both"/>
        <w:rPr>
          <w:rFonts w:asciiTheme="majorBidi" w:hAnsiTheme="majorBidi" w:cstheme="majorBidi"/>
        </w:rPr>
      </w:pPr>
    </w:p>
    <w:p w14:paraId="2E8D3A07" w14:textId="77777777" w:rsidR="00050609" w:rsidRPr="00BF4BB2" w:rsidRDefault="00050609">
      <w:pPr>
        <w:rPr>
          <w:rFonts w:ascii="Times New Roman" w:hAnsi="Times New Roman" w:cs="Times New Roman"/>
        </w:rPr>
      </w:pPr>
    </w:p>
    <w:sectPr w:rsidR="00050609" w:rsidRPr="00BF4BB2" w:rsidSect="00FE54E6">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297C"/>
    <w:multiLevelType w:val="multilevel"/>
    <w:tmpl w:val="805A9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653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95"/>
    <w:rsid w:val="00006432"/>
    <w:rsid w:val="00035FBB"/>
    <w:rsid w:val="00050609"/>
    <w:rsid w:val="00064BF6"/>
    <w:rsid w:val="00087273"/>
    <w:rsid w:val="000C50FD"/>
    <w:rsid w:val="000D2F89"/>
    <w:rsid w:val="00166C56"/>
    <w:rsid w:val="0020467E"/>
    <w:rsid w:val="00240C7A"/>
    <w:rsid w:val="002579C1"/>
    <w:rsid w:val="002F3739"/>
    <w:rsid w:val="003142E2"/>
    <w:rsid w:val="00330366"/>
    <w:rsid w:val="003327E2"/>
    <w:rsid w:val="00356859"/>
    <w:rsid w:val="003D1F61"/>
    <w:rsid w:val="00400143"/>
    <w:rsid w:val="00416B05"/>
    <w:rsid w:val="00420561"/>
    <w:rsid w:val="00454D64"/>
    <w:rsid w:val="00472B04"/>
    <w:rsid w:val="004A1132"/>
    <w:rsid w:val="004A1EBA"/>
    <w:rsid w:val="004B69D1"/>
    <w:rsid w:val="004E0E4F"/>
    <w:rsid w:val="005266FD"/>
    <w:rsid w:val="0054277D"/>
    <w:rsid w:val="00571158"/>
    <w:rsid w:val="0058264F"/>
    <w:rsid w:val="00592ECC"/>
    <w:rsid w:val="005E1797"/>
    <w:rsid w:val="005F0F6C"/>
    <w:rsid w:val="00611C6E"/>
    <w:rsid w:val="006378DD"/>
    <w:rsid w:val="006E27DC"/>
    <w:rsid w:val="00711942"/>
    <w:rsid w:val="007466DF"/>
    <w:rsid w:val="00774BF8"/>
    <w:rsid w:val="007B3E1B"/>
    <w:rsid w:val="007E7095"/>
    <w:rsid w:val="00820563"/>
    <w:rsid w:val="0085678F"/>
    <w:rsid w:val="0086160B"/>
    <w:rsid w:val="008B37E9"/>
    <w:rsid w:val="008D64B0"/>
    <w:rsid w:val="008E28B8"/>
    <w:rsid w:val="00954D7A"/>
    <w:rsid w:val="00A173EB"/>
    <w:rsid w:val="00A56D79"/>
    <w:rsid w:val="00A85BFC"/>
    <w:rsid w:val="00A93C3E"/>
    <w:rsid w:val="00AA36BF"/>
    <w:rsid w:val="00AD72F1"/>
    <w:rsid w:val="00B325E8"/>
    <w:rsid w:val="00B65E30"/>
    <w:rsid w:val="00B7363E"/>
    <w:rsid w:val="00BB1F25"/>
    <w:rsid w:val="00BB628C"/>
    <w:rsid w:val="00BB6E1D"/>
    <w:rsid w:val="00BF4BB2"/>
    <w:rsid w:val="00C134B0"/>
    <w:rsid w:val="00C3537D"/>
    <w:rsid w:val="00D003E1"/>
    <w:rsid w:val="00D2156F"/>
    <w:rsid w:val="00D243FC"/>
    <w:rsid w:val="00D64A10"/>
    <w:rsid w:val="00DB0936"/>
    <w:rsid w:val="00DC3610"/>
    <w:rsid w:val="00DE1961"/>
    <w:rsid w:val="00E22D8B"/>
    <w:rsid w:val="00E5691E"/>
    <w:rsid w:val="00E83849"/>
    <w:rsid w:val="00EB0DDF"/>
    <w:rsid w:val="00EC07C1"/>
    <w:rsid w:val="00ED1F9B"/>
    <w:rsid w:val="00EF2C85"/>
    <w:rsid w:val="00F129E1"/>
    <w:rsid w:val="00F2242F"/>
    <w:rsid w:val="00F35DFD"/>
    <w:rsid w:val="00FE5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33A6"/>
  <w15:chartTrackingRefBased/>
  <w15:docId w15:val="{F8208707-4DC1-47BF-921C-64561FA7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43"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semplice4">
    <w:name w:val="Plain Table 4"/>
    <w:basedOn w:val="Tabellanormale"/>
    <w:uiPriority w:val="44"/>
    <w:rsid w:val="005F0F6C"/>
    <w:pPr>
      <w:spacing w:after="0" w:line="240" w:lineRule="auto"/>
    </w:pPr>
    <w:rPr>
      <w:kern w:val="0"/>
      <w:sz w:val="24"/>
      <w:szCs w:val="24"/>
      <w:lang w:val="it-IT"/>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dascalia">
    <w:name w:val="caption"/>
    <w:basedOn w:val="Normale"/>
    <w:next w:val="Normale"/>
    <w:uiPriority w:val="35"/>
    <w:unhideWhenUsed/>
    <w:qFormat/>
    <w:rsid w:val="005F0F6C"/>
    <w:pPr>
      <w:spacing w:after="200" w:line="240" w:lineRule="auto"/>
    </w:pPr>
    <w:rPr>
      <w:i/>
      <w:iCs/>
      <w:color w:val="44546A" w:themeColor="text2"/>
      <w:kern w:val="0"/>
      <w:sz w:val="18"/>
      <w:szCs w:val="18"/>
      <w14:ligatures w14:val="none"/>
    </w:rPr>
  </w:style>
  <w:style w:type="table" w:styleId="Tabellasemplice3">
    <w:name w:val="Table Simple 3"/>
    <w:basedOn w:val="Tabellanormale"/>
    <w:uiPriority w:val="43"/>
    <w:rsid w:val="00AA36BF"/>
    <w:pPr>
      <w:spacing w:after="0" w:line="240" w:lineRule="auto"/>
    </w:pPr>
    <w:rPr>
      <w:kern w:val="0"/>
      <w:sz w:val="24"/>
      <w:szCs w:val="24"/>
      <w:lang w:val="it-IT"/>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e">
    <w:name w:val="Revision"/>
    <w:hidden/>
    <w:uiPriority w:val="99"/>
    <w:semiHidden/>
    <w:rsid w:val="007B3E1B"/>
    <w:pPr>
      <w:spacing w:after="0" w:line="240" w:lineRule="auto"/>
    </w:pPr>
  </w:style>
  <w:style w:type="paragraph" w:styleId="Testofumetto">
    <w:name w:val="Balloon Text"/>
    <w:basedOn w:val="Normale"/>
    <w:link w:val="TestofumettoCarattere"/>
    <w:uiPriority w:val="99"/>
    <w:semiHidden/>
    <w:unhideWhenUsed/>
    <w:rsid w:val="00064BF6"/>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64BF6"/>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ED1F9B"/>
    <w:rPr>
      <w:sz w:val="18"/>
      <w:szCs w:val="18"/>
    </w:rPr>
  </w:style>
  <w:style w:type="paragraph" w:styleId="Testocommento">
    <w:name w:val="annotation text"/>
    <w:basedOn w:val="Normale"/>
    <w:link w:val="TestocommentoCarattere"/>
    <w:uiPriority w:val="99"/>
    <w:semiHidden/>
    <w:unhideWhenUsed/>
    <w:rsid w:val="00ED1F9B"/>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ED1F9B"/>
    <w:rPr>
      <w:sz w:val="24"/>
      <w:szCs w:val="24"/>
    </w:rPr>
  </w:style>
  <w:style w:type="paragraph" w:styleId="Soggettocommento">
    <w:name w:val="annotation subject"/>
    <w:basedOn w:val="Testocommento"/>
    <w:next w:val="Testocommento"/>
    <w:link w:val="SoggettocommentoCarattere"/>
    <w:uiPriority w:val="99"/>
    <w:semiHidden/>
    <w:unhideWhenUsed/>
    <w:rsid w:val="00ED1F9B"/>
    <w:rPr>
      <w:b/>
      <w:bCs/>
      <w:sz w:val="20"/>
      <w:szCs w:val="20"/>
    </w:rPr>
  </w:style>
  <w:style w:type="character" w:customStyle="1" w:styleId="SoggettocommentoCarattere">
    <w:name w:val="Soggetto commento Carattere"/>
    <w:basedOn w:val="TestocommentoCarattere"/>
    <w:link w:val="Soggettocommento"/>
    <w:uiPriority w:val="99"/>
    <w:semiHidden/>
    <w:rsid w:val="00ED1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lab/guidelines-clinical-specimens.html"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Foglio1!$B$1</c:f>
              <c:strCache>
                <c:ptCount val="1"/>
                <c:pt idx="0">
                  <c:v>Age (months)</c:v>
                </c:pt>
              </c:strCache>
            </c:strRef>
          </c:tx>
          <c:spPr>
            <a:solidFill>
              <a:schemeClr val="accent1"/>
            </a:solidFill>
            <a:ln>
              <a:noFill/>
            </a:ln>
            <a:effectLst>
              <a:outerShdw blurRad="50800" dist="50800" dir="5400000" algn="ctr" rotWithShape="0">
                <a:schemeClr val="bg1"/>
              </a:outerShdw>
            </a:effectLst>
          </c:spPr>
          <c:invertIfNegative val="0"/>
          <c:dPt>
            <c:idx val="0"/>
            <c:invertIfNegative val="0"/>
            <c:bubble3D val="0"/>
            <c:spPr>
              <a:solidFill>
                <a:schemeClr val="accent1">
                  <a:lumMod val="60000"/>
                  <a:lumOff val="40000"/>
                </a:schemeClr>
              </a:solidFill>
              <a:ln>
                <a:noFill/>
              </a:ln>
              <a:effectLst>
                <a:outerShdw blurRad="50800" dist="50800" dir="5400000" algn="ctr" rotWithShape="0">
                  <a:schemeClr val="bg1"/>
                </a:outerShdw>
              </a:effectLst>
              <a:sp3d/>
            </c:spPr>
            <c:extLst>
              <c:ext xmlns:c16="http://schemas.microsoft.com/office/drawing/2014/chart" uri="{C3380CC4-5D6E-409C-BE32-E72D297353CC}">
                <c16:uniqueId val="{00000001-F85A-437B-9935-34D885723679}"/>
              </c:ext>
            </c:extLst>
          </c:dPt>
          <c:dPt>
            <c:idx val="1"/>
            <c:invertIfNegative val="0"/>
            <c:bubble3D val="0"/>
            <c:spPr>
              <a:solidFill>
                <a:schemeClr val="accent1">
                  <a:lumMod val="60000"/>
                  <a:lumOff val="40000"/>
                </a:schemeClr>
              </a:solidFill>
              <a:ln>
                <a:noFill/>
              </a:ln>
              <a:effectLst>
                <a:outerShdw blurRad="50800" dist="50800" dir="5400000" algn="ctr" rotWithShape="0">
                  <a:schemeClr val="bg1"/>
                </a:outerShdw>
              </a:effectLst>
              <a:sp3d/>
            </c:spPr>
            <c:extLst>
              <c:ext xmlns:c16="http://schemas.microsoft.com/office/drawing/2014/chart" uri="{C3380CC4-5D6E-409C-BE32-E72D297353CC}">
                <c16:uniqueId val="{00000003-F85A-437B-9935-34D885723679}"/>
              </c:ext>
            </c:extLst>
          </c:dPt>
          <c:dPt>
            <c:idx val="2"/>
            <c:invertIfNegative val="0"/>
            <c:bubble3D val="0"/>
            <c:spPr>
              <a:solidFill>
                <a:schemeClr val="accent1">
                  <a:lumMod val="60000"/>
                  <a:lumOff val="40000"/>
                </a:schemeClr>
              </a:solidFill>
              <a:ln>
                <a:noFill/>
              </a:ln>
              <a:effectLst>
                <a:outerShdw blurRad="50800" dist="50800" dir="5400000" algn="ctr" rotWithShape="0">
                  <a:schemeClr val="bg1"/>
                </a:outerShdw>
              </a:effectLst>
              <a:sp3d/>
            </c:spPr>
            <c:extLst>
              <c:ext xmlns:c16="http://schemas.microsoft.com/office/drawing/2014/chart" uri="{C3380CC4-5D6E-409C-BE32-E72D297353CC}">
                <c16:uniqueId val="{00000005-F85A-437B-9935-34D885723679}"/>
              </c:ext>
            </c:extLst>
          </c:dPt>
          <c:dPt>
            <c:idx val="3"/>
            <c:invertIfNegative val="0"/>
            <c:bubble3D val="0"/>
            <c:spPr>
              <a:solidFill>
                <a:schemeClr val="accent1">
                  <a:lumMod val="60000"/>
                  <a:lumOff val="40000"/>
                </a:schemeClr>
              </a:solidFill>
              <a:ln>
                <a:noFill/>
              </a:ln>
              <a:effectLst>
                <a:outerShdw blurRad="50800" dist="50800" dir="5400000" algn="ctr" rotWithShape="0">
                  <a:schemeClr val="bg1"/>
                </a:outerShdw>
              </a:effectLst>
              <a:sp3d/>
            </c:spPr>
            <c:extLst>
              <c:ext xmlns:c16="http://schemas.microsoft.com/office/drawing/2014/chart" uri="{C3380CC4-5D6E-409C-BE32-E72D297353CC}">
                <c16:uniqueId val="{00000007-F85A-437B-9935-34D885723679}"/>
              </c:ext>
            </c:extLst>
          </c:dPt>
          <c:cat>
            <c:strRef>
              <c:f>Foglio1!$A$2:$A$5</c:f>
              <c:strCache>
                <c:ptCount val="4"/>
                <c:pt idx="0">
                  <c:v>0-3m</c:v>
                </c:pt>
                <c:pt idx="1">
                  <c:v>4-6m</c:v>
                </c:pt>
                <c:pt idx="2">
                  <c:v>7-9m</c:v>
                </c:pt>
                <c:pt idx="3">
                  <c:v>10-12m</c:v>
                </c:pt>
              </c:strCache>
            </c:strRef>
          </c:cat>
          <c:val>
            <c:numRef>
              <c:f>Foglio1!$B$2:$B$5</c:f>
              <c:numCache>
                <c:formatCode>General</c:formatCode>
                <c:ptCount val="4"/>
                <c:pt idx="0">
                  <c:v>514</c:v>
                </c:pt>
                <c:pt idx="1">
                  <c:v>199</c:v>
                </c:pt>
                <c:pt idx="2">
                  <c:v>90</c:v>
                </c:pt>
                <c:pt idx="3">
                  <c:v>71</c:v>
                </c:pt>
              </c:numCache>
            </c:numRef>
          </c:val>
          <c:extLst>
            <c:ext xmlns:c16="http://schemas.microsoft.com/office/drawing/2014/chart" uri="{C3380CC4-5D6E-409C-BE32-E72D297353CC}">
              <c16:uniqueId val="{00000008-F85A-437B-9935-34D885723679}"/>
            </c:ext>
          </c:extLst>
        </c:ser>
        <c:dLbls>
          <c:showLegendKey val="0"/>
          <c:showVal val="0"/>
          <c:showCatName val="0"/>
          <c:showSerName val="0"/>
          <c:showPercent val="0"/>
          <c:showBubbleSize val="0"/>
        </c:dLbls>
        <c:gapWidth val="150"/>
        <c:axId val="909378160"/>
        <c:axId val="1358260176"/>
      </c:barChart>
      <c:catAx>
        <c:axId val="909378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just">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1358260176"/>
        <c:crosses val="autoZero"/>
        <c:auto val="1"/>
        <c:lblAlgn val="ctr"/>
        <c:lblOffset val="100"/>
        <c:noMultiLvlLbl val="0"/>
      </c:catAx>
      <c:valAx>
        <c:axId val="135826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909378160"/>
        <c:crosses val="autoZero"/>
        <c:crossBetween val="between"/>
      </c:valAx>
      <c:spPr>
        <a:solidFill>
          <a:schemeClr val="bg1"/>
        </a:solidFill>
        <a:ln>
          <a:noFill/>
        </a:ln>
        <a:effectLst/>
        <a:sp3d>
          <a:contourClr>
            <a:schemeClr val="accent1">
              <a:lumMod val="20000"/>
              <a:lumOff val="80000"/>
            </a:schemeClr>
          </a:contourClr>
        </a:sp3d>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Foglio1!$B$1</c:f>
              <c:strCache>
                <c:ptCount val="1"/>
                <c:pt idx="0">
                  <c:v>Colonna2</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F2C4-4370-8E4A-D63F52024278}"/>
              </c:ext>
            </c:extLst>
          </c:dPt>
          <c:dPt>
            <c:idx val="1"/>
            <c:bubble3D val="0"/>
            <c:spPr>
              <a:solidFill>
                <a:schemeClr val="accent2"/>
              </a:solidFill>
              <a:ln>
                <a:noFill/>
              </a:ln>
              <a:effectLst/>
            </c:spPr>
            <c:extLst>
              <c:ext xmlns:c16="http://schemas.microsoft.com/office/drawing/2014/chart" uri="{C3380CC4-5D6E-409C-BE32-E72D297353CC}">
                <c16:uniqueId val="{00000003-F2C4-4370-8E4A-D63F52024278}"/>
              </c:ext>
            </c:extLst>
          </c:dPt>
          <c:dPt>
            <c:idx val="2"/>
            <c:bubble3D val="0"/>
            <c:spPr>
              <a:solidFill>
                <a:schemeClr val="accent3"/>
              </a:solidFill>
              <a:ln>
                <a:noFill/>
              </a:ln>
              <a:effectLst/>
            </c:spPr>
            <c:extLst>
              <c:ext xmlns:c16="http://schemas.microsoft.com/office/drawing/2014/chart" uri="{C3380CC4-5D6E-409C-BE32-E72D297353CC}">
                <c16:uniqueId val="{00000005-F2C4-4370-8E4A-D63F52024278}"/>
              </c:ext>
            </c:extLst>
          </c:dPt>
          <c:dPt>
            <c:idx val="3"/>
            <c:bubble3D val="0"/>
            <c:spPr>
              <a:solidFill>
                <a:schemeClr val="accent4"/>
              </a:solidFill>
              <a:ln>
                <a:noFill/>
              </a:ln>
              <a:effectLst/>
            </c:spPr>
            <c:extLst>
              <c:ext xmlns:c16="http://schemas.microsoft.com/office/drawing/2014/chart" uri="{C3380CC4-5D6E-409C-BE32-E72D297353CC}">
                <c16:uniqueId val="{00000007-F2C4-4370-8E4A-D63F52024278}"/>
              </c:ext>
            </c:extLst>
          </c:dPt>
          <c:dPt>
            <c:idx val="4"/>
            <c:bubble3D val="0"/>
            <c:spPr>
              <a:solidFill>
                <a:schemeClr val="accent5"/>
              </a:solidFill>
              <a:ln>
                <a:noFill/>
              </a:ln>
              <a:effectLst/>
            </c:spPr>
            <c:extLst>
              <c:ext xmlns:c16="http://schemas.microsoft.com/office/drawing/2014/chart" uri="{C3380CC4-5D6E-409C-BE32-E72D297353CC}">
                <c16:uniqueId val="{00000009-F2C4-4370-8E4A-D63F52024278}"/>
              </c:ext>
            </c:extLst>
          </c:dPt>
          <c:dPt>
            <c:idx val="5"/>
            <c:bubble3D val="0"/>
            <c:spPr>
              <a:solidFill>
                <a:schemeClr val="accent6"/>
              </a:solidFill>
              <a:ln>
                <a:noFill/>
              </a:ln>
              <a:effectLst/>
            </c:spPr>
            <c:extLst>
              <c:ext xmlns:c16="http://schemas.microsoft.com/office/drawing/2014/chart" uri="{C3380CC4-5D6E-409C-BE32-E72D297353CC}">
                <c16:uniqueId val="{0000000B-F2C4-4370-8E4A-D63F5202427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F2C4-4370-8E4A-D63F52024278}"/>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F2C4-4370-8E4A-D63F52024278}"/>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F2C4-4370-8E4A-D63F52024278}"/>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F2C4-4370-8E4A-D63F5202427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extLst>
                <c:ext xmlns:c16="http://schemas.microsoft.com/office/drawing/2014/chart" uri="{C3380CC4-5D6E-409C-BE32-E72D297353CC}">
                  <c16:uniqueId val="{00000001-F2C4-4370-8E4A-D63F5202427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extLst>
                <c:ext xmlns:c16="http://schemas.microsoft.com/office/drawing/2014/chart" uri="{C3380CC4-5D6E-409C-BE32-E72D297353CC}">
                  <c16:uniqueId val="{00000003-F2C4-4370-8E4A-D63F52024278}"/>
                </c:ext>
              </c:extLst>
            </c:dLbl>
            <c:dLbl>
              <c:idx val="2"/>
              <c:layout>
                <c:manualLayout>
                  <c:x val="5.9988440073149704E-3"/>
                  <c:y val="-4.574144322000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it-IT"/>
                </a:p>
              </c:txPr>
              <c:dLblPos val="bestFit"/>
              <c:showLegendKey val="0"/>
              <c:showVal val="0"/>
              <c:showCatName val="1"/>
              <c:showSerName val="0"/>
              <c:showPercent val="1"/>
              <c:showBubbleSize val="0"/>
              <c:extLst>
                <c:ext xmlns:c15="http://schemas.microsoft.com/office/drawing/2012/chart" uri="{CE6537A1-D6FC-4f65-9D91-7224C49458BB}">
                  <c15:layout>
                    <c:manualLayout>
                      <c:w val="0.223289000984252"/>
                      <c:h val="0.121183678568917"/>
                    </c:manualLayout>
                  </c15:layout>
                </c:ext>
                <c:ext xmlns:c16="http://schemas.microsoft.com/office/drawing/2014/chart" uri="{C3380CC4-5D6E-409C-BE32-E72D297353CC}">
                  <c16:uniqueId val="{00000005-F2C4-4370-8E4A-D63F52024278}"/>
                </c:ext>
              </c:extLst>
            </c:dLbl>
            <c:dLbl>
              <c:idx val="3"/>
              <c:layout>
                <c:manualLayout>
                  <c:x val="-3.09316400653591E-2"/>
                  <c:y val="-2.41777603284875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it-IT"/>
                </a:p>
              </c:txPr>
              <c:dLblPos val="bestFit"/>
              <c:showLegendKey val="0"/>
              <c:showVal val="0"/>
              <c:showCatName val="1"/>
              <c:showSerName val="0"/>
              <c:showPercent val="1"/>
              <c:showBubbleSize val="0"/>
              <c:extLst>
                <c:ext xmlns:c15="http://schemas.microsoft.com/office/drawing/2012/chart" uri="{CE6537A1-D6FC-4f65-9D91-7224C49458BB}">
                  <c15:layout>
                    <c:manualLayout>
                      <c:w val="0.30342009650540402"/>
                      <c:h val="8.3132855274246395E-2"/>
                    </c:manualLayout>
                  </c15:layout>
                </c:ext>
                <c:ext xmlns:c16="http://schemas.microsoft.com/office/drawing/2014/chart" uri="{C3380CC4-5D6E-409C-BE32-E72D297353CC}">
                  <c16:uniqueId val="{00000007-F2C4-4370-8E4A-D63F52024278}"/>
                </c:ext>
              </c:extLst>
            </c:dLbl>
            <c:dLbl>
              <c:idx val="4"/>
              <c:layout>
                <c:manualLayout>
                  <c:x val="-9.3750000000001107E-3"/>
                  <c:y val="-2.343749855822470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it-I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C4-4370-8E4A-D63F52024278}"/>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extLst>
                <c:ext xmlns:c16="http://schemas.microsoft.com/office/drawing/2014/chart" uri="{C3380CC4-5D6E-409C-BE32-E72D297353CC}">
                  <c16:uniqueId val="{0000000B-F2C4-4370-8E4A-D63F52024278}"/>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a:t>Trisomy 21</a:t>
                    </a:r>
                    <a:r>
                      <a:rPr lang="en-US" baseline="0"/>
                      <a:t>
</a:t>
                    </a:r>
                    <a:fld id="{508C5107-02A9-4F24-B334-626E7EC0AEFC}" type="PERCENTAGE">
                      <a:rPr lang="en-US" baseline="0"/>
                      <a:pPr>
                        <a:defRPr sz="1000">
                          <a:solidFill>
                            <a:schemeClr val="accent1"/>
                          </a:solidFill>
                          <a:latin typeface="Times New Roman" panose="02020603050405020304" pitchFamily="18" charset="0"/>
                          <a:cs typeface="Times New Roman" panose="02020603050405020304" pitchFamily="18" charset="0"/>
                        </a:defRPr>
                      </a:pPr>
                      <a:t>[PERCENTUALE]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2C4-4370-8E4A-D63F52024278}"/>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extLst>
                <c:ext xmlns:c16="http://schemas.microsoft.com/office/drawing/2014/chart" uri="{C3380CC4-5D6E-409C-BE32-E72D297353CC}">
                  <c16:uniqueId val="{0000000F-F2C4-4370-8E4A-D63F52024278}"/>
                </c:ext>
              </c:extLst>
            </c:dLbl>
            <c:dLbl>
              <c:idx val="8"/>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baseline="0">
                        <a:solidFill>
                          <a:schemeClr val="bg2">
                            <a:lumMod val="25000"/>
                          </a:schemeClr>
                        </a:solidFill>
                      </a:rPr>
                      <a:t>Bronchopulmonary dysplasia
</a:t>
                    </a:r>
                    <a:fld id="{F65BB4AF-CF5F-49CA-B918-F3FC2E282480}" type="PERCENTAGE">
                      <a:rPr lang="en-US" baseline="0">
                        <a:solidFill>
                          <a:schemeClr val="bg2">
                            <a:lumMod val="25000"/>
                          </a:schemeClr>
                        </a:solidFill>
                      </a:rPr>
                      <a:pPr>
                        <a:defRPr sz="1000">
                          <a:solidFill>
                            <a:schemeClr val="accent1"/>
                          </a:solidFill>
                          <a:latin typeface="Times New Roman" panose="02020603050405020304" pitchFamily="18" charset="0"/>
                          <a:cs typeface="Times New Roman" panose="02020603050405020304" pitchFamily="18" charset="0"/>
                        </a:defRPr>
                      </a:pPr>
                      <a:t>[PERCENTUALE]</a:t>
                    </a:fld>
                    <a:endParaRPr lang="en-US" baseline="0">
                      <a:solidFill>
                        <a:schemeClr val="bg2">
                          <a:lumMod val="2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2C4-4370-8E4A-D63F52024278}"/>
                </c:ext>
              </c:extLst>
            </c:dLbl>
            <c:dLbl>
              <c:idx val="9"/>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5DDA270F-9C28-44E8-97FD-8FDA8CD26A88}" type="CATEGORYNAME">
                      <a:rPr lang="en-US">
                        <a:solidFill>
                          <a:schemeClr val="accent4">
                            <a:lumMod val="50000"/>
                          </a:schemeClr>
                        </a:solidFill>
                      </a:rPr>
                      <a:pPr>
                        <a:defRPr sz="1000">
                          <a:solidFill>
                            <a:schemeClr val="accent1"/>
                          </a:solidFill>
                          <a:latin typeface="Times New Roman" panose="02020603050405020304" pitchFamily="18" charset="0"/>
                          <a:cs typeface="Times New Roman" panose="02020603050405020304" pitchFamily="18" charset="0"/>
                        </a:defRPr>
                      </a:pPr>
                      <a:t>[NOME CATEGORIA]</a:t>
                    </a:fld>
                    <a:r>
                      <a:rPr lang="en-US" baseline="0"/>
                      <a:t> </a:t>
                    </a:r>
                    <a:fld id="{4C601918-80A6-48A1-BBE9-496450DEC33C}" type="PERCENTAGE">
                      <a:rPr lang="en-US" baseline="0">
                        <a:solidFill>
                          <a:schemeClr val="accent4">
                            <a:lumMod val="50000"/>
                          </a:schemeClr>
                        </a:solidFill>
                      </a:rPr>
                      <a:pPr>
                        <a:defRPr sz="1000">
                          <a:solidFill>
                            <a:schemeClr val="accent1"/>
                          </a:solidFill>
                          <a:latin typeface="Times New Roman" panose="02020603050405020304" pitchFamily="18" charset="0"/>
                          <a:cs typeface="Times New Roman" panose="02020603050405020304" pitchFamily="18" charset="0"/>
                        </a:defRPr>
                      </a:pPr>
                      <a:t>[PERCENTUALE]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3-F2C4-4370-8E4A-D63F520242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Foglio1!$A$2:$A$11</c:f>
              <c:strCache>
                <c:ptCount val="10"/>
                <c:pt idx="0">
                  <c:v>Congenital heart disease</c:v>
                </c:pt>
                <c:pt idx="1">
                  <c:v>Neurological impairment</c:v>
                </c:pt>
                <c:pt idx="2">
                  <c:v>Immunological disease</c:v>
                </c:pt>
                <c:pt idx="3">
                  <c:v>Oncological disorders</c:v>
                </c:pt>
                <c:pt idx="4">
                  <c:v>Cystic fibrosis</c:v>
                </c:pt>
                <c:pt idx="5">
                  <c:v>Wheezing</c:v>
                </c:pt>
                <c:pt idx="6">
                  <c:v>Down syndrome</c:v>
                </c:pt>
                <c:pt idx="7">
                  <c:v>Genetic disorders</c:v>
                </c:pt>
                <c:pt idx="8">
                  <c:v>Bronchodysplasia</c:v>
                </c:pt>
                <c:pt idx="9">
                  <c:v>Others</c:v>
                </c:pt>
              </c:strCache>
            </c:strRef>
          </c:cat>
          <c:val>
            <c:numRef>
              <c:f>Foglio1!$B$2:$B$11</c:f>
              <c:numCache>
                <c:formatCode>General</c:formatCode>
                <c:ptCount val="10"/>
                <c:pt idx="0">
                  <c:v>70</c:v>
                </c:pt>
                <c:pt idx="1">
                  <c:v>43</c:v>
                </c:pt>
                <c:pt idx="2">
                  <c:v>6</c:v>
                </c:pt>
                <c:pt idx="3">
                  <c:v>8</c:v>
                </c:pt>
                <c:pt idx="4">
                  <c:v>5</c:v>
                </c:pt>
                <c:pt idx="5">
                  <c:v>92</c:v>
                </c:pt>
                <c:pt idx="6">
                  <c:v>10</c:v>
                </c:pt>
                <c:pt idx="7">
                  <c:v>39</c:v>
                </c:pt>
                <c:pt idx="8">
                  <c:v>18</c:v>
                </c:pt>
                <c:pt idx="9">
                  <c:v>51</c:v>
                </c:pt>
              </c:numCache>
            </c:numRef>
          </c:val>
          <c:extLst>
            <c:ext xmlns:c16="http://schemas.microsoft.com/office/drawing/2014/chart" uri="{C3380CC4-5D6E-409C-BE32-E72D297353CC}">
              <c16:uniqueId val="{00000014-F2C4-4370-8E4A-D63F52024278}"/>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A068C-437C-8C44-A607-A5561ED3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VOARINO MARTA</dc:creator>
  <cp:keywords/>
  <dc:description/>
  <cp:lastModifiedBy>CATAMERÒ FRANCESCO</cp:lastModifiedBy>
  <cp:revision>2</cp:revision>
  <dcterms:created xsi:type="dcterms:W3CDTF">2024-04-30T09:06:00Z</dcterms:created>
  <dcterms:modified xsi:type="dcterms:W3CDTF">2024-04-30T09:06:00Z</dcterms:modified>
</cp:coreProperties>
</file>