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22913" w14:textId="61789C85" w:rsidR="00EB717A" w:rsidRPr="00EF5F0C" w:rsidRDefault="00EB717A" w:rsidP="00EB717A">
      <w:pPr>
        <w:pStyle w:val="Heading1"/>
        <w:rPr>
          <w:color w:val="000000" w:themeColor="text1"/>
        </w:rPr>
      </w:pPr>
      <w:r w:rsidRPr="00EF5F0C">
        <w:rPr>
          <w:color w:val="000000" w:themeColor="text1"/>
        </w:rPr>
        <w:t xml:space="preserve">Supplementary Material </w:t>
      </w:r>
    </w:p>
    <w:p w14:paraId="7D6EA261" w14:textId="04994540" w:rsidR="00EB717A" w:rsidRDefault="00E56A76" w:rsidP="00EB717A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1CB5622B" wp14:editId="077B3B24">
            <wp:extent cx="5730844" cy="4571060"/>
            <wp:effectExtent l="0" t="0" r="0" b="0"/>
            <wp:docPr id="541871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74" cy="458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85355" w14:textId="34D127A9" w:rsidR="00EB717A" w:rsidRPr="00F23EBE" w:rsidRDefault="00EB717A" w:rsidP="00EB717A">
      <w:pPr>
        <w:spacing w:after="120"/>
        <w:jc w:val="both"/>
        <w:rPr>
          <w:color w:val="000000" w:themeColor="text1"/>
          <w:sz w:val="20"/>
          <w:szCs w:val="20"/>
        </w:rPr>
      </w:pPr>
      <w:r w:rsidRPr="00F23EBE">
        <w:rPr>
          <w:color w:val="000000" w:themeColor="text1"/>
          <w:sz w:val="20"/>
          <w:szCs w:val="20"/>
        </w:rPr>
        <w:t>Supplementary Figure 1: Viability of cells treated with LNPs</w:t>
      </w:r>
      <w:r w:rsidR="00E56A76" w:rsidRPr="00F23EBE">
        <w:rPr>
          <w:color w:val="000000" w:themeColor="text1"/>
          <w:sz w:val="20"/>
          <w:szCs w:val="20"/>
        </w:rPr>
        <w:t xml:space="preserve"> that encapsulate eGFP mRNA</w:t>
      </w:r>
      <w:r w:rsidRPr="00F23EBE">
        <w:rPr>
          <w:color w:val="000000" w:themeColor="text1"/>
          <w:sz w:val="20"/>
          <w:szCs w:val="20"/>
        </w:rPr>
        <w:t xml:space="preserve">. </w:t>
      </w:r>
      <w:r w:rsidR="0045209C" w:rsidRPr="00F23EBE">
        <w:rPr>
          <w:color w:val="000000" w:themeColor="text1"/>
          <w:sz w:val="20"/>
          <w:szCs w:val="20"/>
        </w:rPr>
        <w:t>Dead cells</w:t>
      </w:r>
      <w:r w:rsidR="00150A50" w:rsidRPr="00F23EBE">
        <w:rPr>
          <w:color w:val="000000" w:themeColor="text1"/>
          <w:sz w:val="20"/>
          <w:szCs w:val="20"/>
        </w:rPr>
        <w:t xml:space="preserve"> (FVS780 dye-positive)</w:t>
      </w:r>
      <w:r w:rsidR="0045209C" w:rsidRPr="00F23EBE">
        <w:rPr>
          <w:color w:val="000000" w:themeColor="text1"/>
          <w:sz w:val="20"/>
          <w:szCs w:val="20"/>
        </w:rPr>
        <w:t xml:space="preserve"> </w:t>
      </w:r>
      <w:r w:rsidR="00A84BC7" w:rsidRPr="00F23EBE">
        <w:rPr>
          <w:color w:val="000000" w:themeColor="text1"/>
          <w:sz w:val="20"/>
          <w:szCs w:val="20"/>
        </w:rPr>
        <w:t>were identified by flow cytometry</w:t>
      </w:r>
      <w:r w:rsidRPr="00F23EBE">
        <w:rPr>
          <w:color w:val="000000" w:themeColor="text1"/>
          <w:sz w:val="20"/>
          <w:szCs w:val="20"/>
        </w:rPr>
        <w:t>. Statistical analysis was performed with a one-way ANOVA with Tukey’s multiple comparison test. *P &lt; 0.1, **P &lt; 0.01, ***P &lt;0.001, ****P &lt; 0.0001.</w:t>
      </w:r>
    </w:p>
    <w:p w14:paraId="0F81B388" w14:textId="77777777" w:rsidR="00EB717A" w:rsidRPr="00EF5F0C" w:rsidRDefault="00EB717A" w:rsidP="00EB717A">
      <w:pPr>
        <w:spacing w:after="120"/>
        <w:rPr>
          <w:color w:val="000000" w:themeColor="text1"/>
        </w:rPr>
      </w:pPr>
    </w:p>
    <w:p w14:paraId="7DD11F1A" w14:textId="77777777" w:rsidR="00EB717A" w:rsidRPr="00EF5F0C" w:rsidRDefault="00EB717A" w:rsidP="00EB717A">
      <w:pPr>
        <w:spacing w:after="120"/>
        <w:rPr>
          <w:color w:val="000000" w:themeColor="text1"/>
        </w:rPr>
      </w:pPr>
    </w:p>
    <w:p w14:paraId="5AA31936" w14:textId="77777777" w:rsidR="00EB717A" w:rsidRPr="00EF5F0C" w:rsidRDefault="00EB717A" w:rsidP="00EB717A">
      <w:pPr>
        <w:spacing w:after="120"/>
        <w:rPr>
          <w:color w:val="000000" w:themeColor="text1"/>
        </w:rPr>
      </w:pPr>
    </w:p>
    <w:p w14:paraId="3E0B14B1" w14:textId="77777777" w:rsidR="00EB717A" w:rsidRPr="00EF5F0C" w:rsidRDefault="00EB717A" w:rsidP="00EB717A">
      <w:pPr>
        <w:spacing w:after="120" w:line="360" w:lineRule="auto"/>
        <w:jc w:val="both"/>
        <w:rPr>
          <w:color w:val="000000" w:themeColor="text1"/>
        </w:rPr>
      </w:pPr>
    </w:p>
    <w:p w14:paraId="4A25AF9B" w14:textId="77777777" w:rsidR="00EB717A" w:rsidRPr="00EF5F0C" w:rsidRDefault="00EB717A" w:rsidP="00EB717A">
      <w:pPr>
        <w:spacing w:after="120"/>
        <w:rPr>
          <w:color w:val="000000" w:themeColor="text1"/>
        </w:rPr>
      </w:pPr>
    </w:p>
    <w:p w14:paraId="22CE96F7" w14:textId="77777777" w:rsidR="00EB717A" w:rsidRPr="00EF5F0C" w:rsidRDefault="00EB717A" w:rsidP="00EB717A">
      <w:pPr>
        <w:spacing w:before="240" w:after="0"/>
        <w:jc w:val="center"/>
        <w:rPr>
          <w:b/>
          <w:bCs/>
          <w:color w:val="000000" w:themeColor="text1"/>
        </w:rPr>
      </w:pPr>
      <w:r w:rsidRPr="00EF5F0C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F24D14" wp14:editId="7683F1F2">
            <wp:extent cx="5665304" cy="4519416"/>
            <wp:effectExtent l="0" t="0" r="0" b="0"/>
            <wp:docPr id="900480380" name="Picture 900480380" descr="A collage of images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80380" name="Picture 900480380" descr="A collage of images of a person's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34" cy="453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24A69" w14:textId="1AC28A70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  <w:r w:rsidRPr="00EF5F0C">
        <w:rPr>
          <w:color w:val="000000" w:themeColor="text1"/>
          <w:sz w:val="20"/>
          <w:szCs w:val="20"/>
        </w:rPr>
        <w:t xml:space="preserve">Supplementary Figure </w:t>
      </w:r>
      <w:r>
        <w:rPr>
          <w:color w:val="000000" w:themeColor="text1"/>
          <w:sz w:val="20"/>
          <w:szCs w:val="20"/>
        </w:rPr>
        <w:t>2</w:t>
      </w:r>
      <w:r w:rsidRPr="00EF5F0C">
        <w:rPr>
          <w:color w:val="000000" w:themeColor="text1"/>
          <w:sz w:val="20"/>
          <w:szCs w:val="20"/>
        </w:rPr>
        <w:t xml:space="preserve">: Gating strategy for the analysis of adaptive and innate cells. PBMCs were treated with medium </w:t>
      </w:r>
      <w:r w:rsidR="0079469C">
        <w:rPr>
          <w:color w:val="000000" w:themeColor="text1"/>
          <w:sz w:val="20"/>
          <w:szCs w:val="20"/>
        </w:rPr>
        <w:t xml:space="preserve">or </w:t>
      </w:r>
      <w:r w:rsidR="0079469C" w:rsidRPr="0079469C">
        <w:rPr>
          <w:color w:val="000000" w:themeColor="text1"/>
          <w:sz w:val="20"/>
          <w:szCs w:val="20"/>
        </w:rPr>
        <w:t xml:space="preserve">LNPs that encapsulate eGFP mRNA </w:t>
      </w:r>
      <w:r w:rsidRPr="00EF5F0C">
        <w:rPr>
          <w:color w:val="000000" w:themeColor="text1"/>
          <w:sz w:val="20"/>
          <w:szCs w:val="20"/>
        </w:rPr>
        <w:t xml:space="preserve">and were then cultured for 18 hours. The resulting cells were </w:t>
      </w:r>
      <w:proofErr w:type="spellStart"/>
      <w:r w:rsidRPr="00EF5F0C">
        <w:rPr>
          <w:color w:val="000000" w:themeColor="text1"/>
          <w:sz w:val="20"/>
          <w:szCs w:val="20"/>
        </w:rPr>
        <w:t>analysed</w:t>
      </w:r>
      <w:proofErr w:type="spellEnd"/>
      <w:r w:rsidRPr="00EF5F0C">
        <w:rPr>
          <w:color w:val="000000" w:themeColor="text1"/>
          <w:sz w:val="20"/>
          <w:szCs w:val="20"/>
        </w:rPr>
        <w:t xml:space="preserve"> by flow cytometry to identify B cells, T cells, NK cells, classical Monocytes (</w:t>
      </w:r>
      <w:proofErr w:type="spellStart"/>
      <w:r w:rsidRPr="00EF5F0C">
        <w:rPr>
          <w:color w:val="000000" w:themeColor="text1"/>
          <w:sz w:val="20"/>
          <w:szCs w:val="20"/>
        </w:rPr>
        <w:t>cMonos</w:t>
      </w:r>
      <w:proofErr w:type="spellEnd"/>
      <w:r w:rsidRPr="00EF5F0C">
        <w:rPr>
          <w:color w:val="000000" w:themeColor="text1"/>
          <w:sz w:val="20"/>
          <w:szCs w:val="20"/>
        </w:rPr>
        <w:t>), intermediate Monocytes (</w:t>
      </w:r>
      <w:proofErr w:type="spellStart"/>
      <w:r w:rsidRPr="00EF5F0C">
        <w:rPr>
          <w:color w:val="000000" w:themeColor="text1"/>
          <w:sz w:val="20"/>
          <w:szCs w:val="20"/>
        </w:rPr>
        <w:t>intMonos</w:t>
      </w:r>
      <w:proofErr w:type="spellEnd"/>
      <w:r w:rsidRPr="00EF5F0C">
        <w:rPr>
          <w:color w:val="000000" w:themeColor="text1"/>
          <w:sz w:val="20"/>
          <w:szCs w:val="20"/>
        </w:rPr>
        <w:t>), non-classical Monocytes (</w:t>
      </w:r>
      <w:proofErr w:type="spellStart"/>
      <w:r w:rsidRPr="00EF5F0C">
        <w:rPr>
          <w:color w:val="000000" w:themeColor="text1"/>
          <w:sz w:val="20"/>
          <w:szCs w:val="20"/>
        </w:rPr>
        <w:t>ncMonos</w:t>
      </w:r>
      <w:proofErr w:type="spellEnd"/>
      <w:r w:rsidRPr="00EF5F0C">
        <w:rPr>
          <w:color w:val="000000" w:themeColor="text1"/>
          <w:sz w:val="20"/>
          <w:szCs w:val="20"/>
        </w:rPr>
        <w:t>), conventional Dendritic cells (</w:t>
      </w:r>
      <w:proofErr w:type="spellStart"/>
      <w:r w:rsidRPr="00EF5F0C">
        <w:rPr>
          <w:color w:val="000000" w:themeColor="text1"/>
          <w:sz w:val="20"/>
          <w:szCs w:val="20"/>
        </w:rPr>
        <w:t>cDCs</w:t>
      </w:r>
      <w:proofErr w:type="spellEnd"/>
      <w:r w:rsidRPr="00EF5F0C">
        <w:rPr>
          <w:color w:val="000000" w:themeColor="text1"/>
          <w:sz w:val="20"/>
          <w:szCs w:val="20"/>
        </w:rPr>
        <w:t>) and plasmacytoid Dendritic cells (</w:t>
      </w:r>
      <w:proofErr w:type="spellStart"/>
      <w:r w:rsidRPr="00EF5F0C">
        <w:rPr>
          <w:color w:val="000000" w:themeColor="text1"/>
          <w:sz w:val="20"/>
          <w:szCs w:val="20"/>
        </w:rPr>
        <w:t>pDCs</w:t>
      </w:r>
      <w:proofErr w:type="spellEnd"/>
      <w:r w:rsidRPr="00EF5F0C">
        <w:rPr>
          <w:color w:val="000000" w:themeColor="text1"/>
          <w:sz w:val="20"/>
          <w:szCs w:val="20"/>
        </w:rPr>
        <w:t xml:space="preserve">). Transfection efficiency (eGFP) or activation (CD80, CD83, CD86) were respectively determined for all cell types or innate immune cells. </w:t>
      </w:r>
    </w:p>
    <w:p w14:paraId="236D7F54" w14:textId="77777777" w:rsidR="00EB717A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3ABA838C" w14:textId="77777777" w:rsidR="00EB717A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20555705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04F82766" w14:textId="77777777" w:rsidR="00EB717A" w:rsidRPr="00EF5F0C" w:rsidRDefault="00EB717A" w:rsidP="00EB717A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EE5D084" wp14:editId="117D3EAF">
            <wp:extent cx="5708393" cy="2574266"/>
            <wp:effectExtent l="0" t="0" r="6985" b="0"/>
            <wp:docPr id="633557414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57414" name="Picture 1" descr="A screenshot of a video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233" cy="257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1998" w14:textId="16227D3E" w:rsidR="00EB717A" w:rsidRPr="00150A50" w:rsidRDefault="00EB717A" w:rsidP="00EB717A">
      <w:pPr>
        <w:jc w:val="both"/>
        <w:rPr>
          <w:color w:val="000000" w:themeColor="text1"/>
          <w:sz w:val="20"/>
          <w:szCs w:val="20"/>
        </w:rPr>
      </w:pPr>
      <w:r w:rsidRPr="00150A50">
        <w:rPr>
          <w:sz w:val="20"/>
          <w:szCs w:val="20"/>
        </w:rPr>
        <w:t xml:space="preserve">Supplementary Figure 3: </w:t>
      </w:r>
      <w:r w:rsidRPr="00150A50">
        <w:rPr>
          <w:color w:val="000000" w:themeColor="text1"/>
          <w:sz w:val="20"/>
          <w:szCs w:val="20"/>
        </w:rPr>
        <w:t>Viability of PBMCs treated with LNPs</w:t>
      </w:r>
      <w:r w:rsidR="00150A50" w:rsidRPr="00F23EBE">
        <w:rPr>
          <w:color w:val="000000" w:themeColor="text1"/>
          <w:sz w:val="20"/>
          <w:szCs w:val="20"/>
        </w:rPr>
        <w:t xml:space="preserve"> that encapsulate eGFP mRNA. FVS780</w:t>
      </w:r>
      <w:r w:rsidR="000012D7">
        <w:rPr>
          <w:color w:val="000000" w:themeColor="text1"/>
          <w:sz w:val="20"/>
          <w:szCs w:val="20"/>
        </w:rPr>
        <w:t>-</w:t>
      </w:r>
      <w:r w:rsidR="00150A50" w:rsidRPr="00F23EBE">
        <w:rPr>
          <w:color w:val="000000" w:themeColor="text1"/>
          <w:sz w:val="20"/>
          <w:szCs w:val="20"/>
        </w:rPr>
        <w:t>positive</w:t>
      </w:r>
      <w:r w:rsidR="00BF7CE1">
        <w:rPr>
          <w:color w:val="000000" w:themeColor="text1"/>
          <w:sz w:val="20"/>
          <w:szCs w:val="20"/>
        </w:rPr>
        <w:t xml:space="preserve"> cells (dead cells)</w:t>
      </w:r>
      <w:r w:rsidR="00150A50" w:rsidRPr="00F23EBE">
        <w:rPr>
          <w:color w:val="000000" w:themeColor="text1"/>
          <w:sz w:val="20"/>
          <w:szCs w:val="20"/>
        </w:rPr>
        <w:t xml:space="preserve"> were identified by flow cytometry</w:t>
      </w:r>
      <w:r w:rsidRPr="00150A50">
        <w:rPr>
          <w:color w:val="000000" w:themeColor="text1"/>
          <w:sz w:val="20"/>
          <w:szCs w:val="20"/>
        </w:rPr>
        <w:t>. Statistical analysis was performed with a one-way ANOVA with Tukey’s multiple comparison test. *P &lt; 0.1, **P &lt; 0.01, ***P &lt;0.001, ****P &lt; 0.0001.</w:t>
      </w:r>
    </w:p>
    <w:p w14:paraId="4E3EB622" w14:textId="77777777" w:rsidR="00EB717A" w:rsidRPr="00EF5F0C" w:rsidRDefault="00EB717A" w:rsidP="00EB717A">
      <w:pPr>
        <w:rPr>
          <w:color w:val="000000" w:themeColor="text1"/>
          <w:sz w:val="20"/>
          <w:szCs w:val="20"/>
        </w:rPr>
      </w:pPr>
    </w:p>
    <w:p w14:paraId="56DE0EFE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1FF1FB8B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214BD219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74C7D14F" w14:textId="77777777" w:rsidR="00EB717A" w:rsidRPr="00EF5F0C" w:rsidRDefault="00EB717A" w:rsidP="00EB717A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0CDA742D" wp14:editId="33A7A975">
            <wp:extent cx="5126983" cy="3138086"/>
            <wp:effectExtent l="0" t="0" r="0" b="5715"/>
            <wp:docPr id="609402236" name="Picture 2" descr="A group of blue and whit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02236" name="Picture 2" descr="A group of blue and white ba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01" cy="31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C7CD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  <w:r w:rsidRPr="00EF5F0C">
        <w:rPr>
          <w:color w:val="000000" w:themeColor="text1"/>
          <w:sz w:val="20"/>
          <w:szCs w:val="20"/>
        </w:rPr>
        <w:t xml:space="preserve">Supplementary Figure </w:t>
      </w:r>
      <w:r>
        <w:rPr>
          <w:color w:val="000000" w:themeColor="text1"/>
          <w:sz w:val="20"/>
          <w:szCs w:val="20"/>
        </w:rPr>
        <w:t>4</w:t>
      </w:r>
      <w:r w:rsidRPr="00EF5F0C">
        <w:rPr>
          <w:color w:val="000000" w:themeColor="text1"/>
          <w:sz w:val="20"/>
          <w:szCs w:val="20"/>
        </w:rPr>
        <w:t>: Analysis on innate immune cell activation through the surface expression of activation markers CD80 (A) and CD86 (B). Percentages are given and bars represent the mean of 8 donors. Statistical analysis was performed with a Brown-Forsythe and Welch ANOVA with Dunnett’s T3 multiple comparison test. *P &lt; 0.1, **P &lt; 0.01, ***P &lt;0.001, ****P &lt; 0.0001.</w:t>
      </w:r>
    </w:p>
    <w:p w14:paraId="48BEBFF1" w14:textId="77777777" w:rsidR="00EB717A" w:rsidRDefault="00EB717A" w:rsidP="00EB717A">
      <w:pPr>
        <w:jc w:val="both"/>
        <w:rPr>
          <w:color w:val="000000" w:themeColor="text1"/>
          <w:sz w:val="20"/>
          <w:szCs w:val="20"/>
        </w:rPr>
      </w:pPr>
      <w:r w:rsidRPr="00EF5F0C"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21CAF71" wp14:editId="618355E5">
            <wp:extent cx="5427583" cy="4540758"/>
            <wp:effectExtent l="0" t="0" r="1905" b="0"/>
            <wp:docPr id="1550123731" name="Picture 1550123731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38581" name="Picture 1766138581" descr="A screenshot of a computer generated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19" cy="455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64A6E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  <w:r w:rsidRPr="00EF5F0C">
        <w:rPr>
          <w:color w:val="000000" w:themeColor="text1"/>
          <w:sz w:val="20"/>
          <w:szCs w:val="20"/>
        </w:rPr>
        <w:t xml:space="preserve">Supplementary Figure </w:t>
      </w:r>
      <w:r>
        <w:rPr>
          <w:color w:val="000000" w:themeColor="text1"/>
          <w:sz w:val="20"/>
          <w:szCs w:val="20"/>
        </w:rPr>
        <w:t>5</w:t>
      </w:r>
      <w:r w:rsidRPr="00EF5F0C">
        <w:rPr>
          <w:color w:val="000000" w:themeColor="text1"/>
          <w:sz w:val="20"/>
          <w:szCs w:val="20"/>
        </w:rPr>
        <w:t xml:space="preserve">: Analysis of </w:t>
      </w:r>
      <w:proofErr w:type="gramStart"/>
      <w:r w:rsidRPr="00EF5F0C">
        <w:rPr>
          <w:color w:val="000000" w:themeColor="text1"/>
          <w:sz w:val="20"/>
          <w:szCs w:val="20"/>
        </w:rPr>
        <w:t>antigen-specific</w:t>
      </w:r>
      <w:proofErr w:type="gramEnd"/>
      <w:r w:rsidRPr="00EF5F0C">
        <w:rPr>
          <w:color w:val="000000" w:themeColor="text1"/>
          <w:sz w:val="20"/>
          <w:szCs w:val="20"/>
        </w:rPr>
        <w:t xml:space="preserve"> CD8</w:t>
      </w:r>
      <w:r w:rsidRPr="00EF5F0C">
        <w:rPr>
          <w:color w:val="000000" w:themeColor="text1"/>
          <w:sz w:val="20"/>
          <w:szCs w:val="20"/>
          <w:vertAlign w:val="superscript"/>
        </w:rPr>
        <w:t>+</w:t>
      </w:r>
      <w:r w:rsidRPr="00EF5F0C">
        <w:rPr>
          <w:color w:val="000000" w:themeColor="text1"/>
          <w:sz w:val="20"/>
          <w:szCs w:val="20"/>
        </w:rPr>
        <w:t xml:space="preserve"> T cells in mouse spleens on day 28. The gating strategy employed (A) and representative contour plots of CD8</w:t>
      </w:r>
      <w:r w:rsidRPr="00EF5F0C">
        <w:rPr>
          <w:color w:val="000000" w:themeColor="text1"/>
          <w:sz w:val="20"/>
          <w:szCs w:val="20"/>
          <w:vertAlign w:val="superscript"/>
        </w:rPr>
        <w:t>+</w:t>
      </w:r>
      <w:r w:rsidRPr="00EF5F0C">
        <w:rPr>
          <w:color w:val="000000" w:themeColor="text1"/>
          <w:sz w:val="20"/>
          <w:szCs w:val="20"/>
        </w:rPr>
        <w:t xml:space="preserve"> class I pentamer</w:t>
      </w:r>
      <w:r w:rsidRPr="00EF5F0C">
        <w:rPr>
          <w:color w:val="000000" w:themeColor="text1"/>
          <w:sz w:val="20"/>
          <w:szCs w:val="20"/>
          <w:vertAlign w:val="superscript"/>
        </w:rPr>
        <w:t>+</w:t>
      </w:r>
      <w:r w:rsidRPr="00EF5F0C">
        <w:rPr>
          <w:color w:val="000000" w:themeColor="text1"/>
          <w:sz w:val="20"/>
          <w:szCs w:val="20"/>
        </w:rPr>
        <w:t xml:space="preserve"> cells (B) are shown. </w:t>
      </w:r>
    </w:p>
    <w:p w14:paraId="2FF23B8C" w14:textId="77777777" w:rsidR="00EB717A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7AE33EAD" w14:textId="77777777" w:rsidR="00EB717A" w:rsidRPr="00EF5F0C" w:rsidRDefault="00EB717A" w:rsidP="00EB717A">
      <w:pPr>
        <w:jc w:val="both"/>
        <w:rPr>
          <w:color w:val="000000" w:themeColor="text1"/>
          <w:sz w:val="20"/>
          <w:szCs w:val="20"/>
        </w:rPr>
      </w:pPr>
    </w:p>
    <w:p w14:paraId="7AE8645C" w14:textId="77777777" w:rsidR="00EB717A" w:rsidRDefault="00EB717A" w:rsidP="00EB717A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068315DA" wp14:editId="6DE9EFA2">
            <wp:extent cx="3641743" cy="1744612"/>
            <wp:effectExtent l="0" t="0" r="0" b="0"/>
            <wp:docPr id="1495051647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51647" name="Picture 3" descr="A screenshot of a video g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95" cy="17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997F" w14:textId="405F24D1" w:rsidR="00CD45DE" w:rsidRDefault="00EB717A" w:rsidP="00F23EBE">
      <w:pPr>
        <w:jc w:val="both"/>
      </w:pPr>
      <w:r w:rsidRPr="00EF5F0C">
        <w:rPr>
          <w:color w:val="000000" w:themeColor="text1"/>
          <w:sz w:val="20"/>
          <w:szCs w:val="20"/>
        </w:rPr>
        <w:t>Supplementary Figure</w:t>
      </w:r>
      <w:r>
        <w:rPr>
          <w:color w:val="000000" w:themeColor="text1"/>
          <w:sz w:val="20"/>
          <w:szCs w:val="20"/>
        </w:rPr>
        <w:t xml:space="preserve"> 6: ALT and AST levels in the sera of animals treated with buffer (control), LNP 1.5% PEG and LNP 1.5% PMOZ. Sera were collected with 14 hours after the primary vaccination. </w:t>
      </w:r>
      <w:r w:rsidRPr="00532665">
        <w:rPr>
          <w:color w:val="000000" w:themeColor="text1"/>
          <w:sz w:val="20"/>
          <w:szCs w:val="20"/>
        </w:rPr>
        <w:t>Statistical analysis was performed with a one-way ANOVA with Tukey’s multiple comparison test.</w:t>
      </w:r>
      <w:r w:rsidRPr="00532665">
        <w:t xml:space="preserve"> </w:t>
      </w:r>
      <w:r w:rsidRPr="00532665">
        <w:rPr>
          <w:color w:val="000000" w:themeColor="text1"/>
          <w:sz w:val="20"/>
          <w:szCs w:val="20"/>
        </w:rPr>
        <w:t>*P &lt; 0.1, **P &lt; 0.01, ***P &lt;0.001, ****P &lt; 0.0001.</w:t>
      </w:r>
    </w:p>
    <w:sectPr w:rsidR="00CD45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7A"/>
    <w:rsid w:val="000012D7"/>
    <w:rsid w:val="000F4EFA"/>
    <w:rsid w:val="001231E2"/>
    <w:rsid w:val="00150A50"/>
    <w:rsid w:val="0045209C"/>
    <w:rsid w:val="00486F5A"/>
    <w:rsid w:val="0070315F"/>
    <w:rsid w:val="00754C73"/>
    <w:rsid w:val="0078516C"/>
    <w:rsid w:val="0079469C"/>
    <w:rsid w:val="00A77029"/>
    <w:rsid w:val="00A84BC7"/>
    <w:rsid w:val="00AE415E"/>
    <w:rsid w:val="00BF7CE1"/>
    <w:rsid w:val="00C82B1C"/>
    <w:rsid w:val="00CB5D59"/>
    <w:rsid w:val="00CD45DE"/>
    <w:rsid w:val="00DA0421"/>
    <w:rsid w:val="00E56A76"/>
    <w:rsid w:val="00E60188"/>
    <w:rsid w:val="00EB717A"/>
    <w:rsid w:val="00F2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4CABB"/>
  <w15:chartTrackingRefBased/>
  <w15:docId w15:val="{EA177B04-7119-49DE-8767-AECB6372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Calibr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17A"/>
  </w:style>
  <w:style w:type="paragraph" w:styleId="Heading1">
    <w:name w:val="heading 1"/>
    <w:basedOn w:val="Normal"/>
    <w:next w:val="Normal"/>
    <w:link w:val="Heading1Char"/>
    <w:uiPriority w:val="9"/>
    <w:qFormat/>
    <w:rsid w:val="00EB717A"/>
    <w:pPr>
      <w:keepNext/>
      <w:keepLines/>
      <w:spacing w:before="240" w:after="120"/>
      <w:outlineLvl w:val="0"/>
    </w:pPr>
    <w:rPr>
      <w:rFonts w:eastAsiaTheme="majorEastAsia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717A"/>
    <w:rPr>
      <w:rFonts w:eastAsiaTheme="majorEastAsia" w:cs="Arial"/>
      <w:sz w:val="32"/>
      <w:szCs w:val="32"/>
    </w:rPr>
  </w:style>
  <w:style w:type="paragraph" w:styleId="Revision">
    <w:name w:val="Revision"/>
    <w:hidden/>
    <w:uiPriority w:val="99"/>
    <w:semiHidden/>
    <w:rsid w:val="00E56A7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23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3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3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1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04A08E919D499B4E104F3F657F77" ma:contentTypeVersion="11" ma:contentTypeDescription="Create a new document." ma:contentTypeScope="" ma:versionID="313239f9f2e633443a616071c8848cb0">
  <xsd:schema xmlns:xsd="http://www.w3.org/2001/XMLSchema" xmlns:xs="http://www.w3.org/2001/XMLSchema" xmlns:p="http://schemas.microsoft.com/office/2006/metadata/properties" xmlns:ns2="0d48047a-b1e5-471c-a332-1c56f56d0a9f" xmlns:ns3="79f6b637-4b43-4c8e-97ec-3bf953d05ca1" targetNamespace="http://schemas.microsoft.com/office/2006/metadata/properties" ma:root="true" ma:fieldsID="70db9db2b5146a2a19239d01a3bd86dd" ns2:_="" ns3:_="">
    <xsd:import namespace="0d48047a-b1e5-471c-a332-1c56f56d0a9f"/>
    <xsd:import namespace="79f6b637-4b43-4c8e-97ec-3bf953d05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8047a-b1e5-471c-a332-1c56f56d0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d368c8d-5f5c-4e37-b9a3-b3b6765329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6b637-4b43-4c8e-97ec-3bf953d05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48047a-b1e5-471c-a332-1c56f56d0a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A2D52F-5DFB-413C-A685-DF1D281180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48804-D8A4-4B18-BC30-973974AAA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8047a-b1e5-471c-a332-1c56f56d0a9f"/>
    <ds:schemaRef ds:uri="79f6b637-4b43-4c8e-97ec-3bf953d05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B31A4-D029-4E67-B4A2-9179DC361E34}">
  <ds:schemaRefs>
    <ds:schemaRef ds:uri="http://schemas.microsoft.com/office/2006/metadata/properties"/>
    <ds:schemaRef ds:uri="http://schemas.microsoft.com/office/infopath/2007/PartnerControls"/>
    <ds:schemaRef ds:uri="0d48047a-b1e5-471c-a332-1c56f56d0a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324</Words>
  <Characters>1851</Characters>
  <Application>Microsoft Office Word</Application>
  <DocSecurity>0</DocSecurity>
  <Lines>15</Lines>
  <Paragraphs>4</Paragraphs>
  <ScaleCrop>false</ScaleCrop>
  <Company>CureVac AG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Dwain Van Zyl</dc:creator>
  <cp:keywords/>
  <dc:description/>
  <cp:lastModifiedBy>Laura Niven</cp:lastModifiedBy>
  <cp:revision>19</cp:revision>
  <dcterms:created xsi:type="dcterms:W3CDTF">2024-04-11T06:33:00Z</dcterms:created>
  <dcterms:modified xsi:type="dcterms:W3CDTF">2024-04-18T15:19:00Z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0x01010011CD04A08E919D499B4E104F3F657F77</vt:lpwstr>
  </property>
  <property fmtid="{D5CDD505-2E9C-101B-9397-08002B2CF9AE}" pid="3" name="MediaServiceImageTags">
    <vt:lpwstr/>
  </property>
</Properties>
</file>