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D9EB" w14:textId="2B4B0317" w:rsidR="00B23CA9" w:rsidRPr="00B23CA9" w:rsidRDefault="00B23CA9" w:rsidP="004E5DF8">
      <w:pPr>
        <w:spacing w:line="480" w:lineRule="auto"/>
        <w:rPr>
          <w:rFonts w:ascii="Arial" w:hAnsi="Arial" w:cs="Arial"/>
          <w:sz w:val="22"/>
          <w:szCs w:val="22"/>
        </w:rPr>
      </w:pPr>
      <w:r>
        <w:rPr>
          <w:rFonts w:ascii="Arial" w:hAnsi="Arial" w:cs="Arial"/>
          <w:b/>
          <w:bCs/>
          <w:sz w:val="22"/>
          <w:szCs w:val="22"/>
        </w:rPr>
        <w:t xml:space="preserve">Figure S1: </w:t>
      </w:r>
      <w:r w:rsidRPr="00B23CA9">
        <w:rPr>
          <w:rFonts w:ascii="Arial" w:hAnsi="Arial" w:cs="Arial"/>
          <w:sz w:val="22"/>
          <w:szCs w:val="22"/>
        </w:rPr>
        <w:t xml:space="preserve">Schematic </w:t>
      </w:r>
      <w:r w:rsidR="00BF105B">
        <w:rPr>
          <w:rFonts w:ascii="Arial" w:hAnsi="Arial" w:cs="Arial"/>
          <w:sz w:val="22"/>
          <w:szCs w:val="22"/>
        </w:rPr>
        <w:t>depicting</w:t>
      </w:r>
      <w:r w:rsidRPr="00B23CA9">
        <w:rPr>
          <w:rFonts w:ascii="Arial" w:hAnsi="Arial" w:cs="Arial"/>
          <w:sz w:val="22"/>
          <w:szCs w:val="22"/>
        </w:rPr>
        <w:t xml:space="preserve"> </w:t>
      </w:r>
      <w:r w:rsidR="0048765E">
        <w:rPr>
          <w:rFonts w:ascii="Arial" w:hAnsi="Arial" w:cs="Arial"/>
          <w:sz w:val="22"/>
          <w:szCs w:val="22"/>
        </w:rPr>
        <w:t>timeline of diet switch experiments and sample collection timepoints for gut microbiome analysis</w:t>
      </w:r>
      <w:r w:rsidR="00D81F98">
        <w:rPr>
          <w:rFonts w:ascii="Arial" w:hAnsi="Arial" w:cs="Arial"/>
          <w:sz w:val="22"/>
          <w:szCs w:val="22"/>
        </w:rPr>
        <w:t>.</w:t>
      </w:r>
      <w:r w:rsidR="0048765E">
        <w:rPr>
          <w:rFonts w:ascii="Arial" w:hAnsi="Arial" w:cs="Arial"/>
          <w:sz w:val="22"/>
          <w:szCs w:val="22"/>
        </w:rPr>
        <w:t xml:space="preserve"> Timeline of A) TL2019S – LD5001, B) TL2019S – LD5053 and LD5053 – </w:t>
      </w:r>
      <w:r w:rsidR="00E411FD">
        <w:rPr>
          <w:rFonts w:ascii="Arial" w:hAnsi="Arial" w:cs="Arial"/>
          <w:sz w:val="22"/>
          <w:szCs w:val="22"/>
        </w:rPr>
        <w:t>TL2019S</w:t>
      </w:r>
      <w:r w:rsidR="0048765E">
        <w:rPr>
          <w:rFonts w:ascii="Arial" w:hAnsi="Arial" w:cs="Arial"/>
          <w:sz w:val="22"/>
          <w:szCs w:val="22"/>
        </w:rPr>
        <w:t xml:space="preserve">, and TL2019S – LD5001/LD5053 </w:t>
      </w:r>
      <w:r w:rsidR="00E411FD">
        <w:rPr>
          <w:rFonts w:ascii="Arial" w:hAnsi="Arial" w:cs="Arial"/>
          <w:sz w:val="22"/>
          <w:szCs w:val="22"/>
        </w:rPr>
        <w:t xml:space="preserve">diet switch experiments. </w:t>
      </w:r>
    </w:p>
    <w:p w14:paraId="6F80A3E3" w14:textId="77777777" w:rsidR="00B23CA9" w:rsidRDefault="00B23CA9" w:rsidP="004E5DF8">
      <w:pPr>
        <w:spacing w:line="480" w:lineRule="auto"/>
        <w:rPr>
          <w:rFonts w:ascii="Arial" w:hAnsi="Arial" w:cs="Arial"/>
          <w:b/>
          <w:bCs/>
          <w:sz w:val="22"/>
          <w:szCs w:val="22"/>
        </w:rPr>
      </w:pPr>
    </w:p>
    <w:p w14:paraId="344BE334" w14:textId="79896D19" w:rsidR="004E5DF8" w:rsidRDefault="004E5DF8" w:rsidP="004E5DF8">
      <w:pPr>
        <w:spacing w:line="480" w:lineRule="auto"/>
        <w:rPr>
          <w:rFonts w:ascii="Arial" w:hAnsi="Arial" w:cs="Arial"/>
          <w:sz w:val="22"/>
          <w:szCs w:val="22"/>
        </w:rPr>
      </w:pPr>
      <w:r w:rsidRPr="00E63D4A">
        <w:rPr>
          <w:rFonts w:ascii="Arial" w:hAnsi="Arial" w:cs="Arial"/>
          <w:b/>
          <w:bCs/>
          <w:sz w:val="22"/>
          <w:szCs w:val="22"/>
        </w:rPr>
        <w:t>Figure S</w:t>
      </w:r>
      <w:r w:rsidR="00B23CA9">
        <w:rPr>
          <w:rFonts w:ascii="Arial" w:hAnsi="Arial" w:cs="Arial"/>
          <w:b/>
          <w:bCs/>
          <w:sz w:val="22"/>
          <w:szCs w:val="22"/>
        </w:rPr>
        <w:t>2</w:t>
      </w:r>
      <w:r w:rsidRPr="00E63D4A">
        <w:rPr>
          <w:rFonts w:ascii="Arial" w:hAnsi="Arial" w:cs="Arial"/>
          <w:b/>
          <w:bCs/>
          <w:sz w:val="22"/>
          <w:szCs w:val="22"/>
        </w:rPr>
        <w:t xml:space="preserve">: </w:t>
      </w:r>
      <w:r w:rsidRPr="00E63D4A">
        <w:rPr>
          <w:rFonts w:ascii="Arial" w:hAnsi="Arial" w:cs="Arial"/>
          <w:sz w:val="22"/>
          <w:szCs w:val="22"/>
        </w:rPr>
        <w:t xml:space="preserve">The effects of switching diets on water consumption. There were no significant differences in water consumption when diet was switched from TL2019S to LD 5001 </w:t>
      </w:r>
      <w:r w:rsidRPr="0084709D">
        <w:rPr>
          <w:rFonts w:ascii="Arial" w:hAnsi="Arial" w:cs="Arial"/>
          <w:b/>
          <w:bCs/>
          <w:sz w:val="22"/>
          <w:szCs w:val="22"/>
        </w:rPr>
        <w:t>(A)</w:t>
      </w:r>
      <w:r w:rsidRPr="00E63D4A">
        <w:rPr>
          <w:rFonts w:ascii="Arial" w:hAnsi="Arial" w:cs="Arial"/>
          <w:sz w:val="22"/>
          <w:szCs w:val="22"/>
        </w:rPr>
        <w:t xml:space="preserve"> or LD5053 </w:t>
      </w:r>
      <w:r w:rsidRPr="0084709D">
        <w:rPr>
          <w:rFonts w:ascii="Arial" w:hAnsi="Arial" w:cs="Arial"/>
          <w:b/>
          <w:bCs/>
          <w:sz w:val="22"/>
          <w:szCs w:val="22"/>
        </w:rPr>
        <w:t>(B)</w:t>
      </w:r>
      <w:r w:rsidRPr="00E63D4A">
        <w:rPr>
          <w:rFonts w:ascii="Arial" w:hAnsi="Arial" w:cs="Arial"/>
          <w:b/>
          <w:bCs/>
          <w:sz w:val="22"/>
          <w:szCs w:val="22"/>
        </w:rPr>
        <w:t xml:space="preserve"> </w:t>
      </w:r>
      <w:r w:rsidRPr="0084709D">
        <w:rPr>
          <w:rFonts w:ascii="Arial" w:hAnsi="Arial" w:cs="Arial"/>
          <w:sz w:val="22"/>
          <w:szCs w:val="22"/>
        </w:rPr>
        <w:t>in males</w:t>
      </w:r>
      <w:r w:rsidRPr="00E63D4A">
        <w:rPr>
          <w:rFonts w:ascii="Arial" w:hAnsi="Arial" w:cs="Arial"/>
          <w:sz w:val="22"/>
          <w:szCs w:val="22"/>
        </w:rPr>
        <w:t xml:space="preserve">. N =7/group. In females, water consumption was significantly reduced when diet was switched from TL2019S to LD5001. *, P&lt;0.05, Dunnett’s post-test compared to Session 1 </w:t>
      </w:r>
      <w:r w:rsidRPr="0084709D">
        <w:rPr>
          <w:rFonts w:ascii="Arial" w:hAnsi="Arial" w:cs="Arial"/>
          <w:b/>
          <w:bCs/>
          <w:sz w:val="22"/>
          <w:szCs w:val="22"/>
        </w:rPr>
        <w:t>(C)</w:t>
      </w:r>
      <w:r w:rsidRPr="00E63D4A">
        <w:rPr>
          <w:rFonts w:ascii="Arial" w:hAnsi="Arial" w:cs="Arial"/>
          <w:sz w:val="22"/>
          <w:szCs w:val="22"/>
        </w:rPr>
        <w:t xml:space="preserve">. Water consumption was also significantly reduced when diet was switched from TL2019S to LD5053 diet </w:t>
      </w:r>
      <w:r w:rsidRPr="0084709D">
        <w:rPr>
          <w:rFonts w:ascii="Arial" w:hAnsi="Arial" w:cs="Arial"/>
          <w:b/>
          <w:bCs/>
          <w:sz w:val="22"/>
          <w:szCs w:val="22"/>
        </w:rPr>
        <w:t>(D)</w:t>
      </w:r>
      <w:r w:rsidRPr="00E63D4A">
        <w:rPr>
          <w:rFonts w:ascii="Arial" w:hAnsi="Arial" w:cs="Arial"/>
          <w:sz w:val="22"/>
          <w:szCs w:val="22"/>
        </w:rPr>
        <w:t xml:space="preserve">. *, P&lt;0.05, Dunnett’s post-test compared to session1. N =8/group.  </w:t>
      </w:r>
    </w:p>
    <w:p w14:paraId="0FD656FE" w14:textId="77777777" w:rsidR="004E5DF8" w:rsidRDefault="004E5DF8" w:rsidP="004E5DF8">
      <w:pPr>
        <w:spacing w:line="480" w:lineRule="auto"/>
        <w:rPr>
          <w:rFonts w:ascii="Arial" w:hAnsi="Arial" w:cs="Arial"/>
          <w:sz w:val="22"/>
          <w:szCs w:val="22"/>
        </w:rPr>
      </w:pPr>
    </w:p>
    <w:p w14:paraId="6565B97A" w14:textId="63042F26" w:rsidR="004E5DF8" w:rsidRDefault="004E5DF8" w:rsidP="004E5DF8">
      <w:pPr>
        <w:spacing w:line="480" w:lineRule="auto"/>
        <w:jc w:val="both"/>
        <w:rPr>
          <w:rFonts w:ascii="Arial" w:hAnsi="Arial" w:cs="Arial"/>
          <w:sz w:val="22"/>
          <w:szCs w:val="22"/>
        </w:rPr>
      </w:pPr>
      <w:r w:rsidRPr="0084709D">
        <w:rPr>
          <w:rFonts w:ascii="Arial" w:hAnsi="Arial" w:cs="Arial"/>
          <w:b/>
          <w:bCs/>
          <w:sz w:val="22"/>
          <w:szCs w:val="22"/>
        </w:rPr>
        <w:t>Figure S</w:t>
      </w:r>
      <w:r w:rsidR="00B23CA9">
        <w:rPr>
          <w:rFonts w:ascii="Arial" w:hAnsi="Arial" w:cs="Arial"/>
          <w:b/>
          <w:bCs/>
          <w:sz w:val="22"/>
          <w:szCs w:val="22"/>
        </w:rPr>
        <w:t>3</w:t>
      </w:r>
      <w:r w:rsidRPr="00E63D4A">
        <w:rPr>
          <w:rFonts w:ascii="Arial" w:hAnsi="Arial" w:cs="Arial"/>
          <w:sz w:val="22"/>
          <w:szCs w:val="22"/>
        </w:rPr>
        <w:t xml:space="preserve">: Average bodyweights across sessions during the diet switching experiment. Bodyweights did not significantly differ in male mice when they were maintained on LD5001 when compared to when they were maintained on LD 5053 </w:t>
      </w:r>
      <w:r w:rsidRPr="0084709D">
        <w:rPr>
          <w:rFonts w:ascii="Arial" w:hAnsi="Arial" w:cs="Arial"/>
          <w:b/>
          <w:bCs/>
          <w:sz w:val="22"/>
          <w:szCs w:val="22"/>
        </w:rPr>
        <w:t>(A)</w:t>
      </w:r>
      <w:r w:rsidRPr="00E63D4A">
        <w:rPr>
          <w:rFonts w:ascii="Arial" w:hAnsi="Arial" w:cs="Arial"/>
          <w:sz w:val="22"/>
          <w:szCs w:val="22"/>
        </w:rPr>
        <w:t xml:space="preserve">. There was a small but significant increase in body weight in mice maintained on LD5053 compared to when they were maintained on TL2019S </w:t>
      </w:r>
      <w:r w:rsidRPr="0084709D">
        <w:rPr>
          <w:rFonts w:ascii="Arial" w:hAnsi="Arial" w:cs="Arial"/>
          <w:b/>
          <w:bCs/>
          <w:sz w:val="22"/>
          <w:szCs w:val="22"/>
        </w:rPr>
        <w:t>(B)</w:t>
      </w:r>
      <w:r w:rsidRPr="00E63D4A">
        <w:rPr>
          <w:rFonts w:ascii="Arial" w:hAnsi="Arial" w:cs="Arial"/>
          <w:sz w:val="22"/>
          <w:szCs w:val="22"/>
        </w:rPr>
        <w:t xml:space="preserve">. ***, P&lt;0.001, paired t-test, N =7/group. Bodyweights were not significantly different in females maintained on LD5001 </w:t>
      </w:r>
      <w:r w:rsidRPr="0084709D">
        <w:rPr>
          <w:rFonts w:ascii="Arial" w:hAnsi="Arial" w:cs="Arial"/>
          <w:b/>
          <w:bCs/>
          <w:sz w:val="22"/>
          <w:szCs w:val="22"/>
        </w:rPr>
        <w:t>(C)</w:t>
      </w:r>
      <w:r w:rsidRPr="00E63D4A">
        <w:rPr>
          <w:rFonts w:ascii="Arial" w:hAnsi="Arial" w:cs="Arial"/>
          <w:sz w:val="22"/>
          <w:szCs w:val="22"/>
        </w:rPr>
        <w:t xml:space="preserve"> or LD5053 </w:t>
      </w:r>
      <w:r w:rsidRPr="0084709D">
        <w:rPr>
          <w:rFonts w:ascii="Arial" w:hAnsi="Arial" w:cs="Arial"/>
          <w:b/>
          <w:bCs/>
          <w:sz w:val="22"/>
          <w:szCs w:val="22"/>
        </w:rPr>
        <w:t>(D)</w:t>
      </w:r>
      <w:r w:rsidRPr="00E63D4A">
        <w:rPr>
          <w:rFonts w:ascii="Arial" w:hAnsi="Arial" w:cs="Arial"/>
          <w:sz w:val="22"/>
          <w:szCs w:val="22"/>
        </w:rPr>
        <w:t xml:space="preserve"> when compared to mice maintained on TL2019S. N =8/group. </w:t>
      </w:r>
    </w:p>
    <w:p w14:paraId="5CB88FE5" w14:textId="77777777" w:rsidR="004E5DF8" w:rsidRPr="00E63D4A" w:rsidRDefault="004E5DF8" w:rsidP="004E5DF8">
      <w:pPr>
        <w:spacing w:line="480" w:lineRule="auto"/>
        <w:rPr>
          <w:rFonts w:ascii="Arial" w:hAnsi="Arial" w:cs="Arial"/>
          <w:sz w:val="22"/>
          <w:szCs w:val="22"/>
        </w:rPr>
      </w:pPr>
    </w:p>
    <w:p w14:paraId="0614BF51" w14:textId="77777777" w:rsidR="00FE2CC6" w:rsidRDefault="00FE2CC6" w:rsidP="004E5DF8">
      <w:pPr>
        <w:spacing w:line="480" w:lineRule="auto"/>
      </w:pPr>
    </w:p>
    <w:sectPr w:rsidR="00FE2CC6" w:rsidSect="0026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F8"/>
    <w:rsid w:val="00007D48"/>
    <w:rsid w:val="001F6EC2"/>
    <w:rsid w:val="002056D7"/>
    <w:rsid w:val="00265787"/>
    <w:rsid w:val="002A4E05"/>
    <w:rsid w:val="0048765E"/>
    <w:rsid w:val="004E5DF8"/>
    <w:rsid w:val="00603ECE"/>
    <w:rsid w:val="007645E6"/>
    <w:rsid w:val="00AF7F2E"/>
    <w:rsid w:val="00B23CA9"/>
    <w:rsid w:val="00B36879"/>
    <w:rsid w:val="00B72F3B"/>
    <w:rsid w:val="00BF105B"/>
    <w:rsid w:val="00D81F98"/>
    <w:rsid w:val="00DD09F1"/>
    <w:rsid w:val="00E411FD"/>
    <w:rsid w:val="00E84F94"/>
    <w:rsid w:val="00FE1F74"/>
    <w:rsid w:val="00FE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3A7D8"/>
  <w14:defaultImageDpi w14:val="32767"/>
  <w15:chartTrackingRefBased/>
  <w15:docId w15:val="{154337A8-5B7E-0545-A71E-DE35B2C8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rajani.maiya@gmail.com</dc:creator>
  <cp:keywords/>
  <dc:description/>
  <cp:lastModifiedBy>rajani.maiya@gmail.com</cp:lastModifiedBy>
  <cp:revision>7</cp:revision>
  <dcterms:created xsi:type="dcterms:W3CDTF">2024-02-06T22:09:00Z</dcterms:created>
  <dcterms:modified xsi:type="dcterms:W3CDTF">2024-04-11T04:18:00Z</dcterms:modified>
</cp:coreProperties>
</file>