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2"/>
        <w:rPr>
          <w:b w:val="0"/>
        </w:rPr>
      </w:pPr>
      <w:r>
        <w:t>Supplementary Material</w:t>
      </w:r>
    </w:p>
    <w:p>
      <w:pPr>
        <w:pStyle w:val="2"/>
        <w:rPr>
          <w:rStyle w:val="54"/>
          <w:rFonts w:ascii="Times New Roman" w:hAnsi="Times New Roman" w:cs="Times New Roman"/>
          <w:b/>
          <w:bCs/>
          <w:color w:val="auto"/>
          <w:sz w:val="24"/>
        </w:rPr>
      </w:pPr>
      <w:r>
        <w:rPr>
          <w:rStyle w:val="54"/>
          <w:rFonts w:ascii="Times New Roman" w:hAnsi="Times New Roman" w:cs="Times New Roman"/>
          <w:b/>
          <w:bCs/>
          <w:color w:val="auto"/>
          <w:sz w:val="24"/>
        </w:rPr>
        <w:t xml:space="preserve">Detailed information about sampling selection of </w:t>
      </w:r>
      <w:r>
        <w:rPr>
          <w:rStyle w:val="54"/>
          <w:rFonts w:hint="eastAsia" w:eastAsia="宋体" w:cs="Times New Roman"/>
          <w:b/>
          <w:bCs/>
          <w:color w:val="auto"/>
          <w:sz w:val="24"/>
          <w:lang w:val="en-US" w:eastAsia="zh-CN"/>
        </w:rPr>
        <w:t>t</w:t>
      </w:r>
      <w:r>
        <w:rPr>
          <w:rFonts w:hint="eastAsia" w:ascii="Times New Roman" w:hAnsi="Times New Roman"/>
          <w:szCs w:val="24"/>
          <w:lang w:eastAsia="zh-CN"/>
        </w:rPr>
        <w:t>he post-intervention survey of the SMASH programme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00" w:lineRule="auto"/>
        <w:ind w:firstLine="720" w:firstLineChars="0"/>
        <w:jc w:val="left"/>
        <w:textAlignment w:val="auto"/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Style w:val="54"/>
          <w:rFonts w:ascii="Times New Roman" w:hAnsi="Times New Roman" w:eastAsia="宋体" w:cs="Times New Roman"/>
          <w:color w:val="auto"/>
          <w:sz w:val="24"/>
          <w:szCs w:val="24"/>
        </w:rPr>
        <w:t>Shandong Province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,situa</w:t>
      </w:r>
      <w:r>
        <w:rPr>
          <w:rStyle w:val="54"/>
          <w:rFonts w:ascii="Times New Roman" w:hAnsi="Times New Roman" w:eastAsia="宋体" w:cs="Times New Roman"/>
          <w:color w:val="auto"/>
          <w:sz w:val="24"/>
          <w:szCs w:val="24"/>
        </w:rPr>
        <w:t>ted in the eastern part of China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, is </w:t>
      </w:r>
      <w:r>
        <w:rPr>
          <w:rFonts w:hint="eastAsia" w:ascii="Times New Roman" w:hAnsi="Times New Roman"/>
          <w:szCs w:val="24"/>
          <w:lang w:eastAsia="zh-CN"/>
        </w:rPr>
        <w:t>the second most populous province</w:t>
      </w:r>
      <w:r>
        <w:rPr>
          <w:rFonts w:hint="eastAsia" w:ascii="Times New Roman" w:hAnsi="Times New Roman"/>
          <w:szCs w:val="24"/>
          <w:lang w:val="en-US" w:eastAsia="zh-CN"/>
        </w:rPr>
        <w:t xml:space="preserve"> with a total population exceeding 95 million in 2016. </w:t>
      </w:r>
      <w:r>
        <w:rPr>
          <w:rStyle w:val="54"/>
          <w:rFonts w:ascii="Times New Roman" w:hAnsi="Times New Roman" w:eastAsia="宋体" w:cs="Times New Roman"/>
          <w:color w:val="auto"/>
          <w:sz w:val="24"/>
          <w:szCs w:val="24"/>
        </w:rPr>
        <w:t>It is bordered by the Yellow Sea to the east, the Shandong Peninsula to the south, the Yellow River to the west, and the North China Plain to the north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.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The sample size for the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post-intervention survey of the SMASH project was calculated based on a 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hypertension prevalence estimate of 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23.4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%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, with 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a margin of error 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set at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10% of the prevalence estimate (or +/-2.51%)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and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a 5% type I error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. A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90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% response rate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,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6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s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tratification factor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s (geographic locations and economic levels)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and 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a 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design effect 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of 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were considered. 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The estimated sample size for each stratum is 2796, and the total sample size is 16773. 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Finally, 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16490 participants successfully completed the survey </w:t>
      </w:r>
      <w:r>
        <w:rPr>
          <w:rStyle w:val="54"/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with</w:t>
      </w:r>
      <w:r>
        <w:rPr>
          <w:rStyle w:val="54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a participation rate of 96.1%.</w:t>
      </w:r>
    </w:p>
    <w:p>
      <w:pPr>
        <w:pStyle w:val="2"/>
      </w:pPr>
      <w:r>
        <w:t>Supplementary Figures and Tables</w:t>
      </w:r>
    </w:p>
    <w:p>
      <w:pPr>
        <w:pStyle w:val="4"/>
      </w:pPr>
      <w:r>
        <w:t xml:space="preserve">Supplementary </w:t>
      </w:r>
      <w:r>
        <w:rPr>
          <w:rFonts w:hint="eastAsia" w:eastAsia="宋体"/>
          <w:lang w:val="en-US" w:eastAsia="zh-CN"/>
        </w:rPr>
        <w:t>Tables</w:t>
      </w:r>
    </w:p>
    <w:p>
      <w:pPr>
        <w:spacing w:before="0" w:after="0" w:line="260" w:lineRule="atLeast"/>
        <w:jc w:val="both"/>
        <w:rPr>
          <w:rFonts w:hint="default" w:ascii="Times New Roman" w:hAnsi="Times New Roman" w:eastAsia="Cambria" w:cs="Times New Roman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  <w:t xml:space="preserve">Table S1. </w:t>
      </w:r>
      <w:bookmarkStart w:id="0" w:name="OLE_LINK4"/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  <w:t>Distribution of Spot Urinary Na/K ratio in the Studied Population (n=16046)</w:t>
      </w:r>
      <w:bookmarkEnd w:id="0"/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color w:val="000000"/>
          <w:sz w:val="20"/>
          <w:szCs w:val="20"/>
          <w:lang w:val="en-US" w:eastAsia="zh-CN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806"/>
        <w:gridCol w:w="1672"/>
        <w:gridCol w:w="1857"/>
        <w:gridCol w:w="1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80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 (n=16046)</w:t>
            </w:r>
          </w:p>
        </w:tc>
        <w:tc>
          <w:tcPr>
            <w:tcW w:w="167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Normotensive (n=7597)</w:t>
            </w:r>
          </w:p>
        </w:tc>
        <w:tc>
          <w:tcPr>
            <w:tcW w:w="185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b/>
                <w:bCs/>
                <w:i/>
                <w:iCs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Prehypertensive (n=4902)</w:t>
            </w:r>
          </w:p>
        </w:tc>
        <w:tc>
          <w:tcPr>
            <w:tcW w:w="170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Hypertensive (n=3547)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Sex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4.75(3.05-7.04)*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4.40(2.84-6.57)*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4.70(3.13-6.91)*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5.44(3.34-8.01)*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4.31(2.83-6.38)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4.08(2.67-6.09)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4.32(2.91-6.34)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5.09(3.21-7.27)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 group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18 ~29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4.44(2.85-6.78)*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4.37(2.76-6.69)*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4.52(3.04-6.99)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4.83(3.06-7.16)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30~39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4.33(2.76-6.44)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4.07(2.64-6.12)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4.56(2.94-6.74)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5.14(3.23-7.33)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40~49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4.48(2.95-6.69)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4.06(2.68-6.07)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4.48(3.05-6.67)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5.38(3.49-7.71)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50~59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4.64(3.04-6.78)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4.12(2.87-5.99)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4.56(3.10-6.42)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5.34(3.19-7.72)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60~69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4.81(3.15-6.86)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4.36(3.02-6.20)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4.72(3.01-6.47)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5.14(3.29-7.72)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Residence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Urban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4.53(3.01-6.65)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4.17(2.81-6.24)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4.62(3.17-6.70)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5.33(3.37-7.62)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Rural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4.49(2.90-6.73)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4.20(2.71-6.28)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4.51(2.97-6.65)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5.21(3.23-7.66)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Region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East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4.05(2.61-6.08)*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3.74(2.40-5.76)*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4.14(2.84-6.08)*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4.49(2.80-6.51)*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Middle and South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4.27(2.82-6.39)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4.05(2.69-5.99)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4.37(2.89-6.42)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5.03(3.08-7.24)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Northwest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5.10(3.33-7.44)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4.63(3.05-6.76)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5.24(3.43-7.63)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6.15(4.12-8.87)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Education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Primary, middle school, and under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4.58(3.00-6.81)*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4.24(2.82-6.34)*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4.60(3.06-6.67)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5.33(3.33-7.76)*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school and above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4.30(2.76-6.46)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4.09(2.60-6.06)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4.35(2.94-6.62)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5.01(3.07-7.13)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Occupation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(Hard physical work) Farmer/Peasant/Manual worker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4.51(2.93-6.77)*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4.13(2.71-6.20)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4.54(3.01-6.78)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5.30(3.31-7.70)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(Light physical work) Service/Administrative/Technical/Professionals/Others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4.51(2.95-6.67)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4.30(2.81-6.35)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4.54(3.11-6.62)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5.35(3.27-7.71)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Underemployment/Retired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4.34(2.80-6.15)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3.96(2.58-5.91)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4.44(2.87-5.88)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4.89(3.08-6.80)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Annual household income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First tertile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4.58(2.97-6.72)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4.21(2.77-6.25)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4.65(3.11-6.63)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5.23(3.24-7.67)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Second tertile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4.48(2.91-6.71)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4.14(2.75-6.17)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4.55(2.97-6.79)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5.27(3.26-7.68)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Third tertile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4.42(2.91-6.63)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4.18(2.73-6.30)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4.41(2.99-6.61)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5.22(3.29-7.40)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Lifestyle status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4.76(3.09-7.03)*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4.36(2.83-6.53)*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4.73(3.14-6.87)*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5.57(3.52-8.01)*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4.40(2.88-6.57)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4.13(2.70-6.19)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4.46(2.97-6.57)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5.11(3.18-7.45)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Drinking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4.82(3.13-7.08)*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4.46(2.91-6.61)*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4.75(3.22-6.98)*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5.42(3.35-7.98)*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4.36(2.83-6.52)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4.10(2.65-6.13)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4.40(2.89-6.5)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5.13(3.21-7.42)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Regular physical exercise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4.39(2.84-6.50)*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4.04(2.64-5.98)*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4.37(2.93-6.50)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5.14(3.06-7.35)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4.52(2.95-6.75)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4.23(2.76-6.33)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4.57(3.06-6.70)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5.28(3.34-7.68)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Disease status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4.53(2.95-6.74)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3.97(2.62-5.75)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4.35(3.01-6.20)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5.08(3.04-7.30)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4.50(2.93-6.70)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4.20(2.75-6.28)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4.57(3.04-6.71)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5.28(3.33-7.73)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Stroke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5.38(3.22-8.27)*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5.17(3.22-5.69)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4.46(2.94-6.62)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5.73(3.45-10.08)*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4.50(2.93-6.69)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4.18(2.74-6.27)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4.53(3.04-6.66)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5.25(3.27-7.58)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Coronary heart disease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4.84(2.99-6.86)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4.24(3.07-6.25)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5.13(3.38-6.88)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4.93(2.82-7.34)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4.50(2.93-6.70)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4.19(2.74-6.26)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4.52(3.04-6.65)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5.29(3.31-7.68)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BMI status 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4.25(2.64-6.43)*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4.05(2.59-6.19)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4.72(2.72-6.68)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5.39(4.07-7.24)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4.37(2.85-6.50)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4.22(2.74-6.28)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4.51(3.02-6.56)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5.26(3.28-7.61)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4.51(2.97-6.69)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4.17(2.79-6.21)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4.51(3.06-6.71)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5.14(3.28-7.47)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Obesity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4.80(3.05-7.08)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4.27(2.71-6.49)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4.65(3.06-6.74)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5.38(3.27-7.78)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KABs of salt and hypertension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 salt intake decreases, do does blood pressure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4.44(2.88-6.62)*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4.11(2.67-6.16)*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4.48(3.00-6.60)*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5.17(3.19-7.51)*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4.66(3.05-6.89)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4.36(2.87-6.44)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4.71(3.10-6.85)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5.45(3.48-8.02)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Approval of low salt diet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4.48(2.93-6.66)*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4.16(2.74-6.23)*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4.52(3.02-6.62)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5.26(3.29-7.60)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4.75(3.06-7.13)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4.59(2.84-6.66)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4.70(3.2-7.36)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5.28(3.11-8.01)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Have taken action to reduce dietary salt intake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4.40(2.90-6.54)*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4.09(2.70-6.07)*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4.46(3.00-6.5)*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5.13(3.19-7.47)*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4.69(3.01-7.01)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4.38(2.81-6.56)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4.67(3.10-7.01)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5.51(3.51-8.00)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Sodium/potassium ratio category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&lt;2.0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1.47(1.11-1.75)*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1.48(1.12-1.76)*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1.44(1.06-1.75)*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1.48(1.12-1.77)*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2.0~3.0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2.52(2.27-2.76)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2.52(2.28-2.76)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2.53(2.28-2.78)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2.49(2.23-2.76)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&gt;3.0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5.52(4.14-7.59)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5.26(4.02-7.21)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5.45(4.13-7.47)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6.11(4.54-8.52)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Estimated sodium excretion category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&lt;3.0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2.26(1.48-3.25)*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2.35(1.58-3.29)*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2.26(1.44-3.29)*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1.94(1.27-2.91)*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3.0~5.0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4.79(3.35-6.71)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4.71(3.33-6.66)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4.79(3.36-6.67)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5.00(3.37-6.84)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&gt;5.0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7.93(5.74-10.57)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7.15(5.04-9.70)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7.64(5.41-10.09)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8.79(6.51-11.47)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Estimated potassium excretion category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&lt;1.9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4.78(3.17-7.00)*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4.41(2.95-6.51)*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4.84(3.29-6.98)*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5.60(3.67-8.11)*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1.9~2.5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2.66(1.80-3.89)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2.43(1.66-3.41)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2.72(1.86-3.96)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3.04(2.01-4.67)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&gt;2.5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2.02(1.28-2.87)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2.09(1.43-2.85)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1.62(1.20-2.47)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2.32(1.61-3.17)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eGFR category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4.50(2.94-6.7)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4.21(2.75-6.28)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4.54(3.07-6.74)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5.29(3.32-7.63)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60~89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4.53(2.9-6.74)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4.01(2.73-5.89)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4.42(2.86-6.29)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5.18(3.11-7.68)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30~59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4.80(2.57-6.44)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3.64(3.64-3.64)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4.84(3.35-5.44)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4.80(2.37-6.59)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4.09(2.46-5.04)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4.09(2.36-4.88)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4.20(2.46-7.94)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3.05(3.04-3.10)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Palatino Linotype" w:hAnsi="Palatino Linotype" w:eastAsia="Times New Roman" w:cs="Cordia New"/>
          <w:color w:val="000000"/>
          <w:sz w:val="18"/>
          <w:szCs w:val="22"/>
          <w:lang w:val="en-US" w:eastAsia="zh-CN" w:bidi="en-US"/>
        </w:rPr>
      </w:pPr>
      <w:r>
        <w:rPr>
          <w:rFonts w:hint="default" w:ascii="Times New Roman" w:hAnsi="Times New Roman" w:eastAsia="宋体" w:cs="Times New Roman"/>
          <w:color w:val="000000"/>
          <w:sz w:val="18"/>
          <w:szCs w:val="22"/>
          <w:lang w:val="en-US" w:eastAsia="zh-CN" w:bidi="en-US"/>
        </w:rPr>
        <w:t xml:space="preserve">Data are IQR or 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lang w:val="en-US" w:eastAsia="zh-CN"/>
        </w:rPr>
        <w:t>mean ± standard deviation.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de-DE" w:bidi="en-US"/>
        </w:rPr>
        <w:t>BMI: body mass index; SBP: systolic blood pressure; DBP: diastolic blood pressure</w:t>
      </w:r>
      <w:r>
        <w:rPr>
          <w:rFonts w:hint="default" w:ascii="Times New Roman" w:hAnsi="Times New Roman" w:eastAsia="宋体" w:cs="Times New Roman"/>
          <w:color w:val="000000"/>
          <w:sz w:val="18"/>
          <w:szCs w:val="22"/>
          <w:lang w:val="en-US" w:eastAsia="zh-CN" w:bidi="en-US"/>
        </w:rPr>
        <w:t xml:space="preserve">;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eGFR: estimated glomerular filtration rate. </w:t>
      </w:r>
      <w:r>
        <w:rPr>
          <w:rFonts w:hint="default" w:ascii="Times New Roman" w:hAnsi="Times New Roman" w:eastAsia="Times New Roman" w:cs="Times New Roman"/>
          <w:snapToGrid w:val="0"/>
          <w:color w:val="000000"/>
          <w:sz w:val="20"/>
          <w:szCs w:val="20"/>
          <w:vertAlign w:val="superscript"/>
          <w:lang w:val="en-US" w:eastAsia="zh-CN" w:bidi="en-US"/>
        </w:rPr>
        <w:t xml:space="preserve">* </w:t>
      </w:r>
      <w:r>
        <w:rPr>
          <w:rFonts w:hint="default" w:ascii="Times New Roman" w:hAnsi="Times New Roman" w:eastAsia="Times New Roman" w:cs="Times New Roman"/>
          <w:i/>
          <w:iCs/>
          <w:snapToGrid/>
          <w:color w:val="000000"/>
          <w:sz w:val="18"/>
          <w:szCs w:val="22"/>
          <w:vertAlign w:val="baseline"/>
          <w:lang w:val="en-US" w:eastAsia="zh-CN" w:bidi="en-US"/>
        </w:rPr>
        <w:t>P</w:t>
      </w:r>
      <w:r>
        <w:rPr>
          <w:rFonts w:hint="default" w:ascii="Times New Roman" w:hAnsi="Times New Roman" w:eastAsia="Times New Roman" w:cs="Times New Roman"/>
          <w:i w:val="0"/>
          <w:iCs w:val="0"/>
          <w:snapToGrid/>
          <w:color w:val="000000"/>
          <w:sz w:val="18"/>
          <w:szCs w:val="22"/>
          <w:vertAlign w:val="baseline"/>
          <w:lang w:val="en-US" w:eastAsia="zh-CN" w:bidi="en-US"/>
        </w:rPr>
        <w:t>&lt;0.05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>.</w:t>
      </w:r>
    </w:p>
    <w:p>
      <w:pPr>
        <w:spacing w:before="0" w:after="0" w:line="260" w:lineRule="atLeast"/>
        <w:jc w:val="both"/>
        <w:rPr>
          <w:rFonts w:hint="eastAsia" w:ascii="Palatino Linotype" w:hAnsi="Palatino Linotype" w:eastAsia="Times New Roman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Cambria" w:cs="Times New Roman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  <w:t xml:space="preserve">Table S2. </w:t>
      </w:r>
      <w:bookmarkStart w:id="1" w:name="OLE_LINK5"/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  <w:t>Associations</w:t>
      </w:r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de-DE" w:bidi="ar-SA"/>
        </w:rPr>
        <w:t xml:space="preserve"> of </w:t>
      </w:r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  <w:t>Na/K ratio with hypertension prevalence, SBP, DBP and MAP levels stratified by gender, age group and BMI</w:t>
      </w:r>
    </w:p>
    <w:bookmarkEnd w:id="1"/>
    <w:p>
      <w:pPr>
        <w:spacing w:before="0" w:after="0" w:line="260" w:lineRule="atLeast"/>
        <w:jc w:val="both"/>
        <w:rPr>
          <w:rFonts w:hint="default" w:ascii="Palatino Linotype" w:hAnsi="Palatino Linotype" w:eastAsia="Times New Roman" w:cs="Cordia New"/>
          <w:color w:val="000000"/>
          <w:sz w:val="18"/>
          <w:szCs w:val="22"/>
          <w:lang w:val="en-US" w:eastAsia="zh-CN" w:bidi="en-US"/>
        </w:rPr>
      </w:pPr>
    </w:p>
    <w:tbl>
      <w:tblPr>
        <w:tblStyle w:val="20"/>
        <w:tblW w:w="9137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862"/>
        <w:gridCol w:w="1713"/>
        <w:gridCol w:w="1784"/>
        <w:gridCol w:w="179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7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862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713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SBP</w:t>
            </w:r>
          </w:p>
        </w:tc>
        <w:tc>
          <w:tcPr>
            <w:tcW w:w="1784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DBP</w:t>
            </w:r>
          </w:p>
        </w:tc>
        <w:tc>
          <w:tcPr>
            <w:tcW w:w="179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79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  <w:tc>
          <w:tcPr>
            <w:tcW w:w="1862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4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9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both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1.08(1.06,1.10)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0.51(0.41,0.61)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0.36(0.29,0.43)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0.41(0.33,0.48)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1.10(1.08,1.13)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0.57(0.46,0.68)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0.37(0.30,0.44)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0.44(0.35,0.52)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 group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18~29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1.02(0.98,1.07)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0.19(0.08,0.30)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0.10(0.01,0.18)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0.13(0.04,0.21)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30~39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1.08(1.04,1.12)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0.45(0.30,0.59)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0.40(0.29,0.51)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0.41(0.30,0.53)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40~49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1.09(1.06,1.12)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0.68(0.52,0.83)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0.51(0.40,0.61)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0.56(0.45,0.68)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50~59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1.11(1.08,1.14)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0.80(0.60,1.00)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0.51(0.39,0.64)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0.61(0.47,0.75)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60~69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1.11(1.07,1.15)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0.65(0.38,0.93)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0.38(0.22,0.53)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0.47(0.28,0.65)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BMI group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1.16(1.01,1.32)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0.58(0.19,0.97)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0.22(-0.04,0.48)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0.34(0.05,0.63)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Normal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1.11(1.08,1.14)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0.40(0.28,0.52)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0.28(0.20,0.36)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0.32(0.24,0.41)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1.08(1.06,1.11)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0.56(0.43,0.69)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0.40(0.31,0.48)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0.45(0.36,0.55)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79" w:type="dxa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Obesity</w:t>
            </w:r>
          </w:p>
        </w:tc>
        <w:tc>
          <w:tcPr>
            <w:tcW w:w="1862" w:type="dxa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1.09(1.06,1.11)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13" w:type="dxa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0.67(0.51,0.84)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84" w:type="dxa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0.44(0.33,0.56)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  <w:tc>
          <w:tcPr>
            <w:tcW w:w="1799" w:type="dxa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center"/>
              <w:textAlignment w:val="center"/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Palatino Linotype" w:hAnsi="Palatino Linotype" w:eastAsia="Palatino Linotype" w:cs="Palatino Linotype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0.52(0.40,0.64)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*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  <w:r>
        <w:rPr>
          <w:rFonts w:hint="default" w:ascii="Times New Roman" w:hAnsi="Times New Roman" w:eastAsia="宋体" w:cs="Times New Roman"/>
          <w:color w:val="000000"/>
          <w:sz w:val="18"/>
          <w:szCs w:val="22"/>
          <w:lang w:val="en-US" w:eastAsia="zh-CN" w:bidi="en-US"/>
        </w:rPr>
        <w:t>Data are odds ratio (OR) or regression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 coefficient ( β ) and its 95% CI,</w:t>
      </w:r>
      <w:r>
        <w:rPr>
          <w:rFonts w:hint="default" w:ascii="Times New Roman" w:hAnsi="Times New Roman" w:eastAsia="Times New Roman" w:cs="Times New Roman"/>
          <w:snapToGrid w:val="0"/>
          <w:color w:val="000000"/>
          <w:sz w:val="20"/>
          <w:szCs w:val="20"/>
          <w:vertAlign w:val="superscript"/>
          <w:lang w:val="en-US" w:eastAsia="zh-CN" w:bidi="en-US"/>
        </w:rPr>
        <w:t xml:space="preserve">* </w:t>
      </w:r>
      <w:r>
        <w:rPr>
          <w:rFonts w:hint="default" w:ascii="Times New Roman" w:hAnsi="Times New Roman" w:eastAsia="Times New Roman" w:cs="Times New Roman"/>
          <w:i/>
          <w:iCs/>
          <w:snapToGrid/>
          <w:color w:val="000000"/>
          <w:sz w:val="18"/>
          <w:szCs w:val="22"/>
          <w:vertAlign w:val="baseline"/>
          <w:lang w:val="en-US" w:eastAsia="zh-CN" w:bidi="en-US"/>
        </w:rPr>
        <w:t>P</w:t>
      </w:r>
      <w:r>
        <w:rPr>
          <w:rFonts w:hint="default" w:ascii="Times New Roman" w:hAnsi="Times New Roman" w:eastAsia="Times New Roman" w:cs="Times New Roman"/>
          <w:i w:val="0"/>
          <w:iCs w:val="0"/>
          <w:snapToGrid/>
          <w:color w:val="000000"/>
          <w:sz w:val="18"/>
          <w:szCs w:val="22"/>
          <w:vertAlign w:val="baseline"/>
          <w:lang w:val="en-US" w:eastAsia="zh-CN" w:bidi="en-US"/>
        </w:rPr>
        <w:t>&lt;0.05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. Gender, age, region, residence, education, occupation, income level, BMI, regular physical exercise, smoke, drinking, diabetes history, stroke history, CHD history, eGFR or anti-hypertensive drug use and average temperature were adjusted. </w:t>
      </w: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default" w:ascii="Times New Roman" w:hAnsi="Times New Roman" w:eastAsia="Cambria" w:cs="Times New Roman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  <w:t>Table S3. Associations</w:t>
      </w:r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de-DE" w:bidi="ar-SA"/>
        </w:rPr>
        <w:t xml:space="preserve"> of </w:t>
      </w:r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  <w:t>Na/K ratio with the risk of Hypertension, SBP, DBP and MAP levels (n=1671)</w:t>
      </w:r>
    </w:p>
    <w:tbl>
      <w:tblPr>
        <w:tblStyle w:val="20"/>
        <w:tblpPr w:leftFromText="180" w:rightFromText="180" w:vertAnchor="text" w:horzAnchor="page" w:tblpXSpec="center" w:tblpY="319"/>
        <w:tblOverlap w:val="never"/>
        <w:tblW w:w="871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611"/>
        <w:gridCol w:w="1618"/>
        <w:gridCol w:w="1620"/>
        <w:gridCol w:w="152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340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  <w:t xml:space="preserve">Outcome </w:t>
            </w:r>
          </w:p>
        </w:tc>
        <w:tc>
          <w:tcPr>
            <w:tcW w:w="1611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de-DE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lang w:val="en-US" w:eastAsia="zh-CN" w:bidi="en-US"/>
              </w:rPr>
              <w:t>Crude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vertAlign w:val="superscript"/>
                <w:lang w:val="en-US" w:eastAsia="zh-CN" w:bidi="en-US"/>
              </w:rPr>
              <w:t>a</w:t>
            </w:r>
          </w:p>
        </w:tc>
        <w:tc>
          <w:tcPr>
            <w:tcW w:w="1618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de-DE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lang w:val="en-US" w:eastAsia="zh-CN" w:bidi="en-US"/>
              </w:rPr>
              <w:t>Model 2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vertAlign w:val="superscript"/>
                <w:lang w:val="en-US" w:eastAsia="zh-CN" w:bidi="en-US"/>
              </w:rPr>
              <w:t>b</w:t>
            </w:r>
          </w:p>
        </w:tc>
        <w:tc>
          <w:tcPr>
            <w:tcW w:w="1620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hint="eastAsia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de-DE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lang w:val="en-US" w:eastAsia="zh-CN" w:bidi="en-US"/>
              </w:rPr>
              <w:t>Model 3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vertAlign w:val="superscript"/>
                <w:lang w:val="en-US" w:eastAsia="zh-CN" w:bidi="en-US"/>
              </w:rPr>
              <w:t>c</w:t>
            </w:r>
          </w:p>
        </w:tc>
        <w:tc>
          <w:tcPr>
            <w:tcW w:w="1528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hint="eastAsia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de-DE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lang w:val="en-US" w:eastAsia="zh-CN" w:bidi="en-US"/>
              </w:rPr>
              <w:t>Model 4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vertAlign w:val="superscript"/>
                <w:lang w:val="en-US" w:eastAsia="zh-CN" w:bidi="en-US"/>
              </w:rPr>
              <w:t>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default" w:ascii="Palatino Linotype" w:hAnsi="Palatino Linotype" w:eastAsia="宋体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宋体" w:cs="Times New Roman"/>
                <w:b/>
                <w:bCs/>
                <w:snapToGrid w:val="0"/>
                <w:color w:val="000000"/>
                <w:sz w:val="20"/>
                <w:szCs w:val="20"/>
                <w:lang w:val="en-US" w:eastAsia="zh-CN" w:bidi="en-US"/>
              </w:rPr>
              <w:t>24h urine</w:t>
            </w:r>
          </w:p>
        </w:tc>
        <w:tc>
          <w:tcPr>
            <w:tcW w:w="1611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61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52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3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default" w:ascii="Palatino Linotype" w:hAnsi="Palatino Linotype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Hypertension</w:t>
            </w: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1</w:t>
            </w:r>
          </w:p>
        </w:tc>
        <w:tc>
          <w:tcPr>
            <w:tcW w:w="161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1.11(1.06,1.16)</w:t>
            </w:r>
          </w:p>
        </w:tc>
        <w:tc>
          <w:tcPr>
            <w:tcW w:w="161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1.18(1.12,1.24)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1.15(1.09,1.22)</w:t>
            </w:r>
          </w:p>
        </w:tc>
        <w:tc>
          <w:tcPr>
            <w:tcW w:w="152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1.15(1.08,1.22)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default" w:ascii="Palatino Linotype" w:hAnsi="Palatino Linotype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SBP</w:t>
            </w: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0.93(0.55,1.30)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1.09(0.74,1.45)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0.82(0.47,1.17)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0.79(0.44,1.14)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lang w:val="en-US" w:eastAsia="zh-CN" w:bidi="en-US"/>
              </w:rPr>
              <w:t>DBP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vertAlign w:val="superscript"/>
                <w:lang w:val="en-US" w:eastAsia="zh-CN" w:bidi="en-US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0.72(0.48,0.97)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0.81(0.56,1.05)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0.62(0.39,0.85)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0.59(0.36,0.81)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</w:pP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  <w:t>MAP</w:t>
            </w: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vertAlign w:val="superscript"/>
                <w:lang w:val="en-US" w:eastAsia="zh-CN" w:bidi="en-US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0.79(0.52,1.07)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0.90(0.64,1.17)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0.69(0.43,0.94)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0.65(0.40,0.91)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</w:pPr>
            <w:r>
              <w:rPr>
                <w:rFonts w:hint="eastAsia" w:ascii="Palatino Linotype" w:hAnsi="Palatino Linotype" w:eastAsia="宋体" w:cs="Times New Roman"/>
                <w:b/>
                <w:bCs/>
                <w:snapToGrid w:val="0"/>
                <w:color w:val="000000"/>
                <w:lang w:val="en-US" w:eastAsia="zh-CN" w:bidi="en-US"/>
              </w:rPr>
              <w:t>Spot urine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eastAsia" w:ascii="Palatino Linotype" w:hAnsi="Palatino Linotype" w:eastAsia="宋体" w:cs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Hypertension</w:t>
            </w: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1.12(1.09,1.15)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1.13(1.09,1.17)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1.13(1.09,1.17)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1.12(1.08,1.17)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260" w:lineRule="atLeast"/>
              <w:jc w:val="left"/>
              <w:textAlignment w:val="center"/>
              <w:rPr>
                <w:rFonts w:hint="eastAsia" w:ascii="Palatino Linotype" w:hAnsi="Palatino Linotype" w:eastAsia="宋体" w:cs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SBP</w:t>
            </w: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sz w:val="20"/>
                <w:szCs w:val="20"/>
                <w:vertAlign w:val="superscript"/>
                <w:lang w:val="en-US" w:eastAsia="zh-CN" w:bidi="en-US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0.89(0.65,1.13)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0.78(0.55,1.01)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0.62(0.40,0.84)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0.59(0.40,0.81)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lang w:val="en-US" w:eastAsia="zh-CN" w:bidi="en-US"/>
              </w:rPr>
              <w:t>DBP</w:t>
            </w: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vertAlign w:val="superscript"/>
                <w:lang w:val="en-US" w:eastAsia="zh-CN" w:bidi="en-US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0.65(0.50,0.81)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0.60(0.45,0.78)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0.51(0.37,0.66)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0.48(0.33,0.63)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</w:pP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  <w:t>MAP</w:t>
            </w: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vertAlign w:val="superscript"/>
                <w:lang w:val="en-US" w:eastAsia="zh-CN" w:bidi="en-US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0.73(0.55,0.91)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0.66(0.49,0.83)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0.55(0.39,0.71)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0.52(0.35,0.68)</w:t>
            </w:r>
          </w:p>
        </w:tc>
      </w:tr>
    </w:tbl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Cordia New"/>
          <w:color w:val="000000"/>
          <w:sz w:val="18"/>
          <w:szCs w:val="22"/>
          <w:lang w:val="en-US" w:eastAsia="zh-C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  <w:r>
        <w:rPr>
          <w:rFonts w:hint="default" w:ascii="Times New Roman" w:hAnsi="Times New Roman" w:eastAsia="宋体" w:cs="Times New Roman"/>
          <w:color w:val="000000"/>
          <w:sz w:val="18"/>
          <w:szCs w:val="22"/>
          <w:lang w:val="en-US" w:eastAsia="zh-CN" w:bidi="en-US"/>
        </w:rPr>
        <w:t>Data are odds ratio (OR) or regression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 coefficient ( β ) and its 95% CI, </w:t>
      </w:r>
      <w:r>
        <w:rPr>
          <w:rFonts w:hint="default" w:ascii="Times New Roman" w:hAnsi="Times New Roman" w:eastAsia="Times New Roman" w:cs="Times New Roman"/>
          <w:i/>
          <w:iCs/>
          <w:snapToGrid/>
          <w:color w:val="000000"/>
          <w:sz w:val="18"/>
          <w:szCs w:val="22"/>
          <w:vertAlign w:val="baseline"/>
          <w:lang w:val="en-US" w:eastAsia="zh-CN" w:bidi="en-US"/>
        </w:rPr>
        <w:t>P</w:t>
      </w:r>
      <w:r>
        <w:rPr>
          <w:rFonts w:hint="default" w:ascii="Times New Roman" w:hAnsi="Times New Roman" w:eastAsia="Times New Roman" w:cs="Times New Roman"/>
          <w:i w:val="0"/>
          <w:iCs w:val="0"/>
          <w:snapToGrid/>
          <w:color w:val="000000"/>
          <w:sz w:val="18"/>
          <w:szCs w:val="22"/>
          <w:vertAlign w:val="baseline"/>
          <w:lang w:val="en-US" w:eastAsia="zh-CN" w:bidi="en-US"/>
        </w:rPr>
        <w:t>&lt;0.05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..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vertAlign w:val="superscript"/>
          <w:lang w:val="en-US" w:eastAsia="zh-CN" w:bidi="en-US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>Multivariate logistic regression analysis was performed;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vertAlign w:val="superscript"/>
          <w:lang w:val="en-US" w:eastAsia="zh-CN" w:bidi="en-US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Multivariate linear regression analysis was performed;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vertAlign w:val="superscript"/>
          <w:lang w:val="en-US" w:eastAsia="zh-CN" w:bidi="en-US"/>
        </w:rPr>
        <w:t xml:space="preserve">a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Crude model adjusted for none;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vertAlign w:val="superscript"/>
          <w:lang w:val="en-US" w:eastAsia="zh-CN" w:bidi="en-US"/>
        </w:rPr>
        <w:t xml:space="preserve">b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Model 1 included adjustment of gender and age;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vertAlign w:val="superscript"/>
          <w:lang w:val="en-US" w:eastAsia="zh-CN" w:bidi="en-US"/>
        </w:rPr>
        <w:t xml:space="preserve">c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Model 2 included adjustment of gender, age, region, residence, education, occupation, income level, BMI, regular physical exercise, smoke, drinking, diabetes history, stroke history, CHD history, eGFR and anti-hypertensive drug use;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vertAlign w:val="superscript"/>
          <w:lang w:val="en-US" w:eastAsia="zh-CN" w:bidi="en-US"/>
        </w:rPr>
        <w:t xml:space="preserve">d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Model 3: model 2 plus </w:t>
      </w:r>
      <w:bookmarkStart w:id="2" w:name="OLE_LINK27"/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>adjustment for average temperature</w:t>
      </w:r>
      <w:bookmarkEnd w:id="2"/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.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de-DE" w:bidi="en-US"/>
        </w:rPr>
        <w:t>SBP: systolic blood pressure; DBP: diastolic blood pressure</w:t>
      </w:r>
      <w:r>
        <w:rPr>
          <w:rFonts w:hint="default" w:ascii="Times New Roman" w:hAnsi="Times New Roman" w:eastAsia="宋体" w:cs="Times New Roman"/>
          <w:color w:val="000000"/>
          <w:sz w:val="18"/>
          <w:szCs w:val="22"/>
          <w:lang w:val="en-US" w:eastAsia="zh-CN" w:bidi="en-US"/>
        </w:rPr>
        <w:t>; MAP: mean arterial pressure.</w:t>
      </w:r>
    </w:p>
    <w:p>
      <w:pPr>
        <w:spacing w:before="0" w:after="0" w:line="260" w:lineRule="atLeast"/>
        <w:jc w:val="both"/>
        <w:rPr>
          <w:rFonts w:hint="default" w:ascii="Palatino Linotype" w:hAnsi="Palatino Linotype" w:eastAsia="宋体" w:cs="Times New Roman"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</w:pPr>
      <w:bookmarkStart w:id="3" w:name="OLE_LINK2"/>
    </w:p>
    <w:p>
      <w:pPr>
        <w:spacing w:before="0" w:after="0" w:line="260" w:lineRule="atLeast"/>
        <w:jc w:val="both"/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</w:pPr>
    </w:p>
    <w:p>
      <w:pPr>
        <w:spacing w:before="0" w:after="0" w:line="260" w:lineRule="atLeast"/>
        <w:jc w:val="both"/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</w:pPr>
    </w:p>
    <w:p>
      <w:pPr>
        <w:spacing w:before="0" w:after="0" w:line="260" w:lineRule="atLeast"/>
        <w:jc w:val="both"/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</w:pPr>
    </w:p>
    <w:p>
      <w:pPr>
        <w:spacing w:before="0" w:after="0" w:line="260" w:lineRule="atLeast"/>
        <w:jc w:val="both"/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Cambria" w:cs="Times New Roman"/>
          <w:b/>
          <w:sz w:val="24"/>
          <w:szCs w:val="24"/>
          <w:lang w:val="en-US" w:eastAsia="zh-CN" w:bidi="ar-SA"/>
        </w:rPr>
        <w:t>Table S4. Results of sensitivity analyses among the Studied Population</w:t>
      </w:r>
    </w:p>
    <w:bookmarkEnd w:id="3"/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tbl>
      <w:tblPr>
        <w:tblStyle w:val="20"/>
        <w:tblW w:w="9238" w:type="dxa"/>
        <w:tblInd w:w="96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037"/>
        <w:gridCol w:w="2012"/>
        <w:gridCol w:w="1658"/>
        <w:gridCol w:w="1658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73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hint="eastAsia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  <w:t>Characteristics</w:t>
            </w:r>
          </w:p>
        </w:tc>
        <w:tc>
          <w:tcPr>
            <w:tcW w:w="2037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  <w:t>Hypertension</w:t>
            </w:r>
            <w:r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vertAlign w:val="superscript"/>
                <w:lang w:val="en-US" w:eastAsia="zh-CN" w:bidi="en-US"/>
              </w:rPr>
              <w:t>1</w:t>
            </w:r>
          </w:p>
        </w:tc>
        <w:tc>
          <w:tcPr>
            <w:tcW w:w="2012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  <w:t>SBP</w:t>
            </w:r>
            <w:r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vertAlign w:val="superscript"/>
                <w:lang w:val="en-US" w:eastAsia="zh-CN" w:bidi="en-US"/>
              </w:rPr>
              <w:t>2</w:t>
            </w:r>
          </w:p>
        </w:tc>
        <w:tc>
          <w:tcPr>
            <w:tcW w:w="1658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  <w:t>DBP</w:t>
            </w:r>
            <w:r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vertAlign w:val="superscript"/>
                <w:lang w:val="en-US" w:eastAsia="zh-CN" w:bidi="en-US"/>
              </w:rPr>
              <w:t>2</w:t>
            </w:r>
          </w:p>
        </w:tc>
        <w:tc>
          <w:tcPr>
            <w:tcW w:w="1658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b/>
                <w:bCs/>
                <w:snapToGrid w:val="0"/>
                <w:color w:val="000000"/>
                <w:lang w:val="en-US" w:eastAsia="zh-CN" w:bidi="en-US"/>
              </w:rPr>
              <w:t>MBP</w:t>
            </w:r>
            <w:r>
              <w:rPr>
                <w:rFonts w:hint="default" w:ascii="Palatino Linotype" w:hAnsi="Palatino Linotype" w:eastAsia="Times New Roman" w:cs="Times New Roman"/>
                <w:b/>
                <w:bCs/>
                <w:snapToGrid w:val="0"/>
                <w:color w:val="000000"/>
                <w:vertAlign w:val="superscript"/>
                <w:lang w:val="en-US" w:eastAsia="zh-CN" w:bidi="en-US"/>
              </w:rPr>
              <w:t>2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238" w:type="dxa"/>
            <w:gridSpan w:val="5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pacing w:before="0" w:after="0" w:line="260" w:lineRule="atLeast"/>
              <w:jc w:val="left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(1) Individuals without taking antihypertension medicine (n=14619)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1.08(1.06,1.10)*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0.52(0.44,0.60)*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0.36(0.31,0.42)*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0.42(0.36,0.47)</w:t>
            </w: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*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238" w:type="dxa"/>
            <w:gridSpan w:val="5"/>
            <w:shd w:val="clear" w:color="auto" w:fill="auto"/>
            <w:vAlign w:val="center"/>
          </w:tcPr>
          <w:p>
            <w:pPr>
              <w:spacing w:before="0" w:after="0" w:line="260" w:lineRule="atLeast"/>
              <w:jc w:val="left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(2) Individuals without stroke and coronary heart diseases (n=15476)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1.09(1.08,1.11)</w:t>
            </w: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*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0.52(0.44,0.60)*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0.36(0.30,0.41)*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0.41(0.35,0.47)*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238" w:type="dxa"/>
            <w:gridSpan w:val="5"/>
            <w:shd w:val="clear" w:color="auto" w:fill="auto"/>
            <w:vAlign w:val="center"/>
          </w:tcPr>
          <w:p>
            <w:pPr>
              <w:spacing w:before="0" w:after="0" w:line="260" w:lineRule="atLeast"/>
              <w:jc w:val="left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(3) Excluding alcohol use from covariates  (n=16046)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1.09(1.08,1.11)</w:t>
            </w: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*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0.53(0.46,0.61)*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0.37(0.32,0.42)*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0.42(0.37,0.48)*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238" w:type="dxa"/>
            <w:gridSpan w:val="5"/>
            <w:shd w:val="clear" w:color="auto" w:fill="auto"/>
            <w:vAlign w:val="center"/>
          </w:tcPr>
          <w:p>
            <w:pPr>
              <w:spacing w:before="0" w:after="0" w:line="260" w:lineRule="atLeast"/>
              <w:jc w:val="left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(4) Excluding regular physical exercise from covariates  (n=16046)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1.09(1.07,1.11)*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0.53(0.45,0.60)*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0.37(0.31,0.41)*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0.42(0.36,0.47)*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238" w:type="dxa"/>
            <w:gridSpan w:val="5"/>
            <w:shd w:val="clear" w:color="auto" w:fill="auto"/>
            <w:vAlign w:val="center"/>
          </w:tcPr>
          <w:p>
            <w:pPr>
              <w:spacing w:before="0" w:after="0" w:line="260" w:lineRule="atLeast"/>
              <w:jc w:val="left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(5) Excluding occupation and income levels from covariates  (n=16046)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1.09(1.08,1.11)</w:t>
            </w: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*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0.52(0.45,0.60)*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0.36(0.31,0.41)*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0.41(0.36,0.47)*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238" w:type="dxa"/>
            <w:gridSpan w:val="5"/>
            <w:shd w:val="clear" w:color="auto" w:fill="auto"/>
            <w:vAlign w:val="center"/>
          </w:tcPr>
          <w:p>
            <w:pPr>
              <w:spacing w:before="0" w:after="0" w:line="260" w:lineRule="atLeast"/>
              <w:jc w:val="left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 xml:space="preserve">(6) Excluding </w:t>
            </w:r>
            <w:bookmarkStart w:id="4" w:name="OLE_LINK3"/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KABs of salt and hypertension</w:t>
            </w:r>
            <w:bookmarkEnd w:id="4"/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 xml:space="preserve">  from covariates  (n=16046)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spacing w:before="0" w:after="0" w:line="260" w:lineRule="atLeast"/>
              <w:jc w:val="center"/>
              <w:rPr>
                <w:rFonts w:hint="eastAsia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1.09(1.07,1.10)*</w:t>
            </w: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0.53(0.45,0.60)*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0.36(0.31,0.41)*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spacing w:before="0" w:after="0" w:line="260" w:lineRule="atLeast"/>
              <w:jc w:val="center"/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Palatino Linotype" w:hAnsi="Palatino Linotype" w:eastAsia="Times New Roman" w:cs="Times New Roman"/>
                <w:snapToGrid w:val="0"/>
                <w:color w:val="000000"/>
                <w:sz w:val="20"/>
                <w:szCs w:val="20"/>
                <w:lang w:val="en-US" w:eastAsia="zh-CN" w:bidi="en-US"/>
              </w:rPr>
              <w:t>0.41(0.36,0.47)*</w:t>
            </w:r>
          </w:p>
        </w:tc>
      </w:tr>
    </w:tbl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</w:pPr>
      <w:r>
        <w:rPr>
          <w:rFonts w:hint="default" w:ascii="Times New Roman" w:hAnsi="Times New Roman" w:eastAsia="宋体" w:cs="Times New Roman"/>
          <w:color w:val="000000"/>
          <w:sz w:val="18"/>
          <w:szCs w:val="22"/>
          <w:lang w:val="en-US" w:eastAsia="zh-CN" w:bidi="en-US"/>
        </w:rPr>
        <w:t>Data are odds ratio (OR) or regression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 coefficient ( β ) and its 95% CI, </w:t>
      </w:r>
      <w:r>
        <w:rPr>
          <w:rFonts w:hint="default" w:ascii="Times New Roman" w:hAnsi="Times New Roman" w:eastAsia="Times New Roman" w:cs="Times New Roman"/>
          <w:i/>
          <w:iCs/>
          <w:snapToGrid/>
          <w:color w:val="000000"/>
          <w:sz w:val="18"/>
          <w:szCs w:val="22"/>
          <w:vertAlign w:val="baseline"/>
          <w:lang w:val="en-US" w:eastAsia="zh-CN" w:bidi="en-US"/>
        </w:rPr>
        <w:t>P</w:t>
      </w:r>
      <w:r>
        <w:rPr>
          <w:rFonts w:hint="default" w:ascii="Times New Roman" w:hAnsi="Times New Roman" w:eastAsia="Times New Roman" w:cs="Times New Roman"/>
          <w:i w:val="0"/>
          <w:iCs w:val="0"/>
          <w:snapToGrid/>
          <w:color w:val="000000"/>
          <w:sz w:val="18"/>
          <w:szCs w:val="22"/>
          <w:vertAlign w:val="baseline"/>
          <w:lang w:val="en-US" w:eastAsia="zh-CN" w:bidi="en-US"/>
        </w:rPr>
        <w:t>&lt;0.05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..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vertAlign w:val="superscript"/>
          <w:lang w:val="en-US" w:eastAsia="zh-CN" w:bidi="en-US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>Multivariate logistic regression analysis was performed;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vertAlign w:val="superscript"/>
          <w:lang w:val="en-US" w:eastAsia="zh-CN" w:bidi="en-US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zh-CN" w:bidi="en-US"/>
        </w:rPr>
        <w:t xml:space="preserve">Multivariate linear regression analysis was performed; </w:t>
      </w:r>
      <w:r>
        <w:rPr>
          <w:rFonts w:hint="default" w:ascii="Times New Roman" w:hAnsi="Times New Roman" w:eastAsia="Times New Roman" w:cs="Times New Roman"/>
          <w:color w:val="000000"/>
          <w:sz w:val="18"/>
          <w:szCs w:val="22"/>
          <w:lang w:val="en-US" w:eastAsia="de-DE" w:bidi="en-US"/>
        </w:rPr>
        <w:t>SBP: systolic blood pressure; DBP: diastolic blood pressure</w:t>
      </w:r>
      <w:r>
        <w:rPr>
          <w:rFonts w:hint="default" w:ascii="Times New Roman" w:hAnsi="Times New Roman" w:eastAsia="宋体" w:cs="Times New Roman"/>
          <w:color w:val="000000"/>
          <w:sz w:val="18"/>
          <w:szCs w:val="22"/>
          <w:lang w:val="en-US" w:eastAsia="zh-CN" w:bidi="en-US"/>
        </w:rPr>
        <w:t>; MAP: mean arterial pressure.</w:t>
      </w: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>
      <w:pPr>
        <w:spacing w:before="0" w:after="0" w:line="260" w:lineRule="atLeast"/>
        <w:jc w:val="both"/>
        <w:rPr>
          <w:rFonts w:hint="eastAsia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</w:p>
    <w:p/>
    <w:p>
      <w:bookmarkStart w:id="5" w:name="_GoBack"/>
      <w:bookmarkEnd w:id="5"/>
    </w:p>
    <w:p>
      <w:pPr>
        <w:pStyle w:val="4"/>
        <w:rPr>
          <w:rFonts w:hint="default" w:ascii="Palatino Linotype" w:hAnsi="Palatino Linotype" w:eastAsia="宋体" w:cs="Times New Roman"/>
          <w:b/>
          <w:bCs/>
          <w:color w:val="000000"/>
          <w:sz w:val="20"/>
          <w:szCs w:val="20"/>
          <w:lang w:val="en-US" w:eastAsia="zh-CN"/>
        </w:rPr>
      </w:pPr>
      <w:r>
        <w:t>Supplementary Figures</w:t>
      </w:r>
    </w:p>
    <w:tbl>
      <w:tblPr>
        <w:tblStyle w:val="2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8"/>
        <w:gridCol w:w="4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0" w:after="120"/>
              <w:jc w:val="center"/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</w:pPr>
            <w:r>
              <w:rPr>
                <w:rFonts w:hint="default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  <w:drawing>
                <wp:inline distT="0" distB="0" distL="114300" distR="114300">
                  <wp:extent cx="2446020" cy="2446020"/>
                  <wp:effectExtent l="0" t="0" r="7620" b="7620"/>
                  <wp:docPr id="22" name="图片 22" descr="1. hbp与钠钾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1. hbp与钠钾比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244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>
            <w:pPr>
              <w:adjustRightInd w:val="0"/>
              <w:snapToGrid w:val="0"/>
              <w:spacing w:before="0" w:after="120"/>
              <w:jc w:val="both"/>
              <w:rPr>
                <w:rFonts w:hint="default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</w:pPr>
            <w:r>
              <w:rPr>
                <w:rFonts w:hint="eastAsia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  <w:t xml:space="preserve"> </w:t>
            </w:r>
            <w:r>
              <w:rPr>
                <w:rFonts w:hint="default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  <w:drawing>
                <wp:inline distT="0" distB="0" distL="114300" distR="114300">
                  <wp:extent cx="2432050" cy="2432050"/>
                  <wp:effectExtent l="0" t="0" r="6350" b="6350"/>
                  <wp:docPr id="23" name="图片 23" descr="2.sbp与钠钾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2.sbp与钠钾比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0" cy="243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</w:pPr>
            <w:r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  <w:t>(</w:t>
            </w:r>
            <w:r>
              <w:rPr>
                <w:rFonts w:ascii="Palatino Linotype" w:hAnsi="Palatino Linotype" w:eastAsia="Times New Roman" w:cs="Times New Roman"/>
                <w:b/>
                <w:snapToGrid w:val="0"/>
                <w:color w:val="000000"/>
                <w:lang w:val="en-US" w:eastAsia="de-DE" w:bidi="en-US"/>
              </w:rPr>
              <w:t>a</w:t>
            </w:r>
            <w:r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  <w:t>)</w:t>
            </w:r>
          </w:p>
        </w:tc>
        <w:tc>
          <w:tcPr>
            <w:tcW w:w="4268" w:type="dxa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</w:pPr>
            <w:r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  <w:t>(</w:t>
            </w:r>
            <w:r>
              <w:rPr>
                <w:rFonts w:ascii="Palatino Linotype" w:hAnsi="Palatino Linotype" w:eastAsia="Times New Roman" w:cs="Times New Roman"/>
                <w:b/>
                <w:snapToGrid w:val="0"/>
                <w:color w:val="000000"/>
                <w:lang w:val="en-US" w:eastAsia="de-DE" w:bidi="en-US"/>
              </w:rPr>
              <w:t>b</w:t>
            </w:r>
            <w:r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both"/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</w:pPr>
            <w:r>
              <w:rPr>
                <w:rFonts w:hint="default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  <w:drawing>
                <wp:inline distT="0" distB="0" distL="114300" distR="114300">
                  <wp:extent cx="2480310" cy="2480310"/>
                  <wp:effectExtent l="0" t="0" r="3810" b="3810"/>
                  <wp:docPr id="24" name="图片 24" descr="3.dbp与钠钾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3.dbp与钠钾比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310" cy="248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</w:pPr>
            <w:r>
              <w:rPr>
                <w:rFonts w:hint="default" w:ascii="Palatino Linotype" w:hAnsi="Palatino Linotype" w:eastAsia="宋体" w:cs="Times New Roman"/>
                <w:snapToGrid w:val="0"/>
                <w:color w:val="000000"/>
                <w:lang w:val="en-US" w:eastAsia="zh-CN" w:bidi="en-US"/>
              </w:rPr>
              <w:drawing>
                <wp:inline distT="0" distB="0" distL="114300" distR="114300">
                  <wp:extent cx="2479040" cy="2479040"/>
                  <wp:effectExtent l="0" t="0" r="5080" b="5080"/>
                  <wp:docPr id="35" name="图片 35" descr="4.mbp与钠钾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4.mbp与钠钾比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040" cy="247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</w:pPr>
            <w:r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  <w:t>(</w:t>
            </w:r>
            <w:r>
              <w:rPr>
                <w:rFonts w:hint="eastAsia" w:ascii="Palatino Linotype" w:hAnsi="Palatino Linotype" w:eastAsia="宋体" w:cs="Times New Roman"/>
                <w:b/>
                <w:snapToGrid w:val="0"/>
                <w:color w:val="000000"/>
                <w:lang w:val="en-US" w:eastAsia="zh-CN" w:bidi="en-US"/>
              </w:rPr>
              <w:t>c</w:t>
            </w:r>
            <w:r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  <w:t>)</w:t>
            </w:r>
          </w:p>
        </w:tc>
        <w:tc>
          <w:tcPr>
            <w:tcW w:w="4268" w:type="dxa"/>
            <w:vAlign w:val="top"/>
          </w:tcPr>
          <w:p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</w:pPr>
            <w:r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  <w:t>(</w:t>
            </w:r>
            <w:r>
              <w:rPr>
                <w:rFonts w:hint="eastAsia" w:ascii="Palatino Linotype" w:hAnsi="Palatino Linotype" w:eastAsia="宋体" w:cs="Times New Roman"/>
                <w:b/>
                <w:snapToGrid w:val="0"/>
                <w:color w:val="000000"/>
                <w:lang w:val="en-US" w:eastAsia="zh-CN" w:bidi="en-US"/>
              </w:rPr>
              <w:t>d</w:t>
            </w:r>
            <w:r>
              <w:rPr>
                <w:rFonts w:ascii="Palatino Linotype" w:hAnsi="Palatino Linotype" w:eastAsia="Times New Roman" w:cs="Times New Roman"/>
                <w:snapToGrid w:val="0"/>
                <w:color w:val="000000"/>
                <w:lang w:val="en-US" w:eastAsia="de-DE" w:bidi="en-US"/>
              </w:rPr>
              <w:t>)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24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en-US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de-DE" w:bidi="en-US"/>
        </w:rPr>
        <w:t xml:space="preserve">Figure 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  <w:lang w:val="en-US" w:eastAsia="zh-CN" w:bidi="en-US"/>
        </w:rPr>
        <w:t>S1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de-DE" w:bidi="en-US"/>
        </w:rPr>
        <w:t xml:space="preserve">.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en-US"/>
        </w:rPr>
        <w:t xml:space="preserve">Dose-response relationship of 24-hour urinary sodium to potassium ratio and hypertension prevalence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de-DE" w:bidi="en-US"/>
        </w:rPr>
        <w:t>(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de-DE" w:bidi="en-US"/>
        </w:rPr>
        <w:t>a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de-DE" w:bidi="en-US"/>
        </w:rPr>
        <w:t>)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en-US"/>
        </w:rPr>
        <w:t xml:space="preserve">, systolic blood pressure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de-DE" w:bidi="en-US"/>
        </w:rPr>
        <w:t>(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de-DE" w:bidi="en-US"/>
        </w:rPr>
        <w:t>b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de-DE" w:bidi="en-US"/>
        </w:rPr>
        <w:t>)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en-US"/>
        </w:rPr>
        <w:t xml:space="preserve">, diastolic blood pressure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de-DE" w:bidi="en-US"/>
        </w:rPr>
        <w:t>(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  <w:lang w:val="en-US" w:eastAsia="zh-CN" w:bidi="en-US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de-DE" w:bidi="en-US"/>
        </w:rPr>
        <w:t>)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en-US"/>
        </w:rPr>
        <w:t xml:space="preserve"> and mean arterial pressure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de-DE" w:bidi="en-US"/>
        </w:rPr>
        <w:t>(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  <w:lang w:val="en-US" w:eastAsia="zh-CN" w:bidi="en-US"/>
        </w:rPr>
        <w:t>d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de-DE" w:bidi="en-US"/>
        </w:rPr>
        <w:t>)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en-US"/>
        </w:rPr>
        <w:t xml:space="preserve"> levels. Age, gender, region, residence, education, occupation, income level, BMI, regular physical exercise, smoke, drinking, diabetes history, stroke history, CHD history, eGFR, average temperature and anti-hypertensive drug use were adjusted. The solid line and shaded region represent OR or β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E5E5E"/>
          <w:spacing w:val="0"/>
          <w:sz w:val="24"/>
          <w:szCs w:val="24"/>
          <w:lang w:val="en-US" w:eastAsia="zh-CN" w:bidi="en-US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 w:bidi="en-US"/>
        </w:rPr>
        <w:t>and its 95% confidence intervals.</w:t>
      </w:r>
    </w:p>
    <w:p>
      <w:pPr>
        <w:spacing w:before="240"/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Times New Roman Uni">
    <w:panose1 w:val="02020603050405020304"/>
    <w:charset w:val="86"/>
    <w:family w:val="auto"/>
    <w:pitch w:val="default"/>
    <w:sig w:usb0="B334AAFF" w:usb1="F9FFFFFF" w:usb2="0000003E" w:usb3="00000000" w:csb0="601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attachedTemplate r:id="rId1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NjIxMWJhNDE2OWEzZjMxZDJlN2ZlZjY5ZGVmM2Y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2F08596F"/>
    <w:rsid w:val="4B5E27BB"/>
    <w:rsid w:val="6ED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autoRedefine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autoRedefine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autoRedefine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autoRedefine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autoRedefine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autoRedefine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autoRedefine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autoRedefine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autoRedefine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autoRedefine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autoRedefine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autoRedefine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autoRedefine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autoRedefine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autoRedefine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autoRedefine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autoRedefine/>
    <w:semiHidden/>
    <w:unhideWhenUsed/>
    <w:qFormat/>
    <w:uiPriority w:val="99"/>
    <w:rPr>
      <w:b/>
      <w:bCs/>
    </w:rPr>
  </w:style>
  <w:style w:type="table" w:styleId="21">
    <w:name w:val="Table Grid"/>
    <w:basedOn w:val="20"/>
    <w:autoRedefine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autoRedefine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autoRedefine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autoRedefine/>
    <w:semiHidden/>
    <w:unhideWhenUsed/>
    <w:qFormat/>
    <w:uiPriority w:val="99"/>
  </w:style>
  <w:style w:type="character" w:styleId="28">
    <w:name w:val="Hyperlink"/>
    <w:basedOn w:val="22"/>
    <w:autoRedefine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autoRedefine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autoRedefine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autoRedefine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autoRedefine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autoRedefine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autoRedefine/>
    <w:qFormat/>
    <w:uiPriority w:val="1"/>
  </w:style>
  <w:style w:type="character" w:customStyle="1" w:styleId="35">
    <w:name w:val="Balloon Text Char"/>
    <w:basedOn w:val="22"/>
    <w:link w:val="12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autoRedefine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autoRedefine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autoRedefine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autoRedefine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autoRedefine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autoRedefine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autoRedefine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autoRedefine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autoRedefine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autoRedefine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autoRedefine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autoRedefine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autoRedefine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autoRedefine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autoRedefine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autoRedefine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autoRedefine/>
    <w:qFormat/>
    <w:uiPriority w:val="0"/>
    <w:pPr>
      <w:spacing w:after="120"/>
    </w:pPr>
    <w:rPr>
      <w:i/>
    </w:rPr>
  </w:style>
  <w:style w:type="paragraph" w:customStyle="1" w:styleId="53">
    <w:name w:val="Revision"/>
    <w:autoRedefine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customStyle="1" w:styleId="54">
    <w:name w:val="无"/>
    <w:autoRedefine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6.xml"/><Relationship Id="rId2" Type="http://schemas.openxmlformats.org/officeDocument/2006/relationships/settings" Target="settings.xml"/><Relationship Id="rId19" Type="http://schemas.openxmlformats.org/officeDocument/2006/relationships/customXml" Target="../customXml/item5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4B2E0E22-D442-4EBE-AAA2-EDC8871E7B4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114314AF-3C36-4C2C-B599-40A76C6FFFC1}">
  <ds:schemaRefs/>
</ds:datastoreItem>
</file>

<file path=customXml/itemProps6.xml><?xml version="1.0" encoding="utf-8"?>
<ds:datastoreItem xmlns:ds="http://schemas.openxmlformats.org/officeDocument/2006/customXml" ds:itemID="{DFF441E3-103C-4487-877D-08CD2233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142</Words>
  <Characters>810</Characters>
  <Lines>6</Lines>
  <Paragraphs>1</Paragraphs>
  <TotalTime>5</TotalTime>
  <ScaleCrop>false</ScaleCrop>
  <LinksUpToDate>false</LinksUpToDate>
  <CharactersWithSpaces>951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十年兔</cp:lastModifiedBy>
  <cp:lastPrinted>2013-10-03T12:51:00Z</cp:lastPrinted>
  <dcterms:modified xsi:type="dcterms:W3CDTF">2024-01-19T11:37:25Z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2052-12.1.0.16250</vt:lpwstr>
  </property>
  <property fmtid="{D5CDD505-2E9C-101B-9397-08002B2CF9AE}" pid="11" name="ICV">
    <vt:lpwstr>B31DA81CBDDF47749AB7E76C4C02E04F_13</vt:lpwstr>
  </property>
</Properties>
</file>