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D772" w14:textId="77777777" w:rsidR="004B13BF" w:rsidRPr="00F30DF5" w:rsidRDefault="004B13BF" w:rsidP="004B13BF">
      <w:pPr>
        <w:ind w:firstLine="0"/>
        <w:rPr>
          <w:rFonts w:ascii="Times New Roman" w:hAnsi="Times New Roman" w:cs="Times New Roman"/>
          <w:b/>
          <w:bCs/>
          <w:lang w:val="en-US"/>
        </w:rPr>
      </w:pPr>
      <w:r w:rsidRPr="00F30DF5">
        <w:rPr>
          <w:rFonts w:ascii="Times New Roman" w:hAnsi="Times New Roman" w:cs="Times New Roman"/>
          <w:b/>
          <w:bCs/>
          <w:lang w:val="en-US"/>
        </w:rPr>
        <w:t>A closer look at how the dispersive liquid–liquid microextraction</w:t>
      </w:r>
      <w:r w:rsidRPr="00F30DF5" w:rsidDel="008256D2">
        <w:rPr>
          <w:rFonts w:ascii="Times New Roman" w:hAnsi="Times New Roman" w:cs="Times New Roman"/>
          <w:b/>
          <w:bCs/>
          <w:lang w:val="en-US"/>
        </w:rPr>
        <w:t xml:space="preserve"> </w:t>
      </w:r>
      <w:r w:rsidRPr="00F30DF5">
        <w:rPr>
          <w:rFonts w:ascii="Times New Roman" w:hAnsi="Times New Roman" w:cs="Times New Roman"/>
          <w:b/>
          <w:bCs/>
          <w:lang w:val="en-US"/>
        </w:rPr>
        <w:t xml:space="preserve">method works. Investigation of the effect of solvent mixture composition on the quality and stability of the cloudy state </w:t>
      </w:r>
    </w:p>
    <w:p w14:paraId="53E91AA6" w14:textId="35EB3938" w:rsidR="00B538C3" w:rsidRPr="00F30DF5" w:rsidRDefault="00B538C3" w:rsidP="00B538C3">
      <w:pPr>
        <w:ind w:firstLine="0"/>
        <w:rPr>
          <w:rFonts w:ascii="Times New Roman" w:hAnsi="Times New Roman" w:cs="Times New Roman"/>
          <w:lang w:val="en-US"/>
        </w:rPr>
      </w:pPr>
    </w:p>
    <w:p w14:paraId="30B021A8" w14:textId="0241D968" w:rsidR="00B538C3" w:rsidRPr="00F30DF5" w:rsidRDefault="00B538C3" w:rsidP="00B538C3">
      <w:pPr>
        <w:ind w:firstLine="0"/>
        <w:jc w:val="center"/>
        <w:rPr>
          <w:rFonts w:ascii="Times New Roman" w:hAnsi="Times New Roman" w:cs="Times New Roman"/>
          <w:lang w:val="en-US"/>
        </w:rPr>
      </w:pPr>
      <w:r w:rsidRPr="00F30DF5">
        <w:rPr>
          <w:rFonts w:ascii="Times New Roman" w:hAnsi="Times New Roman" w:cs="Times New Roman"/>
          <w:lang w:val="en-US"/>
        </w:rPr>
        <w:t xml:space="preserve">Serhii Zaruba </w:t>
      </w:r>
      <w:r w:rsidRPr="00F30DF5">
        <w:rPr>
          <w:rFonts w:ascii="Times New Roman" w:hAnsi="Times New Roman" w:cs="Times New Roman"/>
          <w:vertAlign w:val="superscript"/>
          <w:lang w:val="en-US"/>
        </w:rPr>
        <w:t>a</w:t>
      </w:r>
      <w:r w:rsidRPr="00F30DF5">
        <w:rPr>
          <w:rFonts w:ascii="Times New Roman" w:hAnsi="Times New Roman" w:cs="Times New Roman"/>
          <w:lang w:val="en-US"/>
        </w:rPr>
        <w:t xml:space="preserve">, Michaela </w:t>
      </w:r>
      <w:proofErr w:type="spellStart"/>
      <w:r w:rsidRPr="00F30DF5">
        <w:rPr>
          <w:rFonts w:ascii="Times New Roman" w:hAnsi="Times New Roman" w:cs="Times New Roman"/>
          <w:lang w:val="en-US"/>
        </w:rPr>
        <w:t>Ovšonková</w:t>
      </w:r>
      <w:proofErr w:type="spellEnd"/>
      <w:r w:rsidRPr="00F30DF5">
        <w:rPr>
          <w:rFonts w:ascii="Times New Roman" w:hAnsi="Times New Roman" w:cs="Times New Roman"/>
          <w:lang w:val="en-US"/>
        </w:rPr>
        <w:t xml:space="preserve"> </w:t>
      </w:r>
      <w:r w:rsidRPr="00F30DF5">
        <w:rPr>
          <w:rFonts w:ascii="Times New Roman" w:hAnsi="Times New Roman" w:cs="Times New Roman"/>
          <w:vertAlign w:val="superscript"/>
          <w:lang w:val="en-US"/>
        </w:rPr>
        <w:t>a</w:t>
      </w:r>
      <w:r w:rsidRPr="00F30DF5">
        <w:rPr>
          <w:rFonts w:ascii="Times New Roman" w:hAnsi="Times New Roman" w:cs="Times New Roman"/>
          <w:lang w:val="en-US"/>
        </w:rPr>
        <w:t>, Patrycja Makoś-</w:t>
      </w:r>
      <w:proofErr w:type="spellStart"/>
      <w:r w:rsidRPr="00F30DF5">
        <w:rPr>
          <w:rFonts w:ascii="Times New Roman" w:hAnsi="Times New Roman" w:cs="Times New Roman"/>
          <w:lang w:val="en-US"/>
        </w:rPr>
        <w:t>Chełstowska</w:t>
      </w:r>
      <w:proofErr w:type="spellEnd"/>
      <w:r w:rsidRPr="00F30DF5">
        <w:rPr>
          <w:rFonts w:ascii="Times New Roman" w:hAnsi="Times New Roman" w:cs="Times New Roman"/>
          <w:lang w:val="en-US"/>
        </w:rPr>
        <w:t xml:space="preserve"> </w:t>
      </w:r>
      <w:r w:rsidRPr="00F30DF5">
        <w:rPr>
          <w:rFonts w:ascii="Times New Roman" w:hAnsi="Times New Roman" w:cs="Times New Roman"/>
          <w:vertAlign w:val="superscript"/>
          <w:lang w:val="en-US"/>
        </w:rPr>
        <w:t>b</w:t>
      </w:r>
      <w:r w:rsidRPr="00F30DF5">
        <w:rPr>
          <w:rFonts w:ascii="Times New Roman" w:hAnsi="Times New Roman" w:cs="Times New Roman"/>
          <w:lang w:val="en-US"/>
        </w:rPr>
        <w:t xml:space="preserve">, and Vasil </w:t>
      </w:r>
      <w:proofErr w:type="spellStart"/>
      <w:r w:rsidRPr="00F30DF5">
        <w:rPr>
          <w:rFonts w:ascii="Times New Roman" w:hAnsi="Times New Roman" w:cs="Times New Roman"/>
          <w:lang w:val="en-US"/>
        </w:rPr>
        <w:t>Andruch</w:t>
      </w:r>
      <w:proofErr w:type="spellEnd"/>
      <w:r w:rsidRPr="00F30DF5">
        <w:rPr>
          <w:rFonts w:ascii="Times New Roman" w:hAnsi="Times New Roman" w:cs="Times New Roman"/>
          <w:lang w:val="en-US"/>
        </w:rPr>
        <w:t xml:space="preserve"> </w:t>
      </w:r>
      <w:r w:rsidRPr="00F30DF5">
        <w:rPr>
          <w:rFonts w:ascii="Times New Roman" w:hAnsi="Times New Roman" w:cs="Times New Roman"/>
          <w:vertAlign w:val="superscript"/>
          <w:lang w:val="en-US"/>
        </w:rPr>
        <w:t>a</w:t>
      </w:r>
      <w:r w:rsidRPr="00F30DF5">
        <w:rPr>
          <w:rFonts w:ascii="Times New Roman" w:hAnsi="Times New Roman" w:cs="Times New Roman"/>
          <w:lang w:val="en-US"/>
        </w:rPr>
        <w:t xml:space="preserve"> </w:t>
      </w:r>
    </w:p>
    <w:p w14:paraId="7007EB37" w14:textId="3DF93740" w:rsidR="00B538C3" w:rsidRPr="00F30DF5" w:rsidRDefault="00B538C3" w:rsidP="00B538C3">
      <w:pPr>
        <w:ind w:firstLine="0"/>
        <w:rPr>
          <w:rFonts w:ascii="Times New Roman" w:hAnsi="Times New Roman" w:cs="Times New Roman"/>
          <w:lang w:val="en-US"/>
        </w:rPr>
      </w:pPr>
    </w:p>
    <w:p w14:paraId="7AD79E3A" w14:textId="77777777" w:rsidR="00B538C3" w:rsidRPr="00F30DF5" w:rsidRDefault="00B538C3" w:rsidP="00B538C3">
      <w:pPr>
        <w:ind w:firstLine="0"/>
        <w:jc w:val="center"/>
        <w:rPr>
          <w:rFonts w:ascii="Times New Roman" w:hAnsi="Times New Roman" w:cs="Times New Roman"/>
          <w:i/>
          <w:iCs/>
          <w:lang w:val="en-US"/>
        </w:rPr>
      </w:pPr>
      <w:r w:rsidRPr="00F30DF5">
        <w:rPr>
          <w:rFonts w:ascii="Times New Roman" w:hAnsi="Times New Roman" w:cs="Times New Roman"/>
          <w:i/>
          <w:iCs/>
          <w:vertAlign w:val="superscript"/>
          <w:lang w:val="en-US"/>
        </w:rPr>
        <w:t>a</w:t>
      </w:r>
      <w:r w:rsidRPr="00F30DF5">
        <w:rPr>
          <w:rFonts w:ascii="Times New Roman" w:hAnsi="Times New Roman" w:cs="Times New Roman"/>
          <w:i/>
          <w:iCs/>
          <w:lang w:val="en-US"/>
        </w:rPr>
        <w:t xml:space="preserve"> Department of Analytical Chemistry, Institute of Chemistry, Faculty of Science, Pavol Jozef </w:t>
      </w:r>
      <w:proofErr w:type="spellStart"/>
      <w:r w:rsidRPr="00F30DF5">
        <w:rPr>
          <w:rFonts w:ascii="Times New Roman" w:hAnsi="Times New Roman" w:cs="Times New Roman"/>
          <w:i/>
          <w:iCs/>
          <w:lang w:val="en-US"/>
        </w:rPr>
        <w:t>Šafárik</w:t>
      </w:r>
      <w:proofErr w:type="spellEnd"/>
      <w:r w:rsidRPr="00F30DF5">
        <w:rPr>
          <w:rFonts w:ascii="Times New Roman" w:hAnsi="Times New Roman" w:cs="Times New Roman"/>
          <w:i/>
          <w:iCs/>
          <w:lang w:val="en-US"/>
        </w:rPr>
        <w:t xml:space="preserve">, University in </w:t>
      </w:r>
      <w:proofErr w:type="spellStart"/>
      <w:r w:rsidRPr="00F30DF5">
        <w:rPr>
          <w:rFonts w:ascii="Times New Roman" w:hAnsi="Times New Roman" w:cs="Times New Roman"/>
          <w:i/>
          <w:iCs/>
          <w:lang w:val="en-US"/>
        </w:rPr>
        <w:t>Košice</w:t>
      </w:r>
      <w:proofErr w:type="spellEnd"/>
      <w:r w:rsidRPr="00F30DF5">
        <w:rPr>
          <w:rFonts w:ascii="Times New Roman" w:hAnsi="Times New Roman" w:cs="Times New Roman"/>
          <w:i/>
          <w:iCs/>
          <w:lang w:val="en-US"/>
        </w:rPr>
        <w:t xml:space="preserve">, SK-04154 </w:t>
      </w:r>
      <w:proofErr w:type="spellStart"/>
      <w:r w:rsidRPr="00F30DF5">
        <w:rPr>
          <w:rFonts w:ascii="Times New Roman" w:hAnsi="Times New Roman" w:cs="Times New Roman"/>
          <w:i/>
          <w:iCs/>
          <w:lang w:val="en-US"/>
        </w:rPr>
        <w:t>Košice</w:t>
      </w:r>
      <w:proofErr w:type="spellEnd"/>
      <w:r w:rsidRPr="00F30DF5">
        <w:rPr>
          <w:rFonts w:ascii="Times New Roman" w:hAnsi="Times New Roman" w:cs="Times New Roman"/>
          <w:i/>
          <w:iCs/>
          <w:lang w:val="en-US"/>
        </w:rPr>
        <w:t>, Slovak Republic</w:t>
      </w:r>
    </w:p>
    <w:p w14:paraId="31185431" w14:textId="69770739" w:rsidR="00B538C3" w:rsidRPr="00F30DF5" w:rsidRDefault="00B538C3" w:rsidP="001F56B1">
      <w:pPr>
        <w:ind w:firstLine="0"/>
        <w:jc w:val="center"/>
        <w:rPr>
          <w:rFonts w:ascii="Times New Roman" w:hAnsi="Times New Roman" w:cs="Times New Roman"/>
          <w:i/>
          <w:iCs/>
          <w:lang w:val="en-US"/>
        </w:rPr>
      </w:pPr>
      <w:r w:rsidRPr="00F30DF5">
        <w:rPr>
          <w:rFonts w:ascii="Times New Roman" w:hAnsi="Times New Roman" w:cs="Times New Roman"/>
          <w:i/>
          <w:iCs/>
          <w:vertAlign w:val="superscript"/>
          <w:lang w:val="en-US"/>
        </w:rPr>
        <w:t>b</w:t>
      </w:r>
      <w:r w:rsidRPr="00F30DF5">
        <w:rPr>
          <w:rFonts w:ascii="Times New Roman" w:hAnsi="Times New Roman" w:cs="Times New Roman"/>
          <w:i/>
          <w:iCs/>
          <w:lang w:val="en-US"/>
        </w:rPr>
        <w:t xml:space="preserve"> Department of Process Engineering and Chemical Technology, Faculty of Chemistry, </w:t>
      </w:r>
      <w:proofErr w:type="spellStart"/>
      <w:r w:rsidRPr="00F30DF5">
        <w:rPr>
          <w:rFonts w:ascii="Times New Roman" w:hAnsi="Times New Roman" w:cs="Times New Roman"/>
          <w:i/>
          <w:iCs/>
          <w:lang w:val="en-US"/>
        </w:rPr>
        <w:t>Gdańsk</w:t>
      </w:r>
      <w:proofErr w:type="spellEnd"/>
      <w:r w:rsidRPr="00F30DF5">
        <w:rPr>
          <w:rFonts w:ascii="Times New Roman" w:hAnsi="Times New Roman" w:cs="Times New Roman"/>
          <w:i/>
          <w:iCs/>
          <w:lang w:val="en-US"/>
        </w:rPr>
        <w:t xml:space="preserve"> University of Technology, 80-233 </w:t>
      </w:r>
      <w:proofErr w:type="spellStart"/>
      <w:r w:rsidRPr="00F30DF5">
        <w:rPr>
          <w:rFonts w:ascii="Times New Roman" w:hAnsi="Times New Roman" w:cs="Times New Roman"/>
          <w:i/>
          <w:iCs/>
          <w:lang w:val="en-US"/>
        </w:rPr>
        <w:t>Gdańsk</w:t>
      </w:r>
      <w:proofErr w:type="spellEnd"/>
      <w:r w:rsidRPr="00F30DF5">
        <w:rPr>
          <w:rFonts w:ascii="Times New Roman" w:hAnsi="Times New Roman" w:cs="Times New Roman"/>
          <w:i/>
          <w:iCs/>
          <w:lang w:val="en-US"/>
        </w:rPr>
        <w:t>, Poland</w:t>
      </w:r>
    </w:p>
    <w:p w14:paraId="0D62B21F" w14:textId="77777777" w:rsidR="00B538C3" w:rsidRPr="00F30DF5" w:rsidRDefault="00B538C3" w:rsidP="00B538C3">
      <w:pPr>
        <w:ind w:firstLine="0"/>
        <w:rPr>
          <w:rFonts w:ascii="Times New Roman" w:hAnsi="Times New Roman" w:cs="Times New Roman"/>
          <w:lang w:val="en-US"/>
        </w:rPr>
      </w:pPr>
    </w:p>
    <w:p w14:paraId="0A3719A0" w14:textId="77777777" w:rsidR="00FC4C25" w:rsidRPr="00F30DF5" w:rsidRDefault="00FC4C25" w:rsidP="00B538C3">
      <w:pPr>
        <w:ind w:firstLine="0"/>
        <w:rPr>
          <w:rFonts w:ascii="Times New Roman" w:hAnsi="Times New Roman" w:cs="Times New Roman"/>
          <w:lang w:val="en-US"/>
        </w:rPr>
      </w:pPr>
    </w:p>
    <w:p w14:paraId="5669723C" w14:textId="4E409E05" w:rsidR="00B538C3" w:rsidRPr="00F30DF5" w:rsidRDefault="00F30DF5" w:rsidP="00B538C3">
      <w:pPr>
        <w:ind w:firstLine="0"/>
        <w:jc w:val="center"/>
        <w:rPr>
          <w:rFonts w:ascii="Times New Roman" w:hAnsi="Times New Roman" w:cs="Times New Roman"/>
          <w:b/>
          <w:bCs/>
          <w:lang w:val="en-US"/>
        </w:rPr>
      </w:pPr>
      <w:r w:rsidRPr="00F30DF5">
        <w:rPr>
          <w:rFonts w:ascii="Times New Roman" w:hAnsi="Times New Roman" w:cs="Times New Roman"/>
          <w:b/>
          <w:szCs w:val="24"/>
          <w:lang w:val="en-US"/>
        </w:rPr>
        <w:t>Supplementary</w:t>
      </w:r>
      <w:r w:rsidRPr="00F30DF5">
        <w:rPr>
          <w:rFonts w:ascii="Times New Roman" w:hAnsi="Times New Roman" w:cs="Times New Roman"/>
          <w:b/>
          <w:szCs w:val="24"/>
          <w:lang w:val="en-US"/>
        </w:rPr>
        <w:t xml:space="preserve"> material</w:t>
      </w:r>
    </w:p>
    <w:p w14:paraId="2FA0AC5E" w14:textId="77777777" w:rsidR="00BC03E6" w:rsidRPr="00F30DF5" w:rsidRDefault="00BC03E6" w:rsidP="00B538C3">
      <w:pPr>
        <w:ind w:firstLine="0"/>
        <w:jc w:val="center"/>
        <w:rPr>
          <w:rFonts w:ascii="Times New Roman" w:hAnsi="Times New Roman" w:cs="Times New Roman"/>
          <w:b/>
          <w:bCs/>
          <w:lang w:val="en-US"/>
        </w:rPr>
      </w:pPr>
    </w:p>
    <w:p w14:paraId="478249A8" w14:textId="6C508F51" w:rsidR="00BC03E6" w:rsidRPr="00F30DF5" w:rsidRDefault="00BC03E6" w:rsidP="00BC03E6">
      <w:pPr>
        <w:ind w:firstLine="0"/>
        <w:rPr>
          <w:rFonts w:ascii="Times New Roman" w:hAnsi="Times New Roman" w:cs="Times New Roman"/>
          <w:lang w:val="en-US"/>
        </w:rPr>
      </w:pPr>
      <w:r w:rsidRPr="00F30DF5">
        <w:rPr>
          <w:rFonts w:ascii="Times New Roman" w:hAnsi="Times New Roman" w:cs="Times New Roman"/>
          <w:b/>
          <w:bCs/>
          <w:lang w:val="en-US"/>
        </w:rPr>
        <w:t>Figure S1</w:t>
      </w:r>
      <w:r w:rsidRPr="00F30DF5">
        <w:rPr>
          <w:rFonts w:ascii="Times New Roman" w:hAnsi="Times New Roman" w:cs="Times New Roman"/>
          <w:lang w:val="en-US"/>
        </w:rPr>
        <w:t xml:space="preserve"> Examples of kinetic curves of emulsion sedimentation</w:t>
      </w:r>
      <w:r w:rsidRPr="00F30DF5">
        <w:rPr>
          <w:rFonts w:ascii="Times New Roman" w:hAnsi="Times New Roman" w:cs="Times New Roman"/>
          <w:lang w:val="uk-UA"/>
        </w:rPr>
        <w:t xml:space="preserve"> (</w:t>
      </w:r>
      <w:r w:rsidRPr="00F30DF5">
        <w:rPr>
          <w:rFonts w:ascii="Times New Roman" w:hAnsi="Times New Roman" w:cs="Times New Roman"/>
          <w:lang w:val="en-US"/>
        </w:rPr>
        <w:t>upper images</w:t>
      </w:r>
      <w:r w:rsidRPr="00F30DF5">
        <w:rPr>
          <w:rFonts w:ascii="Times New Roman" w:hAnsi="Times New Roman" w:cs="Times New Roman"/>
          <w:lang w:val="uk-UA"/>
        </w:rPr>
        <w:t>)</w:t>
      </w:r>
      <w:r w:rsidRPr="00F30DF5">
        <w:rPr>
          <w:rFonts w:ascii="Times New Roman" w:hAnsi="Times New Roman" w:cs="Times New Roman"/>
          <w:lang w:val="en-US"/>
        </w:rPr>
        <w:t xml:space="preserve"> and their linearized version (lower images).</w:t>
      </w:r>
    </w:p>
    <w:p w14:paraId="7D973C26" w14:textId="77777777" w:rsidR="00BC03E6" w:rsidRPr="00F30DF5" w:rsidRDefault="00BC03E6" w:rsidP="00BC03E6">
      <w:pPr>
        <w:ind w:firstLine="0"/>
        <w:rPr>
          <w:rFonts w:ascii="Times New Roman" w:hAnsi="Times New Roman" w:cs="Times New Roman"/>
          <w:lang w:val="en-US"/>
        </w:rPr>
      </w:pPr>
      <w:r w:rsidRPr="00F30DF5">
        <w:rPr>
          <w:rFonts w:ascii="Times New Roman" w:hAnsi="Times New Roman" w:cs="Times New Roman"/>
          <w:b/>
          <w:bCs/>
          <w:lang w:val="en-US"/>
        </w:rPr>
        <w:t>Figure S2</w:t>
      </w:r>
      <w:r w:rsidRPr="00F30DF5">
        <w:rPr>
          <w:rFonts w:ascii="Times New Roman" w:hAnsi="Times New Roman" w:cs="Times New Roman"/>
          <w:lang w:val="en-US"/>
        </w:rPr>
        <w:t xml:space="preserve"> Effect of the CV concentration (A), pH (B), concentration of Na</w:t>
      </w:r>
      <w:r w:rsidRPr="00F30DF5">
        <w:rPr>
          <w:rFonts w:ascii="Times New Roman" w:hAnsi="Times New Roman" w:cs="Times New Roman"/>
          <w:vertAlign w:val="subscript"/>
          <w:lang w:val="en-US"/>
        </w:rPr>
        <w:t>2</w:t>
      </w:r>
      <w:r w:rsidRPr="00F30DF5">
        <w:rPr>
          <w:rFonts w:ascii="Times New Roman" w:hAnsi="Times New Roman" w:cs="Times New Roman"/>
          <w:lang w:val="en-US"/>
        </w:rPr>
        <w:t>SO</w:t>
      </w:r>
      <w:r w:rsidRPr="00F30DF5">
        <w:rPr>
          <w:rFonts w:ascii="Times New Roman" w:hAnsi="Times New Roman" w:cs="Times New Roman"/>
          <w:vertAlign w:val="subscript"/>
          <w:lang w:val="en-US"/>
        </w:rPr>
        <w:t>4</w:t>
      </w:r>
      <w:r w:rsidRPr="00F30DF5">
        <w:rPr>
          <w:rFonts w:ascii="Times New Roman" w:hAnsi="Times New Roman" w:cs="Times New Roman"/>
          <w:lang w:val="en-US"/>
        </w:rPr>
        <w:t xml:space="preserve"> (C), toluene to methanol ratio (D). </w:t>
      </w:r>
    </w:p>
    <w:p w14:paraId="04F20E3F" w14:textId="77777777" w:rsidR="00BC03E6" w:rsidRPr="00F30DF5" w:rsidRDefault="00BC03E6" w:rsidP="00BC03E6">
      <w:pPr>
        <w:ind w:firstLine="0"/>
        <w:rPr>
          <w:rFonts w:ascii="Times New Roman" w:hAnsi="Times New Roman" w:cs="Times New Roman"/>
          <w:lang w:val="en-US"/>
        </w:rPr>
      </w:pPr>
      <w:r w:rsidRPr="00F30DF5">
        <w:rPr>
          <w:rFonts w:ascii="Times New Roman" w:hAnsi="Times New Roman" w:cs="Times New Roman"/>
          <w:b/>
          <w:bCs/>
          <w:lang w:val="en-US"/>
        </w:rPr>
        <w:t>Table S1</w:t>
      </w:r>
      <w:r w:rsidRPr="00F30DF5">
        <w:rPr>
          <w:rFonts w:ascii="Times New Roman" w:hAnsi="Times New Roman" w:cs="Times New Roman"/>
          <w:lang w:val="en-US"/>
        </w:rPr>
        <w:t xml:space="preserve"> Intra-day and inter-day precision and accuracy data for the determination of DBS (</w:t>
      </w:r>
      <w:r w:rsidRPr="00F30DF5">
        <w:rPr>
          <w:rFonts w:ascii="Times New Roman" w:hAnsi="Times New Roman" w:cs="Times New Roman"/>
          <w:sz w:val="22"/>
          <w:lang w:val="en-US"/>
        </w:rPr>
        <w:t>×10</w:t>
      </w:r>
      <w:r w:rsidRPr="00F30DF5">
        <w:rPr>
          <w:rFonts w:ascii="Times New Roman" w:hAnsi="Times New Roman" w:cs="Times New Roman"/>
          <w:sz w:val="22"/>
          <w:vertAlign w:val="superscript"/>
          <w:lang w:val="en-US"/>
        </w:rPr>
        <w:t>5</w:t>
      </w:r>
      <w:r w:rsidRPr="00F30DF5">
        <w:rPr>
          <w:rFonts w:ascii="Times New Roman" w:hAnsi="Times New Roman" w:cs="Times New Roman"/>
          <w:sz w:val="22"/>
          <w:lang w:val="en-US"/>
        </w:rPr>
        <w:t> mol L</w:t>
      </w:r>
      <w:r w:rsidRPr="00F30DF5">
        <w:rPr>
          <w:rFonts w:ascii="Times New Roman" w:hAnsi="Times New Roman" w:cs="Times New Roman"/>
          <w:sz w:val="22"/>
          <w:vertAlign w:val="superscript"/>
          <w:lang w:val="en-US"/>
        </w:rPr>
        <w:t>−1</w:t>
      </w:r>
      <w:r w:rsidRPr="00F30DF5">
        <w:rPr>
          <w:rFonts w:ascii="Times New Roman" w:hAnsi="Times New Roman" w:cs="Times New Roman"/>
          <w:lang w:val="en-US"/>
        </w:rPr>
        <w:t xml:space="preserve">) </w:t>
      </w:r>
    </w:p>
    <w:p w14:paraId="6A419B8B" w14:textId="77777777" w:rsidR="00BC03E6" w:rsidRPr="00F30DF5" w:rsidRDefault="00BC03E6" w:rsidP="00BC03E6">
      <w:pPr>
        <w:spacing w:line="276"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b/>
          <w:bCs/>
          <w:color w:val="2E2E2E"/>
          <w:szCs w:val="24"/>
          <w:lang w:val="en-US" w:eastAsia="uk-UA"/>
        </w:rPr>
        <w:t>Table S2</w:t>
      </w:r>
      <w:r w:rsidRPr="00F30DF5">
        <w:rPr>
          <w:rFonts w:ascii="Times New Roman" w:eastAsia="Times New Roman" w:hAnsi="Times New Roman" w:cs="Times New Roman"/>
          <w:color w:val="2E2E2E"/>
          <w:szCs w:val="24"/>
          <w:lang w:val="en-US" w:eastAsia="uk-UA"/>
        </w:rPr>
        <w:t xml:space="preserve"> Determination of anionic surfactants in water samples </w:t>
      </w:r>
    </w:p>
    <w:p w14:paraId="5F5E08EF" w14:textId="77777777" w:rsidR="00BC03E6" w:rsidRPr="00F30DF5" w:rsidRDefault="00BC03E6" w:rsidP="00BC03E6">
      <w:pPr>
        <w:ind w:firstLine="0"/>
        <w:rPr>
          <w:rFonts w:ascii="Times New Roman" w:hAnsi="Times New Roman" w:cs="Times New Roman"/>
          <w:lang w:val="en-US"/>
        </w:rPr>
      </w:pPr>
    </w:p>
    <w:p w14:paraId="0AE1316B" w14:textId="4E637255" w:rsidR="00DC2F99" w:rsidRPr="00F30DF5" w:rsidRDefault="00DC2F99">
      <w:pPr>
        <w:spacing w:after="160" w:line="259" w:lineRule="auto"/>
        <w:ind w:firstLine="0"/>
        <w:jc w:val="left"/>
        <w:rPr>
          <w:rFonts w:ascii="Times New Roman" w:hAnsi="Times New Roman" w:cs="Times New Roman"/>
          <w:lang w:val="en-US"/>
        </w:rPr>
      </w:pPr>
      <w:r w:rsidRPr="00F30DF5">
        <w:rPr>
          <w:rFonts w:ascii="Times New Roman" w:hAnsi="Times New Roman" w:cs="Times New Roman"/>
          <w:lang w:val="en-US"/>
        </w:rPr>
        <w:br w:type="page"/>
      </w:r>
    </w:p>
    <w:p w14:paraId="448D4D11" w14:textId="785C17AA" w:rsidR="005232BE" w:rsidRPr="00F30DF5" w:rsidRDefault="005232BE">
      <w:pPr>
        <w:spacing w:after="160" w:line="259" w:lineRule="auto"/>
        <w:ind w:firstLine="0"/>
        <w:jc w:val="left"/>
        <w:rPr>
          <w:rFonts w:ascii="Times New Roman" w:hAnsi="Times New Roman" w:cs="Times New Roman"/>
          <w:b/>
          <w:bCs/>
          <w:lang w:val="en-US"/>
        </w:rPr>
      </w:pPr>
    </w:p>
    <w:p w14:paraId="671ED1A4" w14:textId="24434A7C" w:rsidR="00573441" w:rsidRPr="00F30DF5" w:rsidRDefault="00515F32" w:rsidP="00874791">
      <w:pPr>
        <w:ind w:firstLine="0"/>
        <w:rPr>
          <w:rFonts w:ascii="Times New Roman" w:hAnsi="Times New Roman" w:cs="Times New Roman"/>
          <w:b/>
          <w:bCs/>
          <w:lang w:val="en-US"/>
        </w:rPr>
      </w:pPr>
      <w:r w:rsidRPr="00F30DF5">
        <w:rPr>
          <w:rFonts w:ascii="Times New Roman" w:hAnsi="Times New Roman" w:cs="Times New Roman"/>
          <w:b/>
          <w:bCs/>
          <w:lang w:val="en-US"/>
        </w:rPr>
        <w:t>Procedures for microextraction surfactant determination</w:t>
      </w:r>
    </w:p>
    <w:p w14:paraId="611A1F2A" w14:textId="46036108" w:rsidR="005F101B" w:rsidRPr="00F30DF5" w:rsidRDefault="005F101B" w:rsidP="005F101B">
      <w:pPr>
        <w:ind w:firstLine="0"/>
        <w:rPr>
          <w:rFonts w:ascii="Times New Roman" w:hAnsi="Times New Roman" w:cs="Times New Roman"/>
          <w:i/>
          <w:iCs/>
          <w:lang w:val="en-US"/>
        </w:rPr>
      </w:pPr>
      <w:bookmarkStart w:id="0" w:name="_Hlk134629593"/>
      <w:r w:rsidRPr="00F30DF5">
        <w:rPr>
          <w:rFonts w:ascii="Times New Roman" w:hAnsi="Times New Roman" w:cs="Times New Roman"/>
          <w:i/>
          <w:iCs/>
          <w:lang w:val="en-US"/>
        </w:rPr>
        <w:t xml:space="preserve">Procedure for </w:t>
      </w:r>
      <w:bookmarkStart w:id="1" w:name="_Hlk145611398"/>
      <w:r w:rsidRPr="00F30DF5">
        <w:rPr>
          <w:rFonts w:ascii="Times New Roman" w:hAnsi="Times New Roman" w:cs="Times New Roman"/>
          <w:i/>
          <w:iCs/>
          <w:lang w:val="en-US"/>
        </w:rPr>
        <w:t xml:space="preserve">conventional </w:t>
      </w:r>
      <w:bookmarkEnd w:id="1"/>
      <w:r w:rsidRPr="00F30DF5">
        <w:rPr>
          <w:rFonts w:ascii="Times New Roman" w:hAnsi="Times New Roman" w:cs="Times New Roman"/>
          <w:i/>
          <w:iCs/>
          <w:lang w:val="en-US"/>
        </w:rPr>
        <w:t xml:space="preserve">DLLME determination </w:t>
      </w:r>
      <w:bookmarkEnd w:id="0"/>
    </w:p>
    <w:p w14:paraId="422A6793" w14:textId="77777777" w:rsidR="005F101B" w:rsidRPr="00F30DF5" w:rsidRDefault="005F101B" w:rsidP="005F101B">
      <w:pPr>
        <w:ind w:firstLine="0"/>
        <w:rPr>
          <w:rFonts w:ascii="Times New Roman" w:hAnsi="Times New Roman" w:cs="Times New Roman"/>
          <w:lang w:val="en-US"/>
        </w:rPr>
      </w:pPr>
      <w:r w:rsidRPr="00F30DF5">
        <w:rPr>
          <w:rFonts w:ascii="Times New Roman" w:hAnsi="Times New Roman" w:cs="Times New Roman"/>
          <w:lang w:val="en-US"/>
        </w:rPr>
        <w:t xml:space="preserve">First, 220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methanol containing 8.3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toluene was rapidly injected into the pretreated aqueous sample using a chromatographic syringe. The mixture was then gently mixed by inverting the test tube 3 times to distribute the formed emulsion throughout the whole volume. In this step, the formed ion associate of DBS-CV was extracted into the toluene droplets. The mixture was then centrifuged at 3000 rpm for 5 min for phase separation. The extract was diluted with 300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toluene to increase the total volume, and 250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the obtained phase was withdrawn by automatic pipette, transferred into a 2 mm glass cell and the absorbance was measured at 608 nm. </w:t>
      </w:r>
    </w:p>
    <w:p w14:paraId="659AC5AD" w14:textId="77777777" w:rsidR="00B31424" w:rsidRPr="00F30DF5" w:rsidRDefault="00B31424" w:rsidP="005F101B">
      <w:pPr>
        <w:pStyle w:val="af"/>
        <w:spacing w:line="360" w:lineRule="auto"/>
        <w:ind w:firstLine="0"/>
        <w:rPr>
          <w:rFonts w:cs="Times New Roman"/>
          <w:i/>
          <w:iCs/>
          <w:lang w:val="en-US"/>
        </w:rPr>
      </w:pPr>
    </w:p>
    <w:p w14:paraId="3BB4D845" w14:textId="6DD37E22" w:rsidR="005F101B" w:rsidRPr="00F30DF5" w:rsidRDefault="005F101B" w:rsidP="005F101B">
      <w:pPr>
        <w:pStyle w:val="af"/>
        <w:spacing w:line="360" w:lineRule="auto"/>
        <w:ind w:firstLine="0"/>
        <w:rPr>
          <w:rFonts w:cs="Times New Roman"/>
          <w:i/>
          <w:iCs/>
          <w:lang w:val="en-US"/>
        </w:rPr>
      </w:pPr>
      <w:r w:rsidRPr="00F30DF5">
        <w:rPr>
          <w:rFonts w:cs="Times New Roman"/>
          <w:i/>
          <w:iCs/>
          <w:lang w:val="en-US"/>
        </w:rPr>
        <w:t xml:space="preserve">Procedure for UALLME determination </w:t>
      </w:r>
    </w:p>
    <w:p w14:paraId="23D99AD2" w14:textId="08B4B516" w:rsidR="005F101B" w:rsidRPr="00F30DF5" w:rsidRDefault="005F101B" w:rsidP="005F101B">
      <w:pPr>
        <w:ind w:firstLine="0"/>
        <w:rPr>
          <w:rFonts w:ascii="Times New Roman" w:hAnsi="Times New Roman" w:cs="Times New Roman"/>
          <w:lang w:val="en-US"/>
        </w:rPr>
      </w:pPr>
      <w:r w:rsidRPr="00F30DF5">
        <w:rPr>
          <w:rFonts w:ascii="Times New Roman" w:hAnsi="Times New Roman" w:cs="Times New Roman"/>
          <w:lang w:val="en-US"/>
        </w:rPr>
        <w:t xml:space="preserve">First, 8.3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toluene was carefully placed on the surface of the pretreated aqueous sample using a</w:t>
      </w:r>
      <w:r w:rsidRPr="00F30DF5" w:rsidDel="00A646F1">
        <w:rPr>
          <w:rFonts w:ascii="Times New Roman" w:hAnsi="Times New Roman" w:cs="Times New Roman"/>
          <w:lang w:val="en-US"/>
        </w:rPr>
        <w:t xml:space="preserve"> </w:t>
      </w:r>
      <w:r w:rsidRPr="00F30DF5">
        <w:rPr>
          <w:rFonts w:ascii="Times New Roman" w:hAnsi="Times New Roman" w:cs="Times New Roman"/>
          <w:lang w:val="en-US"/>
        </w:rPr>
        <w:t xml:space="preserve">chromatographic syringe. The mixture was vigorously shaken by hand 20 times to break the thin film of extraction solvent on the surface, as was done during the emulsification study described in Section </w:t>
      </w:r>
      <w:r w:rsidR="009A695E" w:rsidRPr="00F30DF5">
        <w:rPr>
          <w:rFonts w:ascii="Times New Roman" w:hAnsi="Times New Roman" w:cs="Times New Roman"/>
          <w:lang w:val="en-US"/>
        </w:rPr>
        <w:t>“</w:t>
      </w:r>
      <w:r w:rsidRPr="00F30DF5">
        <w:rPr>
          <w:rFonts w:ascii="Times New Roman" w:hAnsi="Times New Roman" w:cs="Times New Roman"/>
          <w:i/>
          <w:iCs/>
          <w:lang w:val="en-US"/>
        </w:rPr>
        <w:t>Ultrasound-assisted emulsification (UAE)</w:t>
      </w:r>
      <w:r w:rsidR="009A695E" w:rsidRPr="00F30DF5">
        <w:rPr>
          <w:rFonts w:ascii="Times New Roman" w:hAnsi="Times New Roman" w:cs="Times New Roman"/>
          <w:i/>
          <w:iCs/>
          <w:lang w:val="en-US"/>
        </w:rPr>
        <w:t>”</w:t>
      </w:r>
      <w:r w:rsidRPr="00F30DF5">
        <w:rPr>
          <w:rFonts w:ascii="Times New Roman" w:hAnsi="Times New Roman" w:cs="Times New Roman"/>
          <w:lang w:val="en-US"/>
        </w:rPr>
        <w:t xml:space="preserve">. Then the tube was immediately placed into an ultrasonic water bath and was sonicated for 5 min. After sonication, the mixture was gently mixed 3 times by inverting the test tube to distribute the emulsion throughout the volume. In this step, the formed ion associate of DBS-CV was extracted into the toluene droplets. The procedure was then followed as described in section </w:t>
      </w:r>
      <w:r w:rsidR="009A695E" w:rsidRPr="00F30DF5">
        <w:rPr>
          <w:rFonts w:ascii="Times New Roman" w:hAnsi="Times New Roman" w:cs="Times New Roman"/>
          <w:lang w:val="en-US"/>
        </w:rPr>
        <w:t>“</w:t>
      </w:r>
      <w:r w:rsidRPr="00F30DF5">
        <w:rPr>
          <w:rFonts w:ascii="Times New Roman" w:hAnsi="Times New Roman" w:cs="Times New Roman"/>
          <w:i/>
          <w:iCs/>
          <w:lang w:val="en-US"/>
        </w:rPr>
        <w:t>Procedure for conventional DLLME determination</w:t>
      </w:r>
      <w:r w:rsidR="009A695E" w:rsidRPr="00F30DF5">
        <w:rPr>
          <w:rFonts w:ascii="Times New Roman" w:hAnsi="Times New Roman" w:cs="Times New Roman"/>
          <w:i/>
          <w:iCs/>
          <w:lang w:val="en-US"/>
        </w:rPr>
        <w:t>”</w:t>
      </w:r>
      <w:r w:rsidR="003F776C" w:rsidRPr="00F30DF5">
        <w:rPr>
          <w:rFonts w:ascii="Times New Roman" w:hAnsi="Times New Roman" w:cs="Times New Roman"/>
          <w:i/>
          <w:iCs/>
          <w:lang w:val="en-US"/>
        </w:rPr>
        <w:t xml:space="preserve"> (ESI)</w:t>
      </w:r>
      <w:r w:rsidRPr="00F30DF5">
        <w:rPr>
          <w:rFonts w:ascii="Times New Roman" w:hAnsi="Times New Roman" w:cs="Times New Roman"/>
          <w:lang w:val="en-US"/>
        </w:rPr>
        <w:t xml:space="preserve">. </w:t>
      </w:r>
    </w:p>
    <w:p w14:paraId="6E153644" w14:textId="77777777" w:rsidR="005F101B" w:rsidRPr="00F30DF5" w:rsidRDefault="005F101B" w:rsidP="005F101B">
      <w:pPr>
        <w:ind w:firstLine="0"/>
        <w:rPr>
          <w:rFonts w:ascii="Times New Roman" w:hAnsi="Times New Roman" w:cs="Times New Roman"/>
          <w:lang w:val="en-US"/>
        </w:rPr>
      </w:pPr>
    </w:p>
    <w:p w14:paraId="3ECFAF96" w14:textId="1D33F890" w:rsidR="005F101B" w:rsidRPr="00F30DF5" w:rsidRDefault="005F101B" w:rsidP="005F101B">
      <w:pPr>
        <w:pStyle w:val="af"/>
        <w:spacing w:line="360" w:lineRule="auto"/>
        <w:ind w:firstLine="0"/>
        <w:rPr>
          <w:rFonts w:cs="Times New Roman"/>
          <w:i/>
          <w:iCs/>
          <w:lang w:val="en-US"/>
        </w:rPr>
      </w:pPr>
      <w:r w:rsidRPr="00F30DF5">
        <w:rPr>
          <w:rFonts w:cs="Times New Roman"/>
          <w:i/>
          <w:iCs/>
          <w:lang w:val="en-US"/>
        </w:rPr>
        <w:t xml:space="preserve">Procedure for VALLME determination </w:t>
      </w:r>
    </w:p>
    <w:p w14:paraId="408FE216" w14:textId="10F55A67" w:rsidR="005F101B" w:rsidRPr="00F30DF5" w:rsidRDefault="005F101B" w:rsidP="005F101B">
      <w:pPr>
        <w:ind w:firstLine="0"/>
        <w:rPr>
          <w:rFonts w:ascii="Times New Roman" w:hAnsi="Times New Roman" w:cs="Times New Roman"/>
          <w:lang w:val="en-US"/>
        </w:rPr>
      </w:pPr>
      <w:r w:rsidRPr="00F30DF5">
        <w:rPr>
          <w:rFonts w:ascii="Times New Roman" w:hAnsi="Times New Roman" w:cs="Times New Roman"/>
          <w:lang w:val="en-US"/>
        </w:rPr>
        <w:t xml:space="preserve">First, 8.3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toluene was carefully placed on the surface of the pretreated aqueous sample using a chromatographic syringe. The mixture was shaken on the vortex agitator at 3000 rpm for 60 s. In this step, the formed ion associate of DBS-CV was extracted into the toluene phase. The procedure was then followed as described in section </w:t>
      </w:r>
      <w:r w:rsidR="00E5719F" w:rsidRPr="00F30DF5">
        <w:rPr>
          <w:rFonts w:ascii="Times New Roman" w:hAnsi="Times New Roman" w:cs="Times New Roman"/>
          <w:lang w:val="en-US"/>
        </w:rPr>
        <w:t>“</w:t>
      </w:r>
      <w:r w:rsidRPr="00F30DF5">
        <w:rPr>
          <w:rFonts w:ascii="Times New Roman" w:hAnsi="Times New Roman" w:cs="Times New Roman"/>
          <w:i/>
          <w:iCs/>
          <w:lang w:val="en-US"/>
        </w:rPr>
        <w:t>Procedure for conventional DLLME determination</w:t>
      </w:r>
      <w:r w:rsidR="00E5719F" w:rsidRPr="00F30DF5">
        <w:rPr>
          <w:rFonts w:ascii="Times New Roman" w:hAnsi="Times New Roman" w:cs="Times New Roman"/>
          <w:i/>
          <w:iCs/>
          <w:lang w:val="en-US"/>
        </w:rPr>
        <w:t>”</w:t>
      </w:r>
      <w:r w:rsidR="003F776C" w:rsidRPr="00F30DF5">
        <w:rPr>
          <w:rFonts w:ascii="Times New Roman" w:hAnsi="Times New Roman" w:cs="Times New Roman"/>
          <w:i/>
          <w:iCs/>
          <w:lang w:val="en-US"/>
        </w:rPr>
        <w:t xml:space="preserve"> (ESI)</w:t>
      </w:r>
      <w:r w:rsidRPr="00F30DF5">
        <w:rPr>
          <w:rFonts w:ascii="Times New Roman" w:hAnsi="Times New Roman" w:cs="Times New Roman"/>
          <w:lang w:val="en-US"/>
        </w:rPr>
        <w:t xml:space="preserve">. </w:t>
      </w:r>
    </w:p>
    <w:p w14:paraId="6AE1429A" w14:textId="77777777" w:rsidR="005F101B" w:rsidRPr="00F30DF5" w:rsidRDefault="005F101B" w:rsidP="005F101B">
      <w:pPr>
        <w:ind w:firstLine="0"/>
        <w:rPr>
          <w:rFonts w:ascii="Times New Roman" w:hAnsi="Times New Roman" w:cs="Times New Roman"/>
          <w:lang w:val="en-US"/>
        </w:rPr>
      </w:pPr>
    </w:p>
    <w:p w14:paraId="5EC4FB44" w14:textId="14E1B71F" w:rsidR="005F101B" w:rsidRPr="00F30DF5" w:rsidRDefault="005F101B" w:rsidP="005F101B">
      <w:pPr>
        <w:pStyle w:val="af"/>
        <w:spacing w:line="360" w:lineRule="auto"/>
        <w:ind w:firstLine="0"/>
        <w:rPr>
          <w:rFonts w:cs="Times New Roman"/>
          <w:i/>
          <w:iCs/>
          <w:lang w:val="en-US"/>
        </w:rPr>
      </w:pPr>
      <w:r w:rsidRPr="00F30DF5">
        <w:rPr>
          <w:rFonts w:cs="Times New Roman"/>
          <w:i/>
          <w:iCs/>
          <w:lang w:val="en-US"/>
        </w:rPr>
        <w:t xml:space="preserve">Procedure for AALLME determination </w:t>
      </w:r>
    </w:p>
    <w:p w14:paraId="45E83A24" w14:textId="2F99E18F" w:rsidR="005F101B" w:rsidRPr="00F30DF5" w:rsidRDefault="005F101B" w:rsidP="005F101B">
      <w:pPr>
        <w:ind w:firstLine="0"/>
        <w:rPr>
          <w:rFonts w:ascii="Times New Roman" w:hAnsi="Times New Roman" w:cs="Times New Roman"/>
          <w:lang w:val="en-US"/>
        </w:rPr>
      </w:pPr>
      <w:r w:rsidRPr="00F30DF5">
        <w:rPr>
          <w:rFonts w:ascii="Times New Roman" w:hAnsi="Times New Roman" w:cs="Times New Roman"/>
          <w:lang w:val="en-US"/>
        </w:rPr>
        <w:t xml:space="preserve">First, 8.3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toluene was carefully placed on the surface of the pretreated aqueous sample using a chromatographic syringe. The mixture was then aspirated into a 5 mL PE syringe from the test tube and then pushed out (5 times). A cloudy state was formed, and the formed ion </w:t>
      </w:r>
      <w:r w:rsidRPr="00F30DF5">
        <w:rPr>
          <w:rFonts w:ascii="Times New Roman" w:hAnsi="Times New Roman" w:cs="Times New Roman"/>
          <w:lang w:val="en-US"/>
        </w:rPr>
        <w:lastRenderedPageBreak/>
        <w:t xml:space="preserve">associate of DBS-CV was extracted into the toluene droplets. </w:t>
      </w:r>
      <w:bookmarkStart w:id="2" w:name="_Hlk140762499"/>
      <w:r w:rsidRPr="00F30DF5">
        <w:rPr>
          <w:rFonts w:ascii="Times New Roman" w:hAnsi="Times New Roman" w:cs="Times New Roman"/>
          <w:lang w:val="en-US"/>
        </w:rPr>
        <w:t xml:space="preserve">The procedure was then followed as described in section </w:t>
      </w:r>
      <w:r w:rsidR="00E5719F" w:rsidRPr="00F30DF5">
        <w:rPr>
          <w:rFonts w:ascii="Times New Roman" w:hAnsi="Times New Roman" w:cs="Times New Roman"/>
          <w:lang w:val="en-US"/>
        </w:rPr>
        <w:t>“</w:t>
      </w:r>
      <w:r w:rsidRPr="00F30DF5">
        <w:rPr>
          <w:rFonts w:ascii="Times New Roman" w:hAnsi="Times New Roman" w:cs="Times New Roman"/>
          <w:i/>
          <w:iCs/>
          <w:lang w:val="en-US"/>
        </w:rPr>
        <w:t>Procedure for conventional DLLME determination</w:t>
      </w:r>
      <w:r w:rsidR="00E5719F" w:rsidRPr="00F30DF5">
        <w:rPr>
          <w:rFonts w:ascii="Times New Roman" w:hAnsi="Times New Roman" w:cs="Times New Roman"/>
          <w:i/>
          <w:iCs/>
          <w:lang w:val="en-US"/>
        </w:rPr>
        <w:t>”</w:t>
      </w:r>
      <w:r w:rsidR="003F776C" w:rsidRPr="00F30DF5">
        <w:rPr>
          <w:rFonts w:ascii="Times New Roman" w:hAnsi="Times New Roman" w:cs="Times New Roman"/>
          <w:i/>
          <w:iCs/>
          <w:lang w:val="en-US"/>
        </w:rPr>
        <w:t xml:space="preserve"> (ESI)</w:t>
      </w:r>
      <w:r w:rsidRPr="00F30DF5">
        <w:rPr>
          <w:rFonts w:ascii="Times New Roman" w:hAnsi="Times New Roman" w:cs="Times New Roman"/>
          <w:lang w:val="en-US"/>
        </w:rPr>
        <w:t xml:space="preserve">. </w:t>
      </w:r>
      <w:bookmarkEnd w:id="2"/>
    </w:p>
    <w:p w14:paraId="790B5A21" w14:textId="77777777" w:rsidR="005F101B" w:rsidRPr="00F30DF5" w:rsidRDefault="005F101B" w:rsidP="005F101B">
      <w:pPr>
        <w:ind w:firstLine="0"/>
        <w:rPr>
          <w:rFonts w:ascii="Times New Roman" w:hAnsi="Times New Roman" w:cs="Times New Roman"/>
          <w:lang w:val="en-US"/>
        </w:rPr>
      </w:pPr>
    </w:p>
    <w:p w14:paraId="438DA923" w14:textId="75B147BC" w:rsidR="005F101B" w:rsidRPr="00F30DF5" w:rsidRDefault="005F101B" w:rsidP="005F101B">
      <w:pPr>
        <w:ind w:firstLine="0"/>
        <w:rPr>
          <w:rFonts w:ascii="Times New Roman" w:hAnsi="Times New Roman" w:cs="Times New Roman"/>
          <w:i/>
          <w:iCs/>
          <w:lang w:val="en-US"/>
        </w:rPr>
      </w:pPr>
      <w:r w:rsidRPr="00F30DF5">
        <w:rPr>
          <w:rFonts w:ascii="Times New Roman" w:hAnsi="Times New Roman" w:cs="Times New Roman"/>
          <w:i/>
          <w:iCs/>
          <w:lang w:val="en-US"/>
        </w:rPr>
        <w:t xml:space="preserve">Procedure for LPME determination </w:t>
      </w:r>
    </w:p>
    <w:p w14:paraId="7474F24D" w14:textId="3D6EF102" w:rsidR="00515F32" w:rsidRPr="00F30DF5" w:rsidRDefault="005F101B" w:rsidP="003219D7">
      <w:pPr>
        <w:ind w:firstLine="0"/>
        <w:rPr>
          <w:rFonts w:ascii="Times New Roman" w:hAnsi="Times New Roman" w:cs="Times New Roman"/>
          <w:lang w:val="en-US"/>
        </w:rPr>
      </w:pPr>
      <w:r w:rsidRPr="00F30DF5">
        <w:rPr>
          <w:rFonts w:ascii="Times New Roman" w:hAnsi="Times New Roman" w:cs="Times New Roman"/>
          <w:lang w:val="en-US"/>
        </w:rPr>
        <w:t xml:space="preserve">First, 8.3 </w:t>
      </w:r>
      <w:proofErr w:type="spellStart"/>
      <w:r w:rsidRPr="00F30DF5">
        <w:rPr>
          <w:rFonts w:ascii="Times New Roman" w:hAnsi="Times New Roman" w:cs="Times New Roman"/>
          <w:lang w:val="en-US"/>
        </w:rPr>
        <w:t>μL</w:t>
      </w:r>
      <w:proofErr w:type="spellEnd"/>
      <w:r w:rsidRPr="00F30DF5">
        <w:rPr>
          <w:rFonts w:ascii="Times New Roman" w:hAnsi="Times New Roman" w:cs="Times New Roman"/>
          <w:lang w:val="en-US"/>
        </w:rPr>
        <w:t xml:space="preserve"> of toluene was carefully placed on the surface of the pretreated aqueous sample using a chromatographic syringe. The tube was being gently shaken for 10 min and the formed ion associate of DBS-CV was extracted into the toluene phase. The procedure was then followed as described in section </w:t>
      </w:r>
      <w:r w:rsidR="00E5719F" w:rsidRPr="00F30DF5">
        <w:rPr>
          <w:rFonts w:ascii="Times New Roman" w:hAnsi="Times New Roman" w:cs="Times New Roman"/>
          <w:lang w:val="en-US"/>
        </w:rPr>
        <w:t>“</w:t>
      </w:r>
      <w:r w:rsidRPr="00F30DF5">
        <w:rPr>
          <w:rFonts w:ascii="Times New Roman" w:hAnsi="Times New Roman" w:cs="Times New Roman"/>
          <w:i/>
          <w:iCs/>
          <w:lang w:val="en-US"/>
        </w:rPr>
        <w:t>Procedure for conventional DLLME determination</w:t>
      </w:r>
      <w:r w:rsidR="00E5719F" w:rsidRPr="00F30DF5">
        <w:rPr>
          <w:rFonts w:ascii="Times New Roman" w:hAnsi="Times New Roman" w:cs="Times New Roman"/>
          <w:i/>
          <w:iCs/>
          <w:lang w:val="en-US"/>
        </w:rPr>
        <w:t>”</w:t>
      </w:r>
      <w:r w:rsidR="003F776C" w:rsidRPr="00F30DF5">
        <w:rPr>
          <w:rFonts w:ascii="Times New Roman" w:hAnsi="Times New Roman" w:cs="Times New Roman"/>
          <w:i/>
          <w:iCs/>
          <w:lang w:val="en-US"/>
        </w:rPr>
        <w:t xml:space="preserve"> (ESI)</w:t>
      </w:r>
      <w:r w:rsidRPr="00F30DF5">
        <w:rPr>
          <w:rFonts w:ascii="Times New Roman" w:hAnsi="Times New Roman" w:cs="Times New Roman"/>
          <w:lang w:val="en-US"/>
        </w:rPr>
        <w:t>.</w:t>
      </w:r>
    </w:p>
    <w:p w14:paraId="5825F87A" w14:textId="12B39A75" w:rsidR="00573441" w:rsidRPr="00F30DF5" w:rsidRDefault="00573441">
      <w:pPr>
        <w:spacing w:after="160" w:line="259" w:lineRule="auto"/>
        <w:ind w:firstLine="0"/>
        <w:jc w:val="left"/>
        <w:rPr>
          <w:rFonts w:ascii="Times New Roman" w:hAnsi="Times New Roman" w:cs="Times New Roman"/>
          <w:lang w:val="en-US"/>
        </w:rPr>
      </w:pPr>
      <w:r w:rsidRPr="00F30DF5">
        <w:rPr>
          <w:rFonts w:ascii="Times New Roman" w:hAnsi="Times New Roman" w:cs="Times New Roman"/>
          <w:lang w:val="en-US"/>
        </w:rPr>
        <w:br w:type="page"/>
      </w:r>
    </w:p>
    <w:p w14:paraId="4C4A20B5" w14:textId="77777777" w:rsidR="00D72CE0" w:rsidRPr="00F30DF5" w:rsidRDefault="00D72CE0" w:rsidP="00B538C3">
      <w:pPr>
        <w:ind w:firstLine="0"/>
        <w:rPr>
          <w:rFonts w:ascii="Times New Roman" w:hAnsi="Times New Roman" w:cs="Times New Roman"/>
          <w:lang w:val="en-US"/>
        </w:rPr>
      </w:pPr>
    </w:p>
    <w:p w14:paraId="693AABEB" w14:textId="77777777" w:rsidR="00D72CE0" w:rsidRPr="00F30DF5" w:rsidRDefault="00D72CE0" w:rsidP="00D72CE0">
      <w:pPr>
        <w:ind w:firstLine="0"/>
        <w:rPr>
          <w:rFonts w:ascii="Times New Roman" w:hAnsi="Times New Roman" w:cs="Times New Roman"/>
          <w:lang w:val="en-US"/>
        </w:rPr>
      </w:pPr>
      <w:r w:rsidRPr="00F30DF5">
        <w:rPr>
          <w:rFonts w:ascii="Times New Roman" w:hAnsi="Times New Roman" w:cs="Times New Roman"/>
          <w:noProof/>
          <w:lang w:val="pl-PL" w:eastAsia="pl-PL"/>
        </w:rPr>
        <w:drawing>
          <wp:inline distT="0" distB="0" distL="0" distR="0" wp14:anchorId="238E2BB6" wp14:editId="202FB3CB">
            <wp:extent cx="5463540" cy="4169544"/>
            <wp:effectExtent l="0" t="0" r="0" b="0"/>
            <wp:docPr id="1084809818" name="Рисунок 108480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0701" cy="4175009"/>
                    </a:xfrm>
                    <a:prstGeom prst="rect">
                      <a:avLst/>
                    </a:prstGeom>
                    <a:noFill/>
                    <a:ln>
                      <a:noFill/>
                    </a:ln>
                  </pic:spPr>
                </pic:pic>
              </a:graphicData>
            </a:graphic>
          </wp:inline>
        </w:drawing>
      </w:r>
    </w:p>
    <w:p w14:paraId="0AE23815" w14:textId="53C9BA5B" w:rsidR="00D72CE0" w:rsidRPr="00F30DF5" w:rsidRDefault="00D72CE0" w:rsidP="00D72CE0">
      <w:pPr>
        <w:ind w:firstLine="0"/>
        <w:rPr>
          <w:rFonts w:ascii="Times New Roman" w:hAnsi="Times New Roman" w:cs="Times New Roman"/>
          <w:lang w:val="en-US"/>
        </w:rPr>
      </w:pPr>
      <w:r w:rsidRPr="00F30DF5">
        <w:rPr>
          <w:rFonts w:ascii="Times New Roman" w:hAnsi="Times New Roman" w:cs="Times New Roman"/>
          <w:b/>
          <w:bCs/>
          <w:lang w:val="en-US"/>
        </w:rPr>
        <w:t>Fig</w:t>
      </w:r>
      <w:r w:rsidR="00573441" w:rsidRPr="00F30DF5">
        <w:rPr>
          <w:rFonts w:ascii="Times New Roman" w:hAnsi="Times New Roman" w:cs="Times New Roman"/>
          <w:b/>
          <w:bCs/>
          <w:lang w:val="en-US"/>
        </w:rPr>
        <w:t>ure</w:t>
      </w:r>
      <w:r w:rsidRPr="00F30DF5">
        <w:rPr>
          <w:rFonts w:ascii="Times New Roman" w:hAnsi="Times New Roman" w:cs="Times New Roman"/>
          <w:b/>
          <w:bCs/>
          <w:lang w:val="en-US"/>
        </w:rPr>
        <w:t xml:space="preserve"> S</w:t>
      </w:r>
      <w:r w:rsidR="005E1E0F" w:rsidRPr="00F30DF5">
        <w:rPr>
          <w:rFonts w:ascii="Times New Roman" w:hAnsi="Times New Roman" w:cs="Times New Roman"/>
          <w:b/>
          <w:bCs/>
          <w:lang w:val="en-US"/>
        </w:rPr>
        <w:t>1</w:t>
      </w:r>
      <w:r w:rsidRPr="00F30DF5">
        <w:rPr>
          <w:rFonts w:ascii="Times New Roman" w:hAnsi="Times New Roman" w:cs="Times New Roman"/>
          <w:lang w:val="en-US"/>
        </w:rPr>
        <w:t xml:space="preserve"> Examples of kinetic curves of emulsion sedimentation</w:t>
      </w:r>
      <w:r w:rsidRPr="00F30DF5">
        <w:rPr>
          <w:rFonts w:ascii="Times New Roman" w:hAnsi="Times New Roman" w:cs="Times New Roman"/>
          <w:lang w:val="uk-UA"/>
        </w:rPr>
        <w:t xml:space="preserve"> (</w:t>
      </w:r>
      <w:r w:rsidRPr="00F30DF5">
        <w:rPr>
          <w:rFonts w:ascii="Times New Roman" w:hAnsi="Times New Roman" w:cs="Times New Roman"/>
          <w:lang w:val="en-US"/>
        </w:rPr>
        <w:t>upper images</w:t>
      </w:r>
      <w:r w:rsidRPr="00F30DF5">
        <w:rPr>
          <w:rFonts w:ascii="Times New Roman" w:hAnsi="Times New Roman" w:cs="Times New Roman"/>
          <w:lang w:val="uk-UA"/>
        </w:rPr>
        <w:t>)</w:t>
      </w:r>
      <w:r w:rsidRPr="00F30DF5">
        <w:rPr>
          <w:rFonts w:ascii="Times New Roman" w:hAnsi="Times New Roman" w:cs="Times New Roman"/>
          <w:lang w:val="en-US"/>
        </w:rPr>
        <w:t xml:space="preserve"> and their linearized version (lower images). </w:t>
      </w:r>
    </w:p>
    <w:p w14:paraId="562EF7EF" w14:textId="77777777" w:rsidR="00DC2F99" w:rsidRPr="00F30DF5" w:rsidRDefault="00DC2F99">
      <w:pPr>
        <w:spacing w:after="160" w:line="259" w:lineRule="auto"/>
        <w:ind w:firstLine="0"/>
        <w:jc w:val="left"/>
        <w:rPr>
          <w:rFonts w:ascii="Times New Roman" w:hAnsi="Times New Roman" w:cs="Times New Roman"/>
          <w:lang w:val="en-US"/>
        </w:rPr>
      </w:pPr>
      <w:r w:rsidRPr="00F30DF5">
        <w:rPr>
          <w:rFonts w:ascii="Times New Roman" w:hAnsi="Times New Roman" w:cs="Times New Roman"/>
          <w:lang w:val="en-US"/>
        </w:rPr>
        <w:br w:type="page"/>
      </w:r>
    </w:p>
    <w:p w14:paraId="7E0BEFDB" w14:textId="0887A0C2" w:rsidR="006F45BD" w:rsidRPr="00F30DF5" w:rsidRDefault="00B538C3" w:rsidP="00B538C3">
      <w:pPr>
        <w:ind w:firstLine="0"/>
        <w:rPr>
          <w:rFonts w:ascii="Times New Roman" w:hAnsi="Times New Roman" w:cs="Times New Roman"/>
          <w:lang w:val="en-US"/>
        </w:rPr>
      </w:pPr>
      <w:r w:rsidRPr="00F30DF5">
        <w:rPr>
          <w:rFonts w:ascii="Times New Roman" w:hAnsi="Times New Roman" w:cs="Times New Roman"/>
          <w:b/>
          <w:bCs/>
          <w:lang w:val="en-US"/>
        </w:rPr>
        <w:lastRenderedPageBreak/>
        <w:t>Investigation of appropriate experimental conditions for DLLME</w:t>
      </w:r>
    </w:p>
    <w:p w14:paraId="50A2F4AE" w14:textId="6540D5D2" w:rsidR="006F45BD" w:rsidRPr="00F30DF5" w:rsidRDefault="006F45BD" w:rsidP="006F45BD">
      <w:pPr>
        <w:ind w:firstLine="0"/>
        <w:rPr>
          <w:rFonts w:ascii="Times New Roman" w:hAnsi="Times New Roman" w:cs="Times New Roman"/>
          <w:lang w:val="en-US"/>
        </w:rPr>
      </w:pPr>
      <w:r w:rsidRPr="00F30DF5">
        <w:rPr>
          <w:rFonts w:ascii="Times New Roman" w:hAnsi="Times New Roman" w:cs="Times New Roman"/>
          <w:lang w:val="en-US"/>
        </w:rPr>
        <w:t xml:space="preserve">The main experimental conditions for DLLME determination of anionic surfactants were taken from </w:t>
      </w:r>
      <w:r w:rsidRPr="00F30DF5">
        <w:rPr>
          <w:rFonts w:ascii="Times New Roman" w:hAnsi="Times New Roman" w:cs="Times New Roman"/>
          <w:vertAlign w:val="superscript"/>
          <w:lang w:val="en-US"/>
        </w:rPr>
        <w:t>16</w:t>
      </w:r>
      <w:r w:rsidRPr="00F30DF5">
        <w:rPr>
          <w:rFonts w:ascii="Times New Roman" w:hAnsi="Times New Roman" w:cs="Times New Roman"/>
          <w:lang w:val="en-US"/>
        </w:rPr>
        <w:t xml:space="preserve"> checked and adjusted to microextraction conditions. The effect of these conditions on the absorbance extracts is shown in the Fig. </w:t>
      </w:r>
      <w:r w:rsidR="00F443C4" w:rsidRPr="00F30DF5">
        <w:rPr>
          <w:rFonts w:ascii="Times New Roman" w:hAnsi="Times New Roman" w:cs="Times New Roman"/>
          <w:lang w:val="en-US"/>
        </w:rPr>
        <w:t>S</w:t>
      </w:r>
      <w:r w:rsidR="00FB626F" w:rsidRPr="00F30DF5">
        <w:rPr>
          <w:rFonts w:ascii="Times New Roman" w:hAnsi="Times New Roman" w:cs="Times New Roman"/>
          <w:lang w:val="en-US"/>
        </w:rPr>
        <w:t>3</w:t>
      </w:r>
      <w:r w:rsidRPr="00F30DF5">
        <w:rPr>
          <w:rFonts w:ascii="Times New Roman" w:hAnsi="Times New Roman" w:cs="Times New Roman"/>
          <w:lang w:val="en-US"/>
        </w:rPr>
        <w:t>. Based on the obtained results, the following experimental conditions were chosen: CV concentration 2×10</w:t>
      </w:r>
      <w:r w:rsidRPr="00F30DF5">
        <w:rPr>
          <w:rFonts w:ascii="Times New Roman" w:hAnsi="Times New Roman" w:cs="Times New Roman"/>
          <w:vertAlign w:val="superscript"/>
          <w:lang w:val="en-US"/>
        </w:rPr>
        <w:t>-4</w:t>
      </w:r>
      <w:r w:rsidRPr="00F30DF5">
        <w:rPr>
          <w:rFonts w:ascii="Times New Roman" w:hAnsi="Times New Roman" w:cs="Times New Roman"/>
          <w:lang w:val="en-US"/>
        </w:rPr>
        <w:t xml:space="preserve"> mol L</w:t>
      </w:r>
      <w:r w:rsidRPr="00F30DF5">
        <w:rPr>
          <w:rFonts w:ascii="Times New Roman" w:hAnsi="Times New Roman" w:cs="Times New Roman"/>
          <w:vertAlign w:val="superscript"/>
          <w:lang w:val="en-US"/>
        </w:rPr>
        <w:t>-1</w:t>
      </w:r>
      <w:r w:rsidRPr="00F30DF5">
        <w:rPr>
          <w:rFonts w:ascii="Times New Roman" w:hAnsi="Times New Roman" w:cs="Times New Roman"/>
          <w:lang w:val="en-US"/>
        </w:rPr>
        <w:t>; pH 5.0, concentration of Na</w:t>
      </w:r>
      <w:r w:rsidRPr="00F30DF5">
        <w:rPr>
          <w:rFonts w:ascii="Times New Roman" w:hAnsi="Times New Roman" w:cs="Times New Roman"/>
          <w:vertAlign w:val="subscript"/>
          <w:lang w:val="en-US"/>
        </w:rPr>
        <w:t>2</w:t>
      </w:r>
      <w:r w:rsidRPr="00F30DF5">
        <w:rPr>
          <w:rFonts w:ascii="Times New Roman" w:hAnsi="Times New Roman" w:cs="Times New Roman"/>
          <w:lang w:val="en-US"/>
        </w:rPr>
        <w:t>SO</w:t>
      </w:r>
      <w:r w:rsidRPr="00F30DF5">
        <w:rPr>
          <w:rFonts w:ascii="Times New Roman" w:hAnsi="Times New Roman" w:cs="Times New Roman"/>
          <w:vertAlign w:val="subscript"/>
          <w:lang w:val="en-US"/>
        </w:rPr>
        <w:t>4</w:t>
      </w:r>
      <w:r w:rsidRPr="00F30DF5">
        <w:rPr>
          <w:rFonts w:ascii="Times New Roman" w:hAnsi="Times New Roman" w:cs="Times New Roman"/>
          <w:lang w:val="en-US"/>
        </w:rPr>
        <w:t xml:space="preserve"> 0.4 mol L</w:t>
      </w:r>
      <w:r w:rsidRPr="00F30DF5">
        <w:rPr>
          <w:rFonts w:ascii="Times New Roman" w:hAnsi="Times New Roman" w:cs="Times New Roman"/>
          <w:vertAlign w:val="superscript"/>
          <w:lang w:val="en-US"/>
        </w:rPr>
        <w:t>-1</w:t>
      </w:r>
      <w:r w:rsidRPr="00F30DF5">
        <w:rPr>
          <w:rFonts w:ascii="Times New Roman" w:hAnsi="Times New Roman" w:cs="Times New Roman"/>
          <w:lang w:val="en-US"/>
        </w:rPr>
        <w:t>, toluene to methanol ratio 1:25.</w:t>
      </w:r>
      <w:r w:rsidR="003341E7" w:rsidRPr="00F30DF5">
        <w:rPr>
          <w:rFonts w:ascii="Times New Roman" w:hAnsi="Times New Roman" w:cs="Times New Roman"/>
          <w:lang w:val="en-US"/>
        </w:rPr>
        <w:t xml:space="preserve"> </w:t>
      </w:r>
    </w:p>
    <w:p w14:paraId="1691976C" w14:textId="77777777" w:rsidR="006F45BD" w:rsidRPr="00F30DF5" w:rsidRDefault="006F45BD" w:rsidP="006F45BD">
      <w:pPr>
        <w:ind w:firstLine="0"/>
        <w:rPr>
          <w:rFonts w:ascii="Times New Roman" w:hAnsi="Times New Roman" w:cs="Times New Roman"/>
          <w:lang w:val="en-US"/>
        </w:rPr>
      </w:pPr>
    </w:p>
    <w:p w14:paraId="6A6AC666" w14:textId="77777777" w:rsidR="006F45BD" w:rsidRPr="00F30DF5" w:rsidRDefault="006F45BD" w:rsidP="006F45BD">
      <w:pPr>
        <w:ind w:firstLine="0"/>
        <w:rPr>
          <w:rFonts w:ascii="Times New Roman" w:hAnsi="Times New Roman" w:cs="Times New Roman"/>
          <w:lang w:val="en-US"/>
        </w:rPr>
      </w:pPr>
      <w:r w:rsidRPr="00F30DF5">
        <w:rPr>
          <w:rFonts w:ascii="Times New Roman" w:hAnsi="Times New Roman" w:cs="Times New Roman"/>
          <w:lang w:val="en-US"/>
        </w:rPr>
        <w:t xml:space="preserve"> </w:t>
      </w:r>
      <w:r w:rsidRPr="00F30DF5">
        <w:rPr>
          <w:rFonts w:ascii="Times New Roman" w:hAnsi="Times New Roman" w:cs="Times New Roman"/>
          <w:noProof/>
          <w:lang w:val="pl-PL" w:eastAsia="pl-PL"/>
        </w:rPr>
        <w:drawing>
          <wp:inline distT="0" distB="0" distL="0" distR="0" wp14:anchorId="4264DA17" wp14:editId="320F77AD">
            <wp:extent cx="5654040" cy="3941224"/>
            <wp:effectExtent l="0" t="0" r="0" b="0"/>
            <wp:docPr id="1669741365" name="Рисунок 166974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086" cy="3946833"/>
                    </a:xfrm>
                    <a:prstGeom prst="rect">
                      <a:avLst/>
                    </a:prstGeom>
                    <a:noFill/>
                    <a:ln>
                      <a:noFill/>
                    </a:ln>
                  </pic:spPr>
                </pic:pic>
              </a:graphicData>
            </a:graphic>
          </wp:inline>
        </w:drawing>
      </w:r>
    </w:p>
    <w:p w14:paraId="1D4A31CA" w14:textId="60FC80CD" w:rsidR="006F45BD" w:rsidRPr="00F30DF5" w:rsidRDefault="006F45BD" w:rsidP="006F45BD">
      <w:pPr>
        <w:ind w:firstLine="0"/>
        <w:rPr>
          <w:rFonts w:ascii="Times New Roman" w:hAnsi="Times New Roman" w:cs="Times New Roman"/>
          <w:lang w:val="en-US"/>
        </w:rPr>
      </w:pPr>
      <w:r w:rsidRPr="00F30DF5">
        <w:rPr>
          <w:rFonts w:ascii="Times New Roman" w:hAnsi="Times New Roman" w:cs="Times New Roman"/>
          <w:b/>
          <w:bCs/>
          <w:lang w:val="en-US"/>
        </w:rPr>
        <w:t>Fig</w:t>
      </w:r>
      <w:r w:rsidR="00573441" w:rsidRPr="00F30DF5">
        <w:rPr>
          <w:rFonts w:ascii="Times New Roman" w:hAnsi="Times New Roman" w:cs="Times New Roman"/>
          <w:b/>
          <w:bCs/>
          <w:lang w:val="en-US"/>
        </w:rPr>
        <w:t>ure</w:t>
      </w:r>
      <w:r w:rsidRPr="00F30DF5">
        <w:rPr>
          <w:rFonts w:ascii="Times New Roman" w:hAnsi="Times New Roman" w:cs="Times New Roman"/>
          <w:b/>
          <w:bCs/>
          <w:lang w:val="en-US"/>
        </w:rPr>
        <w:t xml:space="preserve"> </w:t>
      </w:r>
      <w:r w:rsidR="00F443C4" w:rsidRPr="00F30DF5">
        <w:rPr>
          <w:rFonts w:ascii="Times New Roman" w:hAnsi="Times New Roman" w:cs="Times New Roman"/>
          <w:b/>
          <w:bCs/>
          <w:lang w:val="en-US"/>
        </w:rPr>
        <w:t>S</w:t>
      </w:r>
      <w:r w:rsidR="005E1E0F" w:rsidRPr="00F30DF5">
        <w:rPr>
          <w:rFonts w:ascii="Times New Roman" w:hAnsi="Times New Roman" w:cs="Times New Roman"/>
          <w:b/>
          <w:bCs/>
          <w:lang w:val="en-US"/>
        </w:rPr>
        <w:t>2</w:t>
      </w:r>
      <w:r w:rsidRPr="00F30DF5">
        <w:rPr>
          <w:rFonts w:ascii="Times New Roman" w:hAnsi="Times New Roman" w:cs="Times New Roman"/>
          <w:lang w:val="en-US"/>
        </w:rPr>
        <w:t xml:space="preserve"> Effect of the CV concentration (A), pH (B), concentration of Na</w:t>
      </w:r>
      <w:r w:rsidRPr="00F30DF5">
        <w:rPr>
          <w:rFonts w:ascii="Times New Roman" w:hAnsi="Times New Roman" w:cs="Times New Roman"/>
          <w:vertAlign w:val="subscript"/>
          <w:lang w:val="en-US"/>
        </w:rPr>
        <w:t>2</w:t>
      </w:r>
      <w:r w:rsidRPr="00F30DF5">
        <w:rPr>
          <w:rFonts w:ascii="Times New Roman" w:hAnsi="Times New Roman" w:cs="Times New Roman"/>
          <w:lang w:val="en-US"/>
        </w:rPr>
        <w:t>SO</w:t>
      </w:r>
      <w:r w:rsidRPr="00F30DF5">
        <w:rPr>
          <w:rFonts w:ascii="Times New Roman" w:hAnsi="Times New Roman" w:cs="Times New Roman"/>
          <w:vertAlign w:val="subscript"/>
          <w:lang w:val="en-US"/>
        </w:rPr>
        <w:t>4</w:t>
      </w:r>
      <w:r w:rsidRPr="00F30DF5">
        <w:rPr>
          <w:rFonts w:ascii="Times New Roman" w:hAnsi="Times New Roman" w:cs="Times New Roman"/>
          <w:lang w:val="en-US"/>
        </w:rPr>
        <w:t xml:space="preserve"> (C), toluene to methanol ratio (D). </w:t>
      </w:r>
    </w:p>
    <w:p w14:paraId="5D819736" w14:textId="77777777" w:rsidR="006F45BD" w:rsidRPr="00F30DF5" w:rsidRDefault="006F45BD">
      <w:pPr>
        <w:rPr>
          <w:rFonts w:ascii="Times New Roman" w:hAnsi="Times New Roman" w:cs="Times New Roman"/>
          <w:lang w:val="en-US"/>
        </w:rPr>
      </w:pPr>
    </w:p>
    <w:p w14:paraId="2FA2F752" w14:textId="77777777" w:rsidR="007154DC" w:rsidRPr="00F30DF5" w:rsidRDefault="0004742C">
      <w:pPr>
        <w:spacing w:after="160" w:line="259" w:lineRule="auto"/>
        <w:ind w:firstLine="0"/>
        <w:jc w:val="left"/>
        <w:rPr>
          <w:rFonts w:ascii="Times New Roman" w:hAnsi="Times New Roman" w:cs="Times New Roman"/>
          <w:b/>
          <w:bCs/>
          <w:lang w:val="en-US"/>
        </w:rPr>
      </w:pPr>
      <w:r w:rsidRPr="00F30DF5">
        <w:rPr>
          <w:rFonts w:ascii="Times New Roman" w:hAnsi="Times New Roman" w:cs="Times New Roman"/>
          <w:b/>
          <w:bCs/>
          <w:lang w:val="en-US"/>
        </w:rPr>
        <w:br w:type="page"/>
      </w:r>
    </w:p>
    <w:p w14:paraId="7138DCAC" w14:textId="09FE13D8" w:rsidR="007154DC" w:rsidRPr="00F30DF5" w:rsidRDefault="007154DC" w:rsidP="007154DC">
      <w:pPr>
        <w:ind w:firstLine="0"/>
        <w:rPr>
          <w:rFonts w:ascii="Times New Roman" w:hAnsi="Times New Roman" w:cs="Times New Roman"/>
          <w:lang w:val="en-US"/>
        </w:rPr>
      </w:pPr>
      <w:r w:rsidRPr="00F30DF5">
        <w:rPr>
          <w:rFonts w:ascii="Times New Roman" w:hAnsi="Times New Roman" w:cs="Times New Roman"/>
          <w:b/>
          <w:bCs/>
          <w:lang w:val="en-US"/>
        </w:rPr>
        <w:lastRenderedPageBreak/>
        <w:t xml:space="preserve">Table </w:t>
      </w:r>
      <w:r w:rsidR="00B0533E" w:rsidRPr="00F30DF5">
        <w:rPr>
          <w:rFonts w:ascii="Times New Roman" w:hAnsi="Times New Roman" w:cs="Times New Roman"/>
          <w:b/>
          <w:bCs/>
          <w:lang w:val="en-US"/>
        </w:rPr>
        <w:t>S1</w:t>
      </w:r>
      <w:r w:rsidRPr="00F30DF5">
        <w:rPr>
          <w:rFonts w:ascii="Times New Roman" w:hAnsi="Times New Roman" w:cs="Times New Roman"/>
          <w:lang w:val="en-US"/>
        </w:rPr>
        <w:t xml:space="preserve"> Intra-day and inter-day precision and accuracy data for the determination of DBS (</w:t>
      </w:r>
      <w:r w:rsidRPr="00F30DF5">
        <w:rPr>
          <w:rFonts w:ascii="Times New Roman" w:hAnsi="Times New Roman" w:cs="Times New Roman"/>
          <w:sz w:val="22"/>
          <w:lang w:val="en-US"/>
        </w:rPr>
        <w:t>×10</w:t>
      </w:r>
      <w:r w:rsidRPr="00F30DF5">
        <w:rPr>
          <w:rFonts w:ascii="Times New Roman" w:hAnsi="Times New Roman" w:cs="Times New Roman"/>
          <w:sz w:val="22"/>
          <w:vertAlign w:val="superscript"/>
          <w:lang w:val="en-US"/>
        </w:rPr>
        <w:t>5</w:t>
      </w:r>
      <w:r w:rsidRPr="00F30DF5">
        <w:rPr>
          <w:rFonts w:ascii="Times New Roman" w:hAnsi="Times New Roman" w:cs="Times New Roman"/>
          <w:sz w:val="22"/>
          <w:lang w:val="en-US"/>
        </w:rPr>
        <w:t> mol L</w:t>
      </w:r>
      <w:r w:rsidRPr="00F30DF5">
        <w:rPr>
          <w:rFonts w:ascii="Times New Roman" w:hAnsi="Times New Roman" w:cs="Times New Roman"/>
          <w:sz w:val="22"/>
          <w:vertAlign w:val="superscript"/>
          <w:lang w:val="en-US"/>
        </w:rPr>
        <w:t>−1</w:t>
      </w:r>
      <w:r w:rsidRPr="00F30DF5">
        <w:rPr>
          <w:rFonts w:ascii="Times New Roman" w:hAnsi="Times New Roman" w:cs="Times New Roman"/>
          <w:lang w:val="en-US"/>
        </w:rPr>
        <w:t xml:space="preserve">) </w:t>
      </w:r>
    </w:p>
    <w:tbl>
      <w:tblPr>
        <w:tblW w:w="9147" w:type="dxa"/>
        <w:tblBorders>
          <w:top w:val="single" w:sz="6" w:space="0" w:color="969696"/>
          <w:bottom w:val="single" w:sz="6" w:space="0" w:color="969696"/>
        </w:tblBorders>
        <w:tblCellMar>
          <w:left w:w="0" w:type="dxa"/>
          <w:right w:w="0" w:type="dxa"/>
        </w:tblCellMar>
        <w:tblLook w:val="04A0" w:firstRow="1" w:lastRow="0" w:firstColumn="1" w:lastColumn="0" w:noHBand="0" w:noVBand="1"/>
      </w:tblPr>
      <w:tblGrid>
        <w:gridCol w:w="1209"/>
        <w:gridCol w:w="1560"/>
        <w:gridCol w:w="1134"/>
        <w:gridCol w:w="1417"/>
        <w:gridCol w:w="1559"/>
        <w:gridCol w:w="851"/>
        <w:gridCol w:w="1417"/>
      </w:tblGrid>
      <w:tr w:rsidR="007154DC" w:rsidRPr="00F30DF5" w14:paraId="0B69C4F6" w14:textId="77777777" w:rsidTr="00471D4C">
        <w:trPr>
          <w:tblHeader/>
        </w:trPr>
        <w:tc>
          <w:tcPr>
            <w:tcW w:w="1209" w:type="dxa"/>
            <w:vMerge w:val="restart"/>
            <w:tcBorders>
              <w:top w:val="single" w:sz="6" w:space="0" w:color="969696"/>
              <w:bottom w:val="single" w:sz="4" w:space="0" w:color="auto"/>
              <w:right w:val="nil"/>
            </w:tcBorders>
            <w:tcMar>
              <w:top w:w="75" w:type="dxa"/>
              <w:left w:w="75" w:type="dxa"/>
              <w:bottom w:w="75" w:type="dxa"/>
              <w:right w:w="75" w:type="dxa"/>
            </w:tcMar>
            <w:hideMark/>
          </w:tcPr>
          <w:p w14:paraId="2D76B370"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 xml:space="preserve">DBS added </w:t>
            </w:r>
          </w:p>
        </w:tc>
        <w:tc>
          <w:tcPr>
            <w:tcW w:w="4111" w:type="dxa"/>
            <w:gridSpan w:val="3"/>
            <w:tcBorders>
              <w:top w:val="single" w:sz="6" w:space="0" w:color="969696"/>
              <w:bottom w:val="single" w:sz="4" w:space="0" w:color="auto"/>
              <w:right w:val="nil"/>
            </w:tcBorders>
            <w:tcMar>
              <w:top w:w="75" w:type="dxa"/>
              <w:left w:w="75" w:type="dxa"/>
              <w:bottom w:w="75" w:type="dxa"/>
              <w:right w:w="75" w:type="dxa"/>
            </w:tcMar>
            <w:vAlign w:val="center"/>
            <w:hideMark/>
          </w:tcPr>
          <w:p w14:paraId="3DCE9A64"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Intra-day</w:t>
            </w:r>
          </w:p>
        </w:tc>
        <w:tc>
          <w:tcPr>
            <w:tcW w:w="3827" w:type="dxa"/>
            <w:gridSpan w:val="3"/>
            <w:tcBorders>
              <w:top w:val="single" w:sz="6" w:space="0" w:color="969696"/>
              <w:bottom w:val="single" w:sz="4" w:space="0" w:color="auto"/>
              <w:right w:val="nil"/>
            </w:tcBorders>
            <w:tcMar>
              <w:top w:w="75" w:type="dxa"/>
              <w:left w:w="75" w:type="dxa"/>
              <w:bottom w:w="75" w:type="dxa"/>
              <w:right w:w="75" w:type="dxa"/>
            </w:tcMar>
            <w:vAlign w:val="center"/>
            <w:hideMark/>
          </w:tcPr>
          <w:p w14:paraId="3A05CBD7"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Inter-day</w:t>
            </w:r>
          </w:p>
        </w:tc>
      </w:tr>
      <w:tr w:rsidR="007154DC" w:rsidRPr="00F30DF5" w14:paraId="645BFFDF" w14:textId="77777777" w:rsidTr="00471D4C">
        <w:trPr>
          <w:tblHeader/>
        </w:trPr>
        <w:tc>
          <w:tcPr>
            <w:tcW w:w="1209" w:type="dxa"/>
            <w:vMerge/>
            <w:tcBorders>
              <w:top w:val="nil"/>
              <w:bottom w:val="single" w:sz="4" w:space="0" w:color="auto"/>
              <w:right w:val="nil"/>
            </w:tcBorders>
            <w:vAlign w:val="center"/>
            <w:hideMark/>
          </w:tcPr>
          <w:p w14:paraId="73B5BA46"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p>
        </w:tc>
        <w:tc>
          <w:tcPr>
            <w:tcW w:w="1560" w:type="dxa"/>
            <w:tcBorders>
              <w:top w:val="single" w:sz="4" w:space="0" w:color="auto"/>
              <w:bottom w:val="single" w:sz="6" w:space="0" w:color="969696"/>
              <w:right w:val="nil"/>
            </w:tcBorders>
            <w:tcMar>
              <w:top w:w="75" w:type="dxa"/>
              <w:left w:w="75" w:type="dxa"/>
              <w:bottom w:w="75" w:type="dxa"/>
              <w:right w:w="75" w:type="dxa"/>
            </w:tcMar>
            <w:hideMark/>
          </w:tcPr>
          <w:p w14:paraId="1DB81661"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 xml:space="preserve">Determined </w:t>
            </w:r>
          </w:p>
        </w:tc>
        <w:tc>
          <w:tcPr>
            <w:tcW w:w="1134" w:type="dxa"/>
            <w:tcBorders>
              <w:top w:val="single" w:sz="4" w:space="0" w:color="auto"/>
              <w:bottom w:val="single" w:sz="6" w:space="0" w:color="969696"/>
              <w:right w:val="nil"/>
            </w:tcBorders>
            <w:tcMar>
              <w:top w:w="75" w:type="dxa"/>
              <w:left w:w="75" w:type="dxa"/>
              <w:bottom w:w="75" w:type="dxa"/>
              <w:right w:w="75" w:type="dxa"/>
            </w:tcMar>
            <w:hideMark/>
          </w:tcPr>
          <w:p w14:paraId="3A3F3FF6"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RSD, %</w:t>
            </w:r>
          </w:p>
        </w:tc>
        <w:tc>
          <w:tcPr>
            <w:tcW w:w="1417" w:type="dxa"/>
            <w:tcBorders>
              <w:top w:val="single" w:sz="4" w:space="0" w:color="auto"/>
              <w:bottom w:val="single" w:sz="6" w:space="0" w:color="969696"/>
              <w:right w:val="nil"/>
            </w:tcBorders>
            <w:tcMar>
              <w:top w:w="75" w:type="dxa"/>
              <w:left w:w="75" w:type="dxa"/>
              <w:bottom w:w="75" w:type="dxa"/>
              <w:right w:w="75" w:type="dxa"/>
            </w:tcMar>
            <w:hideMark/>
          </w:tcPr>
          <w:p w14:paraId="2785871A"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Recovery, %</w:t>
            </w:r>
          </w:p>
        </w:tc>
        <w:tc>
          <w:tcPr>
            <w:tcW w:w="1559" w:type="dxa"/>
            <w:tcBorders>
              <w:top w:val="single" w:sz="4" w:space="0" w:color="auto"/>
              <w:bottom w:val="single" w:sz="6" w:space="0" w:color="969696"/>
              <w:right w:val="nil"/>
            </w:tcBorders>
            <w:tcMar>
              <w:top w:w="75" w:type="dxa"/>
              <w:left w:w="75" w:type="dxa"/>
              <w:bottom w:w="75" w:type="dxa"/>
              <w:right w:w="75" w:type="dxa"/>
            </w:tcMar>
            <w:hideMark/>
          </w:tcPr>
          <w:p w14:paraId="489CB5E7"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 xml:space="preserve">Determined </w:t>
            </w:r>
          </w:p>
        </w:tc>
        <w:tc>
          <w:tcPr>
            <w:tcW w:w="851" w:type="dxa"/>
            <w:tcBorders>
              <w:top w:val="single" w:sz="4" w:space="0" w:color="auto"/>
              <w:bottom w:val="single" w:sz="6" w:space="0" w:color="969696"/>
              <w:right w:val="nil"/>
            </w:tcBorders>
            <w:tcMar>
              <w:top w:w="75" w:type="dxa"/>
              <w:left w:w="75" w:type="dxa"/>
              <w:bottom w:w="75" w:type="dxa"/>
              <w:right w:w="75" w:type="dxa"/>
            </w:tcMar>
            <w:hideMark/>
          </w:tcPr>
          <w:p w14:paraId="3EFB475E"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RSD, %</w:t>
            </w:r>
          </w:p>
        </w:tc>
        <w:tc>
          <w:tcPr>
            <w:tcW w:w="1417" w:type="dxa"/>
            <w:tcBorders>
              <w:top w:val="single" w:sz="4" w:space="0" w:color="auto"/>
              <w:bottom w:val="single" w:sz="6" w:space="0" w:color="969696"/>
              <w:right w:val="nil"/>
            </w:tcBorders>
            <w:tcMar>
              <w:top w:w="75" w:type="dxa"/>
              <w:left w:w="75" w:type="dxa"/>
              <w:bottom w:w="75" w:type="dxa"/>
              <w:right w:w="75" w:type="dxa"/>
            </w:tcMar>
            <w:hideMark/>
          </w:tcPr>
          <w:p w14:paraId="48EDC2EE" w14:textId="77777777" w:rsidR="007154DC" w:rsidRPr="00F30DF5" w:rsidRDefault="007154DC" w:rsidP="00471D4C">
            <w:pPr>
              <w:spacing w:line="240"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Recovery, %</w:t>
            </w:r>
          </w:p>
        </w:tc>
      </w:tr>
      <w:tr w:rsidR="007154DC" w:rsidRPr="00F30DF5" w14:paraId="65DA849A" w14:textId="77777777" w:rsidTr="00471D4C">
        <w:tc>
          <w:tcPr>
            <w:tcW w:w="1209" w:type="dxa"/>
            <w:tcBorders>
              <w:top w:val="single" w:sz="4" w:space="0" w:color="auto"/>
              <w:bottom w:val="nil"/>
              <w:right w:val="nil"/>
            </w:tcBorders>
            <w:tcMar>
              <w:top w:w="75" w:type="dxa"/>
              <w:left w:w="75" w:type="dxa"/>
              <w:bottom w:w="75" w:type="dxa"/>
              <w:right w:w="75" w:type="dxa"/>
            </w:tcMar>
            <w:vAlign w:val="center"/>
            <w:hideMark/>
          </w:tcPr>
          <w:p w14:paraId="3873FEEE"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0.200</w:t>
            </w:r>
          </w:p>
        </w:tc>
        <w:tc>
          <w:tcPr>
            <w:tcW w:w="1560" w:type="dxa"/>
            <w:tcBorders>
              <w:bottom w:val="nil"/>
              <w:right w:val="nil"/>
            </w:tcBorders>
            <w:tcMar>
              <w:top w:w="75" w:type="dxa"/>
              <w:left w:w="75" w:type="dxa"/>
              <w:bottom w:w="75" w:type="dxa"/>
              <w:right w:w="75" w:type="dxa"/>
            </w:tcMar>
            <w:vAlign w:val="center"/>
          </w:tcPr>
          <w:p w14:paraId="5507C009"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0.192 ± 0.010</w:t>
            </w:r>
          </w:p>
        </w:tc>
        <w:tc>
          <w:tcPr>
            <w:tcW w:w="1134" w:type="dxa"/>
            <w:tcBorders>
              <w:bottom w:val="nil"/>
              <w:right w:val="nil"/>
            </w:tcBorders>
            <w:tcMar>
              <w:top w:w="75" w:type="dxa"/>
              <w:left w:w="75" w:type="dxa"/>
              <w:bottom w:w="75" w:type="dxa"/>
              <w:right w:w="75" w:type="dxa"/>
            </w:tcMar>
            <w:vAlign w:val="center"/>
          </w:tcPr>
          <w:p w14:paraId="255EEF5D"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2.7</w:t>
            </w:r>
          </w:p>
        </w:tc>
        <w:tc>
          <w:tcPr>
            <w:tcW w:w="1417" w:type="dxa"/>
            <w:tcBorders>
              <w:bottom w:val="nil"/>
              <w:right w:val="nil"/>
            </w:tcBorders>
            <w:tcMar>
              <w:top w:w="75" w:type="dxa"/>
              <w:left w:w="75" w:type="dxa"/>
              <w:bottom w:w="75" w:type="dxa"/>
              <w:right w:w="75" w:type="dxa"/>
            </w:tcMar>
            <w:vAlign w:val="center"/>
          </w:tcPr>
          <w:p w14:paraId="4611914F"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96.0</w:t>
            </w:r>
          </w:p>
        </w:tc>
        <w:tc>
          <w:tcPr>
            <w:tcW w:w="1559" w:type="dxa"/>
            <w:tcBorders>
              <w:bottom w:val="nil"/>
              <w:right w:val="nil"/>
            </w:tcBorders>
            <w:tcMar>
              <w:top w:w="75" w:type="dxa"/>
              <w:left w:w="75" w:type="dxa"/>
              <w:bottom w:w="75" w:type="dxa"/>
              <w:right w:w="75" w:type="dxa"/>
            </w:tcMar>
            <w:vAlign w:val="center"/>
          </w:tcPr>
          <w:p w14:paraId="2B006B54"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0.194 ± 0.020</w:t>
            </w:r>
          </w:p>
        </w:tc>
        <w:tc>
          <w:tcPr>
            <w:tcW w:w="851" w:type="dxa"/>
            <w:tcBorders>
              <w:bottom w:val="nil"/>
              <w:right w:val="nil"/>
            </w:tcBorders>
            <w:tcMar>
              <w:top w:w="75" w:type="dxa"/>
              <w:left w:w="75" w:type="dxa"/>
              <w:bottom w:w="75" w:type="dxa"/>
              <w:right w:w="75" w:type="dxa"/>
            </w:tcMar>
            <w:vAlign w:val="center"/>
          </w:tcPr>
          <w:p w14:paraId="4A223102"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3.5</w:t>
            </w:r>
          </w:p>
        </w:tc>
        <w:tc>
          <w:tcPr>
            <w:tcW w:w="1417" w:type="dxa"/>
            <w:tcBorders>
              <w:bottom w:val="nil"/>
              <w:right w:val="nil"/>
            </w:tcBorders>
            <w:tcMar>
              <w:top w:w="75" w:type="dxa"/>
              <w:left w:w="75" w:type="dxa"/>
              <w:bottom w:w="75" w:type="dxa"/>
              <w:right w:w="75" w:type="dxa"/>
            </w:tcMar>
            <w:vAlign w:val="center"/>
          </w:tcPr>
          <w:p w14:paraId="1CBEFC1C"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97.0</w:t>
            </w:r>
          </w:p>
        </w:tc>
      </w:tr>
      <w:tr w:rsidR="007154DC" w:rsidRPr="00F30DF5" w14:paraId="7CD568AC" w14:textId="77777777" w:rsidTr="00471D4C">
        <w:tc>
          <w:tcPr>
            <w:tcW w:w="1209" w:type="dxa"/>
            <w:tcBorders>
              <w:top w:val="nil"/>
              <w:bottom w:val="single" w:sz="4" w:space="0" w:color="auto"/>
              <w:right w:val="nil"/>
            </w:tcBorders>
            <w:tcMar>
              <w:top w:w="75" w:type="dxa"/>
              <w:left w:w="75" w:type="dxa"/>
              <w:bottom w:w="75" w:type="dxa"/>
              <w:right w:w="75" w:type="dxa"/>
            </w:tcMar>
            <w:vAlign w:val="center"/>
            <w:hideMark/>
          </w:tcPr>
          <w:p w14:paraId="0B1DFE43"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1.20</w:t>
            </w:r>
          </w:p>
        </w:tc>
        <w:tc>
          <w:tcPr>
            <w:tcW w:w="1560" w:type="dxa"/>
            <w:tcBorders>
              <w:top w:val="nil"/>
              <w:bottom w:val="single" w:sz="4" w:space="0" w:color="auto"/>
              <w:right w:val="nil"/>
            </w:tcBorders>
            <w:tcMar>
              <w:top w:w="75" w:type="dxa"/>
              <w:left w:w="75" w:type="dxa"/>
              <w:bottom w:w="75" w:type="dxa"/>
              <w:right w:w="75" w:type="dxa"/>
            </w:tcMar>
            <w:vAlign w:val="center"/>
          </w:tcPr>
          <w:p w14:paraId="18AFFC8D"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1.27 ± 0.20</w:t>
            </w:r>
          </w:p>
        </w:tc>
        <w:tc>
          <w:tcPr>
            <w:tcW w:w="1134" w:type="dxa"/>
            <w:tcBorders>
              <w:top w:val="nil"/>
              <w:bottom w:val="single" w:sz="4" w:space="0" w:color="auto"/>
              <w:right w:val="nil"/>
            </w:tcBorders>
            <w:tcMar>
              <w:top w:w="75" w:type="dxa"/>
              <w:left w:w="75" w:type="dxa"/>
              <w:bottom w:w="75" w:type="dxa"/>
              <w:right w:w="75" w:type="dxa"/>
            </w:tcMar>
            <w:vAlign w:val="center"/>
          </w:tcPr>
          <w:p w14:paraId="32786725"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6.3</w:t>
            </w:r>
          </w:p>
        </w:tc>
        <w:tc>
          <w:tcPr>
            <w:tcW w:w="1417" w:type="dxa"/>
            <w:tcBorders>
              <w:top w:val="nil"/>
              <w:bottom w:val="single" w:sz="4" w:space="0" w:color="auto"/>
              <w:right w:val="nil"/>
            </w:tcBorders>
            <w:tcMar>
              <w:top w:w="75" w:type="dxa"/>
              <w:left w:w="75" w:type="dxa"/>
              <w:bottom w:w="75" w:type="dxa"/>
              <w:right w:w="75" w:type="dxa"/>
            </w:tcMar>
            <w:vAlign w:val="center"/>
          </w:tcPr>
          <w:p w14:paraId="5019B994"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106</w:t>
            </w:r>
          </w:p>
        </w:tc>
        <w:tc>
          <w:tcPr>
            <w:tcW w:w="1559" w:type="dxa"/>
            <w:tcBorders>
              <w:top w:val="nil"/>
              <w:bottom w:val="single" w:sz="4" w:space="0" w:color="auto"/>
              <w:right w:val="nil"/>
            </w:tcBorders>
            <w:tcMar>
              <w:top w:w="75" w:type="dxa"/>
              <w:left w:w="75" w:type="dxa"/>
              <w:bottom w:w="75" w:type="dxa"/>
              <w:right w:w="75" w:type="dxa"/>
            </w:tcMar>
            <w:vAlign w:val="center"/>
          </w:tcPr>
          <w:p w14:paraId="05F13305"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1.29 ± 0.17</w:t>
            </w:r>
          </w:p>
        </w:tc>
        <w:tc>
          <w:tcPr>
            <w:tcW w:w="851" w:type="dxa"/>
            <w:tcBorders>
              <w:top w:val="nil"/>
              <w:bottom w:val="single" w:sz="4" w:space="0" w:color="auto"/>
              <w:right w:val="nil"/>
            </w:tcBorders>
            <w:tcMar>
              <w:top w:w="75" w:type="dxa"/>
              <w:left w:w="75" w:type="dxa"/>
              <w:bottom w:w="75" w:type="dxa"/>
              <w:right w:w="75" w:type="dxa"/>
            </w:tcMar>
            <w:vAlign w:val="center"/>
          </w:tcPr>
          <w:p w14:paraId="113EE88A"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5.30</w:t>
            </w:r>
          </w:p>
        </w:tc>
        <w:tc>
          <w:tcPr>
            <w:tcW w:w="1417" w:type="dxa"/>
            <w:tcBorders>
              <w:top w:val="nil"/>
              <w:bottom w:val="single" w:sz="4" w:space="0" w:color="auto"/>
              <w:right w:val="nil"/>
            </w:tcBorders>
            <w:tcMar>
              <w:top w:w="75" w:type="dxa"/>
              <w:left w:w="75" w:type="dxa"/>
              <w:bottom w:w="75" w:type="dxa"/>
              <w:right w:w="75" w:type="dxa"/>
            </w:tcMar>
            <w:vAlign w:val="center"/>
          </w:tcPr>
          <w:p w14:paraId="356B9F92" w14:textId="77777777" w:rsidR="007154DC" w:rsidRPr="00F30DF5" w:rsidRDefault="007154DC" w:rsidP="00471D4C">
            <w:pPr>
              <w:spacing w:line="240" w:lineRule="auto"/>
              <w:ind w:firstLine="0"/>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color w:val="2E2E2E"/>
                <w:szCs w:val="24"/>
                <w:lang w:val="en-US" w:eastAsia="uk-UA"/>
              </w:rPr>
              <w:t>108</w:t>
            </w:r>
          </w:p>
        </w:tc>
      </w:tr>
    </w:tbl>
    <w:p w14:paraId="2F2673E5" w14:textId="77777777" w:rsidR="007154DC" w:rsidRPr="00F30DF5" w:rsidRDefault="007154DC">
      <w:pPr>
        <w:spacing w:after="160" w:line="259" w:lineRule="auto"/>
        <w:ind w:firstLine="0"/>
        <w:jc w:val="left"/>
        <w:rPr>
          <w:rFonts w:ascii="Times New Roman" w:hAnsi="Times New Roman" w:cs="Times New Roman"/>
          <w:b/>
          <w:bCs/>
          <w:lang w:val="en-US"/>
        </w:rPr>
      </w:pPr>
    </w:p>
    <w:p w14:paraId="0793FD60" w14:textId="19F6E11A" w:rsidR="007154DC" w:rsidRPr="00F30DF5" w:rsidRDefault="007154DC">
      <w:pPr>
        <w:spacing w:after="160" w:line="259" w:lineRule="auto"/>
        <w:ind w:firstLine="0"/>
        <w:jc w:val="left"/>
        <w:rPr>
          <w:rFonts w:ascii="Times New Roman" w:hAnsi="Times New Roman" w:cs="Times New Roman"/>
          <w:b/>
          <w:bCs/>
          <w:lang w:val="en-US"/>
        </w:rPr>
      </w:pPr>
      <w:r w:rsidRPr="00F30DF5">
        <w:rPr>
          <w:rFonts w:ascii="Times New Roman" w:hAnsi="Times New Roman" w:cs="Times New Roman"/>
          <w:b/>
          <w:bCs/>
          <w:lang w:val="en-US"/>
        </w:rPr>
        <w:br w:type="page"/>
      </w:r>
    </w:p>
    <w:p w14:paraId="11BF7BE4" w14:textId="2FCC4DFB" w:rsidR="00906619" w:rsidRPr="00F30DF5" w:rsidRDefault="00906619" w:rsidP="00906619">
      <w:pPr>
        <w:ind w:firstLine="0"/>
        <w:rPr>
          <w:rFonts w:ascii="Times New Roman" w:hAnsi="Times New Roman" w:cs="Times New Roman"/>
          <w:b/>
          <w:bCs/>
          <w:lang w:val="en-US"/>
        </w:rPr>
      </w:pPr>
      <w:r w:rsidRPr="00F30DF5">
        <w:rPr>
          <w:rFonts w:ascii="Times New Roman" w:hAnsi="Times New Roman" w:cs="Times New Roman"/>
          <w:b/>
          <w:bCs/>
          <w:lang w:val="en-US"/>
        </w:rPr>
        <w:lastRenderedPageBreak/>
        <w:t xml:space="preserve">Analytical application </w:t>
      </w:r>
    </w:p>
    <w:p w14:paraId="7A008AD4" w14:textId="12CA7D2A" w:rsidR="00906619" w:rsidRPr="00F30DF5" w:rsidRDefault="00906619" w:rsidP="00906619">
      <w:pPr>
        <w:ind w:firstLine="0"/>
        <w:rPr>
          <w:rFonts w:ascii="Times New Roman" w:hAnsi="Times New Roman" w:cs="Times New Roman"/>
          <w:lang w:val="en-US"/>
        </w:rPr>
      </w:pPr>
      <w:r w:rsidRPr="00F30DF5">
        <w:rPr>
          <w:rFonts w:ascii="Times New Roman" w:hAnsi="Times New Roman" w:cs="Times New Roman"/>
          <w:lang w:val="en-US"/>
        </w:rPr>
        <w:t>In real water samples, the concentrations of surfactants were under the LOQ of the proposed method. Thus, the water samples were spiked with a known amount of DBS. As can be seen from Table S2, the added DBS were determined accurately, testifying to the absence of sources of systematic errors in the anionic surfactant determination.</w:t>
      </w:r>
    </w:p>
    <w:p w14:paraId="01DADF48" w14:textId="77777777" w:rsidR="00906619" w:rsidRPr="00F30DF5" w:rsidRDefault="00906619" w:rsidP="00906619">
      <w:pPr>
        <w:ind w:firstLine="0"/>
        <w:rPr>
          <w:rFonts w:ascii="Times New Roman" w:hAnsi="Times New Roman" w:cs="Times New Roman"/>
          <w:lang w:val="en-US"/>
        </w:rPr>
      </w:pPr>
    </w:p>
    <w:p w14:paraId="44B46ECD" w14:textId="32123E13" w:rsidR="00906619" w:rsidRPr="00F30DF5" w:rsidRDefault="00906619" w:rsidP="00906619">
      <w:pPr>
        <w:spacing w:line="276" w:lineRule="auto"/>
        <w:ind w:firstLine="0"/>
        <w:jc w:val="left"/>
        <w:rPr>
          <w:rFonts w:ascii="Times New Roman" w:eastAsia="Times New Roman" w:hAnsi="Times New Roman" w:cs="Times New Roman"/>
          <w:color w:val="2E2E2E"/>
          <w:szCs w:val="24"/>
          <w:lang w:val="en-US" w:eastAsia="uk-UA"/>
        </w:rPr>
      </w:pPr>
      <w:r w:rsidRPr="00F30DF5">
        <w:rPr>
          <w:rFonts w:ascii="Times New Roman" w:eastAsia="Times New Roman" w:hAnsi="Times New Roman" w:cs="Times New Roman"/>
          <w:b/>
          <w:bCs/>
          <w:color w:val="2E2E2E"/>
          <w:szCs w:val="24"/>
          <w:lang w:val="en-US" w:eastAsia="uk-UA"/>
        </w:rPr>
        <w:t>Table S2</w:t>
      </w:r>
      <w:r w:rsidRPr="00F30DF5">
        <w:rPr>
          <w:rFonts w:ascii="Times New Roman" w:eastAsia="Times New Roman" w:hAnsi="Times New Roman" w:cs="Times New Roman"/>
          <w:color w:val="2E2E2E"/>
          <w:szCs w:val="24"/>
          <w:lang w:val="en-US" w:eastAsia="uk-UA"/>
        </w:rPr>
        <w:t xml:space="preserve"> Determination of anionic surfactants in water samples </w:t>
      </w:r>
    </w:p>
    <w:tbl>
      <w:tblPr>
        <w:tblW w:w="7872" w:type="dxa"/>
        <w:tblCellMar>
          <w:left w:w="0" w:type="dxa"/>
          <w:right w:w="0" w:type="dxa"/>
        </w:tblCellMar>
        <w:tblLook w:val="04A0" w:firstRow="1" w:lastRow="0" w:firstColumn="1" w:lastColumn="0" w:noHBand="0" w:noVBand="1"/>
      </w:tblPr>
      <w:tblGrid>
        <w:gridCol w:w="1351"/>
        <w:gridCol w:w="1985"/>
        <w:gridCol w:w="1984"/>
        <w:gridCol w:w="992"/>
        <w:gridCol w:w="1560"/>
      </w:tblGrid>
      <w:tr w:rsidR="00906619" w:rsidRPr="00F30DF5" w14:paraId="7BB8D996" w14:textId="77777777" w:rsidTr="00471D4C">
        <w:tc>
          <w:tcPr>
            <w:tcW w:w="1351" w:type="dxa"/>
            <w:tcBorders>
              <w:top w:val="single" w:sz="4" w:space="0" w:color="auto"/>
              <w:bottom w:val="single" w:sz="4" w:space="0" w:color="auto"/>
            </w:tcBorders>
            <w:tcMar>
              <w:top w:w="75" w:type="dxa"/>
              <w:left w:w="75" w:type="dxa"/>
              <w:bottom w:w="75" w:type="dxa"/>
              <w:right w:w="75" w:type="dxa"/>
            </w:tcMar>
            <w:hideMark/>
          </w:tcPr>
          <w:p w14:paraId="590B774E" w14:textId="77777777" w:rsidR="00906619" w:rsidRPr="00F30DF5" w:rsidRDefault="00906619" w:rsidP="00471D4C">
            <w:pPr>
              <w:spacing w:line="240" w:lineRule="auto"/>
              <w:ind w:firstLine="0"/>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Sample</w:t>
            </w:r>
          </w:p>
        </w:tc>
        <w:tc>
          <w:tcPr>
            <w:tcW w:w="1985" w:type="dxa"/>
            <w:tcBorders>
              <w:top w:val="single" w:sz="4" w:space="0" w:color="auto"/>
              <w:bottom w:val="single" w:sz="4" w:space="0" w:color="auto"/>
            </w:tcBorders>
            <w:tcMar>
              <w:top w:w="75" w:type="dxa"/>
              <w:left w:w="75" w:type="dxa"/>
              <w:bottom w:w="75" w:type="dxa"/>
              <w:right w:w="75" w:type="dxa"/>
            </w:tcMar>
            <w:hideMark/>
          </w:tcPr>
          <w:p w14:paraId="27ECCB19" w14:textId="77777777" w:rsidR="00906619" w:rsidRPr="00F30DF5" w:rsidRDefault="00906619" w:rsidP="00471D4C">
            <w:pPr>
              <w:spacing w:line="240" w:lineRule="auto"/>
              <w:ind w:firstLine="0"/>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DBS added, mg L</w:t>
            </w:r>
            <w:r w:rsidRPr="00F30DF5">
              <w:rPr>
                <w:rFonts w:ascii="Times New Roman" w:eastAsia="Times New Roman" w:hAnsi="Times New Roman" w:cs="Times New Roman"/>
                <w:szCs w:val="24"/>
                <w:vertAlign w:val="superscript"/>
                <w:lang w:val="en-US" w:eastAsia="uk-UA"/>
              </w:rPr>
              <w:t>-1</w:t>
            </w:r>
          </w:p>
        </w:tc>
        <w:tc>
          <w:tcPr>
            <w:tcW w:w="1984" w:type="dxa"/>
            <w:tcBorders>
              <w:top w:val="single" w:sz="4" w:space="0" w:color="auto"/>
              <w:bottom w:val="single" w:sz="4" w:space="0" w:color="auto"/>
            </w:tcBorders>
            <w:tcMar>
              <w:top w:w="75" w:type="dxa"/>
              <w:left w:w="75" w:type="dxa"/>
              <w:bottom w:w="75" w:type="dxa"/>
              <w:right w:w="75" w:type="dxa"/>
            </w:tcMar>
            <w:hideMark/>
          </w:tcPr>
          <w:p w14:paraId="423836CE"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DBS found, mg L</w:t>
            </w:r>
            <w:r w:rsidRPr="00F30DF5">
              <w:rPr>
                <w:rFonts w:ascii="Times New Roman" w:eastAsia="Times New Roman" w:hAnsi="Times New Roman" w:cs="Times New Roman"/>
                <w:szCs w:val="24"/>
                <w:vertAlign w:val="superscript"/>
                <w:lang w:val="en-US" w:eastAsia="uk-UA"/>
              </w:rPr>
              <w:t>-11</w:t>
            </w:r>
          </w:p>
        </w:tc>
        <w:tc>
          <w:tcPr>
            <w:tcW w:w="992" w:type="dxa"/>
            <w:tcBorders>
              <w:top w:val="single" w:sz="4" w:space="0" w:color="auto"/>
              <w:bottom w:val="single" w:sz="4" w:space="0" w:color="auto"/>
            </w:tcBorders>
            <w:tcMar>
              <w:top w:w="75" w:type="dxa"/>
              <w:left w:w="75" w:type="dxa"/>
              <w:bottom w:w="75" w:type="dxa"/>
              <w:right w:w="75" w:type="dxa"/>
            </w:tcMar>
            <w:hideMark/>
          </w:tcPr>
          <w:p w14:paraId="019B4393"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RSD, %</w:t>
            </w:r>
          </w:p>
        </w:tc>
        <w:tc>
          <w:tcPr>
            <w:tcW w:w="1560" w:type="dxa"/>
            <w:tcBorders>
              <w:top w:val="single" w:sz="4" w:space="0" w:color="auto"/>
              <w:bottom w:val="single" w:sz="4" w:space="0" w:color="auto"/>
            </w:tcBorders>
            <w:tcMar>
              <w:top w:w="75" w:type="dxa"/>
              <w:left w:w="75" w:type="dxa"/>
              <w:bottom w:w="75" w:type="dxa"/>
              <w:right w:w="75" w:type="dxa"/>
            </w:tcMar>
            <w:hideMark/>
          </w:tcPr>
          <w:p w14:paraId="3C7BFD80"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Recovery, %</w:t>
            </w:r>
          </w:p>
        </w:tc>
      </w:tr>
      <w:tr w:rsidR="00906619" w:rsidRPr="00F30DF5" w14:paraId="28265468" w14:textId="77777777" w:rsidTr="00471D4C">
        <w:trPr>
          <w:trHeight w:val="227"/>
          <w:tblHeader/>
        </w:trPr>
        <w:tc>
          <w:tcPr>
            <w:tcW w:w="1351" w:type="dxa"/>
            <w:vMerge w:val="restart"/>
            <w:tcBorders>
              <w:top w:val="single" w:sz="4" w:space="0" w:color="auto"/>
            </w:tcBorders>
            <w:tcMar>
              <w:top w:w="75" w:type="dxa"/>
              <w:left w:w="75" w:type="dxa"/>
              <w:bottom w:w="75" w:type="dxa"/>
              <w:right w:w="75" w:type="dxa"/>
            </w:tcMar>
          </w:tcPr>
          <w:p w14:paraId="7D803CBC"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Tap water</w:t>
            </w:r>
          </w:p>
        </w:tc>
        <w:tc>
          <w:tcPr>
            <w:tcW w:w="1985" w:type="dxa"/>
            <w:tcBorders>
              <w:top w:val="single" w:sz="4" w:space="0" w:color="auto"/>
            </w:tcBorders>
            <w:tcMar>
              <w:top w:w="75" w:type="dxa"/>
              <w:left w:w="75" w:type="dxa"/>
              <w:bottom w:w="75" w:type="dxa"/>
              <w:right w:w="75" w:type="dxa"/>
            </w:tcMar>
          </w:tcPr>
          <w:p w14:paraId="3BA6F235"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w:t>
            </w:r>
          </w:p>
        </w:tc>
        <w:tc>
          <w:tcPr>
            <w:tcW w:w="1984" w:type="dxa"/>
            <w:tcBorders>
              <w:top w:val="single" w:sz="4" w:space="0" w:color="auto"/>
            </w:tcBorders>
            <w:tcMar>
              <w:top w:w="75" w:type="dxa"/>
              <w:left w:w="75" w:type="dxa"/>
              <w:bottom w:w="75" w:type="dxa"/>
              <w:right w:w="75" w:type="dxa"/>
            </w:tcMar>
          </w:tcPr>
          <w:p w14:paraId="0EA6A31D"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&lt; LOQ</w:t>
            </w:r>
          </w:p>
        </w:tc>
        <w:tc>
          <w:tcPr>
            <w:tcW w:w="992" w:type="dxa"/>
            <w:tcBorders>
              <w:top w:val="single" w:sz="4" w:space="0" w:color="auto"/>
            </w:tcBorders>
            <w:tcMar>
              <w:top w:w="75" w:type="dxa"/>
              <w:left w:w="75" w:type="dxa"/>
              <w:bottom w:w="75" w:type="dxa"/>
              <w:right w:w="75" w:type="dxa"/>
            </w:tcMar>
          </w:tcPr>
          <w:p w14:paraId="29CC4A6E"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w:t>
            </w:r>
          </w:p>
        </w:tc>
        <w:tc>
          <w:tcPr>
            <w:tcW w:w="1560" w:type="dxa"/>
            <w:tcBorders>
              <w:top w:val="single" w:sz="4" w:space="0" w:color="auto"/>
            </w:tcBorders>
            <w:tcMar>
              <w:top w:w="75" w:type="dxa"/>
              <w:left w:w="75" w:type="dxa"/>
              <w:bottom w:w="75" w:type="dxa"/>
              <w:right w:w="75" w:type="dxa"/>
            </w:tcMar>
          </w:tcPr>
          <w:p w14:paraId="1D502EF6"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w:t>
            </w:r>
          </w:p>
        </w:tc>
      </w:tr>
      <w:tr w:rsidR="00906619" w:rsidRPr="00F30DF5" w14:paraId="25034F4C" w14:textId="77777777" w:rsidTr="00471D4C">
        <w:tc>
          <w:tcPr>
            <w:tcW w:w="1351" w:type="dxa"/>
            <w:vMerge/>
            <w:tcMar>
              <w:top w:w="75" w:type="dxa"/>
              <w:left w:w="75" w:type="dxa"/>
              <w:bottom w:w="75" w:type="dxa"/>
              <w:right w:w="75" w:type="dxa"/>
            </w:tcMar>
            <w:hideMark/>
          </w:tcPr>
          <w:p w14:paraId="6180E6BB" w14:textId="77777777" w:rsidR="00906619" w:rsidRPr="00F30DF5" w:rsidRDefault="00906619" w:rsidP="00471D4C">
            <w:pPr>
              <w:spacing w:line="240" w:lineRule="auto"/>
              <w:jc w:val="center"/>
              <w:rPr>
                <w:rFonts w:ascii="Times New Roman" w:eastAsia="Times New Roman" w:hAnsi="Times New Roman" w:cs="Times New Roman"/>
                <w:szCs w:val="24"/>
                <w:lang w:val="en-US" w:eastAsia="uk-UA"/>
              </w:rPr>
            </w:pPr>
          </w:p>
        </w:tc>
        <w:tc>
          <w:tcPr>
            <w:tcW w:w="1985" w:type="dxa"/>
            <w:tcMar>
              <w:top w:w="75" w:type="dxa"/>
              <w:left w:w="75" w:type="dxa"/>
              <w:bottom w:w="75" w:type="dxa"/>
              <w:right w:w="75" w:type="dxa"/>
            </w:tcMar>
          </w:tcPr>
          <w:p w14:paraId="292082AE"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0.49</w:t>
            </w:r>
          </w:p>
        </w:tc>
        <w:tc>
          <w:tcPr>
            <w:tcW w:w="1984" w:type="dxa"/>
            <w:tcMar>
              <w:top w:w="75" w:type="dxa"/>
              <w:left w:w="75" w:type="dxa"/>
              <w:bottom w:w="75" w:type="dxa"/>
              <w:right w:w="75" w:type="dxa"/>
            </w:tcMar>
            <w:hideMark/>
          </w:tcPr>
          <w:p w14:paraId="5F421285"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0.48 ± 0.08</w:t>
            </w:r>
          </w:p>
        </w:tc>
        <w:tc>
          <w:tcPr>
            <w:tcW w:w="992" w:type="dxa"/>
            <w:tcMar>
              <w:top w:w="75" w:type="dxa"/>
              <w:left w:w="75" w:type="dxa"/>
              <w:bottom w:w="75" w:type="dxa"/>
              <w:right w:w="75" w:type="dxa"/>
            </w:tcMar>
          </w:tcPr>
          <w:p w14:paraId="04CD52D5"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6.8</w:t>
            </w:r>
          </w:p>
        </w:tc>
        <w:tc>
          <w:tcPr>
            <w:tcW w:w="1560" w:type="dxa"/>
            <w:tcMar>
              <w:top w:w="75" w:type="dxa"/>
              <w:left w:w="75" w:type="dxa"/>
              <w:bottom w:w="75" w:type="dxa"/>
              <w:right w:w="75" w:type="dxa"/>
            </w:tcMar>
          </w:tcPr>
          <w:p w14:paraId="53EF790A"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98.0</w:t>
            </w:r>
          </w:p>
        </w:tc>
      </w:tr>
      <w:tr w:rsidR="00906619" w:rsidRPr="00F30DF5" w14:paraId="61EFADA6" w14:textId="77777777" w:rsidTr="00471D4C">
        <w:tc>
          <w:tcPr>
            <w:tcW w:w="1351" w:type="dxa"/>
            <w:vMerge/>
            <w:hideMark/>
          </w:tcPr>
          <w:p w14:paraId="0B05E836"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p>
        </w:tc>
        <w:tc>
          <w:tcPr>
            <w:tcW w:w="1985" w:type="dxa"/>
            <w:tcMar>
              <w:top w:w="75" w:type="dxa"/>
              <w:left w:w="75" w:type="dxa"/>
              <w:bottom w:w="75" w:type="dxa"/>
              <w:right w:w="75" w:type="dxa"/>
            </w:tcMar>
          </w:tcPr>
          <w:p w14:paraId="7CAA0BAC"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0.98</w:t>
            </w:r>
          </w:p>
        </w:tc>
        <w:tc>
          <w:tcPr>
            <w:tcW w:w="1984" w:type="dxa"/>
            <w:tcMar>
              <w:top w:w="75" w:type="dxa"/>
              <w:left w:w="75" w:type="dxa"/>
              <w:bottom w:w="75" w:type="dxa"/>
              <w:right w:w="75" w:type="dxa"/>
            </w:tcMar>
            <w:hideMark/>
          </w:tcPr>
          <w:p w14:paraId="228EBE32"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1.00 ± 0.04</w:t>
            </w:r>
          </w:p>
        </w:tc>
        <w:tc>
          <w:tcPr>
            <w:tcW w:w="992" w:type="dxa"/>
            <w:tcMar>
              <w:top w:w="75" w:type="dxa"/>
              <w:left w:w="75" w:type="dxa"/>
              <w:bottom w:w="75" w:type="dxa"/>
              <w:right w:w="75" w:type="dxa"/>
            </w:tcMar>
          </w:tcPr>
          <w:p w14:paraId="59234F9E"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1.5</w:t>
            </w:r>
          </w:p>
        </w:tc>
        <w:tc>
          <w:tcPr>
            <w:tcW w:w="1560" w:type="dxa"/>
            <w:tcMar>
              <w:top w:w="75" w:type="dxa"/>
              <w:left w:w="75" w:type="dxa"/>
              <w:bottom w:w="75" w:type="dxa"/>
              <w:right w:w="75" w:type="dxa"/>
            </w:tcMar>
          </w:tcPr>
          <w:p w14:paraId="3AB236DE"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102</w:t>
            </w:r>
          </w:p>
        </w:tc>
      </w:tr>
      <w:tr w:rsidR="00906619" w:rsidRPr="00F30DF5" w14:paraId="5DFF9E0E" w14:textId="77777777" w:rsidTr="00471D4C">
        <w:tc>
          <w:tcPr>
            <w:tcW w:w="1351" w:type="dxa"/>
            <w:vMerge w:val="restart"/>
            <w:tcBorders>
              <w:bottom w:val="single" w:sz="4" w:space="0" w:color="auto"/>
            </w:tcBorders>
            <w:tcMar>
              <w:top w:w="75" w:type="dxa"/>
              <w:left w:w="75" w:type="dxa"/>
              <w:bottom w:w="75" w:type="dxa"/>
              <w:right w:w="75" w:type="dxa"/>
            </w:tcMar>
            <w:hideMark/>
          </w:tcPr>
          <w:p w14:paraId="42E5B2B0"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Well water</w:t>
            </w:r>
          </w:p>
        </w:tc>
        <w:tc>
          <w:tcPr>
            <w:tcW w:w="1985" w:type="dxa"/>
            <w:tcMar>
              <w:top w:w="75" w:type="dxa"/>
              <w:left w:w="75" w:type="dxa"/>
              <w:bottom w:w="75" w:type="dxa"/>
              <w:right w:w="75" w:type="dxa"/>
            </w:tcMar>
          </w:tcPr>
          <w:p w14:paraId="0104EDAC"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w:t>
            </w:r>
          </w:p>
        </w:tc>
        <w:tc>
          <w:tcPr>
            <w:tcW w:w="1984" w:type="dxa"/>
            <w:tcMar>
              <w:top w:w="75" w:type="dxa"/>
              <w:left w:w="75" w:type="dxa"/>
              <w:bottom w:w="75" w:type="dxa"/>
              <w:right w:w="75" w:type="dxa"/>
            </w:tcMar>
            <w:hideMark/>
          </w:tcPr>
          <w:p w14:paraId="351E89E5"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&lt; LOQ</w:t>
            </w:r>
          </w:p>
        </w:tc>
        <w:tc>
          <w:tcPr>
            <w:tcW w:w="992" w:type="dxa"/>
            <w:tcMar>
              <w:top w:w="75" w:type="dxa"/>
              <w:left w:w="75" w:type="dxa"/>
              <w:bottom w:w="75" w:type="dxa"/>
              <w:right w:w="75" w:type="dxa"/>
            </w:tcMar>
          </w:tcPr>
          <w:p w14:paraId="6F9CE8B0"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w:t>
            </w:r>
          </w:p>
        </w:tc>
        <w:tc>
          <w:tcPr>
            <w:tcW w:w="1560" w:type="dxa"/>
            <w:tcMar>
              <w:top w:w="75" w:type="dxa"/>
              <w:left w:w="75" w:type="dxa"/>
              <w:bottom w:w="75" w:type="dxa"/>
              <w:right w:w="75" w:type="dxa"/>
            </w:tcMar>
          </w:tcPr>
          <w:p w14:paraId="71978CC0"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w:t>
            </w:r>
          </w:p>
        </w:tc>
      </w:tr>
      <w:tr w:rsidR="00906619" w:rsidRPr="00F30DF5" w14:paraId="69535405" w14:textId="77777777" w:rsidTr="00471D4C">
        <w:tc>
          <w:tcPr>
            <w:tcW w:w="1351" w:type="dxa"/>
            <w:vMerge/>
            <w:tcBorders>
              <w:top w:val="single" w:sz="4" w:space="0" w:color="auto"/>
              <w:bottom w:val="single" w:sz="4" w:space="0" w:color="auto"/>
            </w:tcBorders>
            <w:hideMark/>
          </w:tcPr>
          <w:p w14:paraId="325F661D" w14:textId="77777777" w:rsidR="00906619" w:rsidRPr="00F30DF5" w:rsidRDefault="00906619" w:rsidP="00471D4C">
            <w:pPr>
              <w:spacing w:line="240" w:lineRule="auto"/>
              <w:jc w:val="left"/>
              <w:rPr>
                <w:rFonts w:ascii="Times New Roman" w:eastAsia="Times New Roman" w:hAnsi="Times New Roman" w:cs="Times New Roman"/>
                <w:szCs w:val="24"/>
                <w:lang w:val="en-US" w:eastAsia="uk-UA"/>
              </w:rPr>
            </w:pPr>
          </w:p>
        </w:tc>
        <w:tc>
          <w:tcPr>
            <w:tcW w:w="1985" w:type="dxa"/>
            <w:tcMar>
              <w:top w:w="75" w:type="dxa"/>
              <w:left w:w="75" w:type="dxa"/>
              <w:bottom w:w="75" w:type="dxa"/>
              <w:right w:w="75" w:type="dxa"/>
            </w:tcMar>
          </w:tcPr>
          <w:p w14:paraId="10DD3703"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0.49</w:t>
            </w:r>
          </w:p>
        </w:tc>
        <w:tc>
          <w:tcPr>
            <w:tcW w:w="1984" w:type="dxa"/>
            <w:tcMar>
              <w:top w:w="75" w:type="dxa"/>
              <w:left w:w="75" w:type="dxa"/>
              <w:bottom w:w="75" w:type="dxa"/>
              <w:right w:w="75" w:type="dxa"/>
            </w:tcMar>
            <w:hideMark/>
          </w:tcPr>
          <w:p w14:paraId="119424B7"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0.53 ± 0.04</w:t>
            </w:r>
          </w:p>
        </w:tc>
        <w:tc>
          <w:tcPr>
            <w:tcW w:w="992" w:type="dxa"/>
            <w:tcMar>
              <w:top w:w="75" w:type="dxa"/>
              <w:left w:w="75" w:type="dxa"/>
              <w:bottom w:w="75" w:type="dxa"/>
              <w:right w:w="75" w:type="dxa"/>
            </w:tcMar>
          </w:tcPr>
          <w:p w14:paraId="7B5143EA"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3.1</w:t>
            </w:r>
          </w:p>
        </w:tc>
        <w:tc>
          <w:tcPr>
            <w:tcW w:w="1560" w:type="dxa"/>
            <w:tcMar>
              <w:top w:w="75" w:type="dxa"/>
              <w:left w:w="75" w:type="dxa"/>
              <w:bottom w:w="75" w:type="dxa"/>
              <w:right w:w="75" w:type="dxa"/>
            </w:tcMar>
          </w:tcPr>
          <w:p w14:paraId="77A75420"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108</w:t>
            </w:r>
          </w:p>
        </w:tc>
      </w:tr>
      <w:tr w:rsidR="00906619" w:rsidRPr="00F30DF5" w14:paraId="43E65F81" w14:textId="77777777" w:rsidTr="00471D4C">
        <w:tc>
          <w:tcPr>
            <w:tcW w:w="1351" w:type="dxa"/>
            <w:vMerge/>
            <w:tcBorders>
              <w:bottom w:val="single" w:sz="4" w:space="0" w:color="auto"/>
            </w:tcBorders>
          </w:tcPr>
          <w:p w14:paraId="3CCB4285"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p>
        </w:tc>
        <w:tc>
          <w:tcPr>
            <w:tcW w:w="1985" w:type="dxa"/>
            <w:tcBorders>
              <w:bottom w:val="single" w:sz="4" w:space="0" w:color="auto"/>
            </w:tcBorders>
            <w:tcMar>
              <w:top w:w="75" w:type="dxa"/>
              <w:left w:w="75" w:type="dxa"/>
              <w:bottom w:w="75" w:type="dxa"/>
              <w:right w:w="75" w:type="dxa"/>
            </w:tcMar>
          </w:tcPr>
          <w:p w14:paraId="5CC3C813"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0.98</w:t>
            </w:r>
          </w:p>
        </w:tc>
        <w:tc>
          <w:tcPr>
            <w:tcW w:w="1984" w:type="dxa"/>
            <w:tcBorders>
              <w:bottom w:val="single" w:sz="4" w:space="0" w:color="auto"/>
            </w:tcBorders>
            <w:tcMar>
              <w:top w:w="75" w:type="dxa"/>
              <w:left w:w="75" w:type="dxa"/>
              <w:bottom w:w="75" w:type="dxa"/>
              <w:right w:w="75" w:type="dxa"/>
            </w:tcMar>
          </w:tcPr>
          <w:p w14:paraId="5DDF5FFC"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0.99 ± 0.11</w:t>
            </w:r>
          </w:p>
        </w:tc>
        <w:tc>
          <w:tcPr>
            <w:tcW w:w="992" w:type="dxa"/>
            <w:tcBorders>
              <w:bottom w:val="single" w:sz="4" w:space="0" w:color="auto"/>
            </w:tcBorders>
            <w:tcMar>
              <w:top w:w="75" w:type="dxa"/>
              <w:left w:w="75" w:type="dxa"/>
              <w:bottom w:w="75" w:type="dxa"/>
              <w:right w:w="75" w:type="dxa"/>
            </w:tcMar>
          </w:tcPr>
          <w:p w14:paraId="5D7233A4"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4.7</w:t>
            </w:r>
          </w:p>
        </w:tc>
        <w:tc>
          <w:tcPr>
            <w:tcW w:w="1560" w:type="dxa"/>
            <w:tcBorders>
              <w:bottom w:val="single" w:sz="4" w:space="0" w:color="auto"/>
            </w:tcBorders>
            <w:tcMar>
              <w:top w:w="75" w:type="dxa"/>
              <w:left w:w="75" w:type="dxa"/>
              <w:bottom w:w="75" w:type="dxa"/>
              <w:right w:w="75" w:type="dxa"/>
            </w:tcMar>
          </w:tcPr>
          <w:p w14:paraId="01340667" w14:textId="77777777" w:rsidR="00906619" w:rsidRPr="00F30DF5" w:rsidRDefault="00906619" w:rsidP="00471D4C">
            <w:pPr>
              <w:spacing w:line="240" w:lineRule="auto"/>
              <w:ind w:firstLine="0"/>
              <w:jc w:val="left"/>
              <w:rPr>
                <w:rFonts w:ascii="Times New Roman" w:eastAsia="Times New Roman" w:hAnsi="Times New Roman" w:cs="Times New Roman"/>
                <w:szCs w:val="24"/>
                <w:lang w:val="en-US" w:eastAsia="uk-UA"/>
              </w:rPr>
            </w:pPr>
            <w:r w:rsidRPr="00F30DF5">
              <w:rPr>
                <w:rFonts w:ascii="Times New Roman" w:eastAsia="Times New Roman" w:hAnsi="Times New Roman" w:cs="Times New Roman"/>
                <w:szCs w:val="24"/>
                <w:lang w:val="en-US" w:eastAsia="uk-UA"/>
              </w:rPr>
              <w:t>101</w:t>
            </w:r>
          </w:p>
        </w:tc>
      </w:tr>
    </w:tbl>
    <w:p w14:paraId="0FD8F86F" w14:textId="77777777" w:rsidR="00906619" w:rsidRPr="00F30DF5" w:rsidRDefault="00906619">
      <w:pPr>
        <w:rPr>
          <w:rFonts w:ascii="Times New Roman" w:hAnsi="Times New Roman" w:cs="Times New Roman"/>
          <w:lang w:val="en-US"/>
        </w:rPr>
      </w:pPr>
    </w:p>
    <w:sectPr w:rsidR="00906619" w:rsidRPr="00F30DF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020D" w14:textId="77777777" w:rsidR="00037197" w:rsidRDefault="00037197" w:rsidP="00717476">
      <w:pPr>
        <w:spacing w:line="240" w:lineRule="auto"/>
      </w:pPr>
      <w:r>
        <w:separator/>
      </w:r>
    </w:p>
  </w:endnote>
  <w:endnote w:type="continuationSeparator" w:id="0">
    <w:p w14:paraId="415913FC" w14:textId="77777777" w:rsidR="00037197" w:rsidRDefault="00037197" w:rsidP="00717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CCB3" w14:textId="77777777" w:rsidR="00037197" w:rsidRDefault="00037197" w:rsidP="00717476">
      <w:pPr>
        <w:spacing w:line="240" w:lineRule="auto"/>
      </w:pPr>
      <w:r>
        <w:separator/>
      </w:r>
    </w:p>
  </w:footnote>
  <w:footnote w:type="continuationSeparator" w:id="0">
    <w:p w14:paraId="6C541587" w14:textId="77777777" w:rsidR="00037197" w:rsidRDefault="00037197" w:rsidP="007174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133315"/>
      <w:docPartObj>
        <w:docPartGallery w:val="Page Numbers (Top of Page)"/>
        <w:docPartUnique/>
      </w:docPartObj>
    </w:sdtPr>
    <w:sdtContent>
      <w:p w14:paraId="006F567F" w14:textId="601944EA" w:rsidR="00717476" w:rsidRDefault="00717476">
        <w:pPr>
          <w:pStyle w:val="a4"/>
        </w:pPr>
        <w:r>
          <w:fldChar w:fldCharType="begin"/>
        </w:r>
        <w:r>
          <w:instrText>PAGE   \* MERGEFORMAT</w:instrText>
        </w:r>
        <w:r>
          <w:fldChar w:fldCharType="separate"/>
        </w:r>
        <w:r w:rsidR="001F56B1">
          <w:rPr>
            <w:noProof/>
          </w:rPr>
          <w:t>2</w:t>
        </w:r>
        <w:r>
          <w:fldChar w:fldCharType="end"/>
        </w:r>
      </w:p>
    </w:sdtContent>
  </w:sdt>
  <w:p w14:paraId="703402B1" w14:textId="77777777" w:rsidR="00717476" w:rsidRDefault="007174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BD"/>
    <w:rsid w:val="00037197"/>
    <w:rsid w:val="0004742C"/>
    <w:rsid w:val="000A6287"/>
    <w:rsid w:val="00160277"/>
    <w:rsid w:val="00194F5D"/>
    <w:rsid w:val="001F56B1"/>
    <w:rsid w:val="00202DEA"/>
    <w:rsid w:val="002243CB"/>
    <w:rsid w:val="002468DB"/>
    <w:rsid w:val="00254CFE"/>
    <w:rsid w:val="0026206C"/>
    <w:rsid w:val="00267392"/>
    <w:rsid w:val="00280CA5"/>
    <w:rsid w:val="003219D7"/>
    <w:rsid w:val="003341E7"/>
    <w:rsid w:val="003459BD"/>
    <w:rsid w:val="003F776C"/>
    <w:rsid w:val="004524E7"/>
    <w:rsid w:val="004547D8"/>
    <w:rsid w:val="004B13BF"/>
    <w:rsid w:val="00515F32"/>
    <w:rsid w:val="005232BE"/>
    <w:rsid w:val="00561BC0"/>
    <w:rsid w:val="00573441"/>
    <w:rsid w:val="005B1C01"/>
    <w:rsid w:val="005E1E0F"/>
    <w:rsid w:val="005F101B"/>
    <w:rsid w:val="0067352E"/>
    <w:rsid w:val="006E6084"/>
    <w:rsid w:val="006F45BD"/>
    <w:rsid w:val="007154DC"/>
    <w:rsid w:val="00717476"/>
    <w:rsid w:val="007229E6"/>
    <w:rsid w:val="007C594B"/>
    <w:rsid w:val="007F2967"/>
    <w:rsid w:val="00874791"/>
    <w:rsid w:val="00906619"/>
    <w:rsid w:val="00924B46"/>
    <w:rsid w:val="00982D9D"/>
    <w:rsid w:val="009A695E"/>
    <w:rsid w:val="00A1512C"/>
    <w:rsid w:val="00B0533E"/>
    <w:rsid w:val="00B05C58"/>
    <w:rsid w:val="00B31424"/>
    <w:rsid w:val="00B37574"/>
    <w:rsid w:val="00B538C3"/>
    <w:rsid w:val="00B65D68"/>
    <w:rsid w:val="00BC03E6"/>
    <w:rsid w:val="00C05C43"/>
    <w:rsid w:val="00C7114F"/>
    <w:rsid w:val="00C75AD1"/>
    <w:rsid w:val="00CA0469"/>
    <w:rsid w:val="00CD354A"/>
    <w:rsid w:val="00D04CAD"/>
    <w:rsid w:val="00D23DF2"/>
    <w:rsid w:val="00D42C97"/>
    <w:rsid w:val="00D62628"/>
    <w:rsid w:val="00D72CE0"/>
    <w:rsid w:val="00DA1F6F"/>
    <w:rsid w:val="00DC2F99"/>
    <w:rsid w:val="00E5719F"/>
    <w:rsid w:val="00EC2E82"/>
    <w:rsid w:val="00ED3E54"/>
    <w:rsid w:val="00F30DF5"/>
    <w:rsid w:val="00F443C4"/>
    <w:rsid w:val="00F76EE3"/>
    <w:rsid w:val="00FB626F"/>
    <w:rsid w:val="00FC4C25"/>
    <w:rsid w:val="00FC6C25"/>
    <w:rsid w:val="00FF29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4AED"/>
  <w15:docId w15:val="{907EC951-EEA7-4CEE-989B-D992A3F9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F32"/>
    <w:pPr>
      <w:spacing w:after="0" w:line="360" w:lineRule="auto"/>
      <w:ind w:firstLine="709"/>
      <w:jc w:val="both"/>
    </w:pPr>
    <w:rPr>
      <w:kern w:val="0"/>
      <w:sz w:val="24"/>
      <w14:ligatures w14:val="none"/>
    </w:rPr>
  </w:style>
  <w:style w:type="paragraph" w:styleId="1">
    <w:name w:val="heading 1"/>
    <w:basedOn w:val="a"/>
    <w:next w:val="a"/>
    <w:link w:val="10"/>
    <w:uiPriority w:val="9"/>
    <w:qFormat/>
    <w:rsid w:val="00FF29E4"/>
    <w:pPr>
      <w:keepNext/>
      <w:keepLines/>
      <w:spacing w:before="240" w:line="259" w:lineRule="auto"/>
      <w:ind w:firstLine="0"/>
      <w:jc w:val="left"/>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l1">
    <w:name w:val="Štýl1"/>
    <w:basedOn w:val="1"/>
    <w:link w:val="tl1Char"/>
    <w:autoRedefine/>
    <w:qFormat/>
    <w:rsid w:val="00D04CAD"/>
    <w:pPr>
      <w:spacing w:before="0" w:line="360" w:lineRule="auto"/>
    </w:pPr>
    <w:rPr>
      <w:b/>
    </w:rPr>
  </w:style>
  <w:style w:type="character" w:customStyle="1" w:styleId="tl1Char">
    <w:name w:val="Štýl1 Char"/>
    <w:basedOn w:val="10"/>
    <w:link w:val="tl1"/>
    <w:rsid w:val="00D04CAD"/>
    <w:rPr>
      <w:rFonts w:asciiTheme="majorHAnsi" w:eastAsiaTheme="majorEastAsia" w:hAnsiTheme="majorHAnsi" w:cstheme="majorBidi"/>
      <w:b/>
      <w:color w:val="2F5496" w:themeColor="accent1" w:themeShade="BF"/>
      <w:sz w:val="32"/>
      <w:szCs w:val="32"/>
      <w:lang w:val="en-US"/>
    </w:rPr>
  </w:style>
  <w:style w:type="character" w:customStyle="1" w:styleId="10">
    <w:name w:val="Заголовок 1 Знак"/>
    <w:basedOn w:val="a0"/>
    <w:link w:val="1"/>
    <w:uiPriority w:val="9"/>
    <w:rsid w:val="00FF29E4"/>
    <w:rPr>
      <w:rFonts w:asciiTheme="majorHAnsi" w:eastAsiaTheme="majorEastAsia" w:hAnsiTheme="majorHAnsi" w:cstheme="majorBidi"/>
      <w:color w:val="2F5496" w:themeColor="accent1" w:themeShade="BF"/>
      <w:sz w:val="32"/>
      <w:szCs w:val="32"/>
    </w:rPr>
  </w:style>
  <w:style w:type="paragraph" w:styleId="a3">
    <w:name w:val="Revision"/>
    <w:hidden/>
    <w:uiPriority w:val="99"/>
    <w:semiHidden/>
    <w:rsid w:val="00EC2E82"/>
    <w:pPr>
      <w:spacing w:after="0" w:line="240" w:lineRule="auto"/>
    </w:pPr>
    <w:rPr>
      <w:rFonts w:ascii="Times New Roman" w:hAnsi="Times New Roman"/>
      <w:kern w:val="0"/>
      <w:sz w:val="24"/>
      <w14:ligatures w14:val="none"/>
    </w:rPr>
  </w:style>
  <w:style w:type="paragraph" w:styleId="a4">
    <w:name w:val="header"/>
    <w:basedOn w:val="a"/>
    <w:link w:val="a5"/>
    <w:uiPriority w:val="99"/>
    <w:unhideWhenUsed/>
    <w:rsid w:val="00717476"/>
    <w:pPr>
      <w:tabs>
        <w:tab w:val="center" w:pos="4536"/>
        <w:tab w:val="right" w:pos="9072"/>
      </w:tabs>
      <w:spacing w:line="240" w:lineRule="auto"/>
    </w:pPr>
  </w:style>
  <w:style w:type="character" w:customStyle="1" w:styleId="a5">
    <w:name w:val="Верхний колонтитул Знак"/>
    <w:basedOn w:val="a0"/>
    <w:link w:val="a4"/>
    <w:uiPriority w:val="99"/>
    <w:rsid w:val="00717476"/>
    <w:rPr>
      <w:rFonts w:ascii="Times New Roman" w:hAnsi="Times New Roman"/>
      <w:kern w:val="0"/>
      <w:sz w:val="24"/>
      <w14:ligatures w14:val="none"/>
    </w:rPr>
  </w:style>
  <w:style w:type="paragraph" w:styleId="a6">
    <w:name w:val="footer"/>
    <w:basedOn w:val="a"/>
    <w:link w:val="a7"/>
    <w:uiPriority w:val="99"/>
    <w:unhideWhenUsed/>
    <w:rsid w:val="00717476"/>
    <w:pPr>
      <w:tabs>
        <w:tab w:val="center" w:pos="4536"/>
        <w:tab w:val="right" w:pos="9072"/>
      </w:tabs>
      <w:spacing w:line="240" w:lineRule="auto"/>
    </w:pPr>
  </w:style>
  <w:style w:type="character" w:customStyle="1" w:styleId="a7">
    <w:name w:val="Нижний колонтитул Знак"/>
    <w:basedOn w:val="a0"/>
    <w:link w:val="a6"/>
    <w:uiPriority w:val="99"/>
    <w:rsid w:val="00717476"/>
    <w:rPr>
      <w:rFonts w:ascii="Times New Roman" w:hAnsi="Times New Roman"/>
      <w:kern w:val="0"/>
      <w:sz w:val="24"/>
      <w14:ligatures w14:val="none"/>
    </w:rPr>
  </w:style>
  <w:style w:type="paragraph" w:styleId="a8">
    <w:name w:val="Balloon Text"/>
    <w:basedOn w:val="a"/>
    <w:link w:val="a9"/>
    <w:uiPriority w:val="99"/>
    <w:semiHidden/>
    <w:unhideWhenUsed/>
    <w:rsid w:val="004524E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24E7"/>
    <w:rPr>
      <w:rFonts w:ascii="Tahoma" w:hAnsi="Tahoma" w:cs="Tahoma"/>
      <w:kern w:val="0"/>
      <w:sz w:val="16"/>
      <w:szCs w:val="16"/>
      <w14:ligatures w14:val="none"/>
    </w:rPr>
  </w:style>
  <w:style w:type="character" w:styleId="aa">
    <w:name w:val="annotation reference"/>
    <w:basedOn w:val="a0"/>
    <w:uiPriority w:val="99"/>
    <w:semiHidden/>
    <w:unhideWhenUsed/>
    <w:rsid w:val="004524E7"/>
    <w:rPr>
      <w:sz w:val="16"/>
      <w:szCs w:val="16"/>
    </w:rPr>
  </w:style>
  <w:style w:type="paragraph" w:styleId="ab">
    <w:name w:val="annotation text"/>
    <w:basedOn w:val="a"/>
    <w:link w:val="ac"/>
    <w:uiPriority w:val="99"/>
    <w:semiHidden/>
    <w:unhideWhenUsed/>
    <w:rsid w:val="004524E7"/>
    <w:pPr>
      <w:spacing w:line="240" w:lineRule="auto"/>
    </w:pPr>
    <w:rPr>
      <w:sz w:val="20"/>
      <w:szCs w:val="20"/>
    </w:rPr>
  </w:style>
  <w:style w:type="character" w:customStyle="1" w:styleId="ac">
    <w:name w:val="Текст примечания Знак"/>
    <w:basedOn w:val="a0"/>
    <w:link w:val="ab"/>
    <w:uiPriority w:val="99"/>
    <w:semiHidden/>
    <w:rsid w:val="004524E7"/>
    <w:rPr>
      <w:rFonts w:ascii="Times New Roman" w:hAnsi="Times New Roman"/>
      <w:kern w:val="0"/>
      <w:sz w:val="20"/>
      <w:szCs w:val="20"/>
      <w14:ligatures w14:val="none"/>
    </w:rPr>
  </w:style>
  <w:style w:type="paragraph" w:styleId="ad">
    <w:name w:val="annotation subject"/>
    <w:basedOn w:val="ab"/>
    <w:next w:val="ab"/>
    <w:link w:val="ae"/>
    <w:uiPriority w:val="99"/>
    <w:semiHidden/>
    <w:unhideWhenUsed/>
    <w:rsid w:val="004524E7"/>
    <w:rPr>
      <w:b/>
      <w:bCs/>
    </w:rPr>
  </w:style>
  <w:style w:type="character" w:customStyle="1" w:styleId="ae">
    <w:name w:val="Тема примечания Знак"/>
    <w:basedOn w:val="ac"/>
    <w:link w:val="ad"/>
    <w:uiPriority w:val="99"/>
    <w:semiHidden/>
    <w:rsid w:val="004524E7"/>
    <w:rPr>
      <w:rFonts w:ascii="Times New Roman" w:hAnsi="Times New Roman"/>
      <w:b/>
      <w:bCs/>
      <w:kern w:val="0"/>
      <w:sz w:val="20"/>
      <w:szCs w:val="20"/>
      <w14:ligatures w14:val="none"/>
    </w:rPr>
  </w:style>
  <w:style w:type="paragraph" w:customStyle="1" w:styleId="VAFigureCaption">
    <w:name w:val="VA_Figure_Caption"/>
    <w:basedOn w:val="a"/>
    <w:next w:val="a"/>
    <w:autoRedefine/>
    <w:rsid w:val="00254CFE"/>
    <w:pPr>
      <w:spacing w:after="120" w:line="259" w:lineRule="auto"/>
      <w:ind w:firstLine="0"/>
    </w:pPr>
    <w:rPr>
      <w:rFonts w:ascii="Arno Pro" w:hAnsi="Arno Pro"/>
      <w:kern w:val="20"/>
      <w:sz w:val="18"/>
      <w:lang w:val="en-US"/>
      <w14:ligatures w14:val="standardContextual"/>
    </w:rPr>
  </w:style>
  <w:style w:type="paragraph" w:styleId="af">
    <w:name w:val="No Spacing"/>
    <w:uiPriority w:val="1"/>
    <w:qFormat/>
    <w:rsid w:val="005F101B"/>
    <w:pPr>
      <w:spacing w:after="0" w:line="240" w:lineRule="auto"/>
      <w:ind w:firstLine="709"/>
      <w:jc w:val="both"/>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0E99-C064-459D-9347-FB9ADE20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3577</Words>
  <Characters>2040</Characters>
  <Application>Microsoft Office Word</Application>
  <DocSecurity>0</DocSecurity>
  <Lines>17</Lines>
  <Paragraphs>11</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Serhii Z</cp:lastModifiedBy>
  <cp:revision>29</cp:revision>
  <dcterms:created xsi:type="dcterms:W3CDTF">2023-10-16T17:33:00Z</dcterms:created>
  <dcterms:modified xsi:type="dcterms:W3CDTF">2024-02-06T11:13:00Z</dcterms:modified>
</cp:coreProperties>
</file>