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29026311" w14:textId="16494F43" w:rsidR="00EA3D3C" w:rsidRPr="00994A3D" w:rsidRDefault="00654E8F" w:rsidP="0001436A">
      <w:pPr>
        <w:pStyle w:val="Heading1"/>
      </w:pPr>
      <w:r w:rsidRPr="00994A3D">
        <w:t xml:space="preserve">Supplementary </w:t>
      </w:r>
      <w:r w:rsidR="00295F00">
        <w:t>Methods</w:t>
      </w:r>
    </w:p>
    <w:p w14:paraId="3616014A" w14:textId="77777777" w:rsidR="004E6553" w:rsidRDefault="00AA2653" w:rsidP="00295F00">
      <w:pPr>
        <w:pStyle w:val="Heading2"/>
        <w:rPr>
          <w:lang w:val="en-GB" w:eastAsia="en-GB"/>
        </w:rPr>
      </w:pPr>
      <w:r>
        <w:rPr>
          <w:lang w:val="en-GB" w:eastAsia="en-GB"/>
        </w:rPr>
        <w:t>Zootechnical parameters</w:t>
      </w:r>
    </w:p>
    <w:p w14:paraId="2E156862" w14:textId="319ABB40" w:rsidR="00553646" w:rsidRDefault="004E6553" w:rsidP="004E6553">
      <w:r w:rsidRPr="00DA7EE7">
        <w:rPr>
          <w:rFonts w:eastAsia="Times New Roman" w:cs="Times New Roman"/>
          <w:lang w:val="en-GB" w:eastAsia="en-GB"/>
        </w:rPr>
        <w:t xml:space="preserve">Zootechnical performance parameters </w:t>
      </w:r>
      <w:r w:rsidR="00AA2653" w:rsidRPr="00DA7EE7">
        <w:rPr>
          <w:rFonts w:eastAsia="Times New Roman" w:cs="Times New Roman"/>
          <w:lang w:val="en-GB" w:eastAsia="en-GB"/>
        </w:rPr>
        <w:t xml:space="preserve">were calculated as follows: </w:t>
      </w:r>
      <w:r w:rsidR="00FF5A8E" w:rsidRPr="00DA7EE7">
        <w:t>weight gain (WG</w:t>
      </w:r>
      <w:r w:rsidR="000A5C68">
        <w:t>)</w:t>
      </w:r>
      <w:r w:rsidR="00FF5A8E" w:rsidRPr="00DA7EE7">
        <w:t xml:space="preserve"> as FBW – IBW, g, daily weight gain (DWG</w:t>
      </w:r>
      <w:r w:rsidR="000A5C68">
        <w:t>)</w:t>
      </w:r>
      <w:r w:rsidR="00FF5A8E" w:rsidRPr="00DA7EE7">
        <w:t xml:space="preserve"> as WG </w:t>
      </w:r>
      <w:r w:rsidR="00FF5A8E" w:rsidRPr="00DA7EE7">
        <w:sym w:font="Symbol" w:char="F0B4"/>
      </w:r>
      <w:r w:rsidR="00FF5A8E" w:rsidRPr="00DA7EE7">
        <w:t xml:space="preserve"> day</w:t>
      </w:r>
      <w:r w:rsidR="00FF5A8E" w:rsidRPr="00DA7EE7">
        <w:rPr>
          <w:vertAlign w:val="superscript"/>
        </w:rPr>
        <w:t>-1</w:t>
      </w:r>
      <w:r w:rsidR="00FF5A8E" w:rsidRPr="00DA7EE7">
        <w:t>, g</w:t>
      </w:r>
      <w:r w:rsidR="000A5C68">
        <w:t>;</w:t>
      </w:r>
      <w:r w:rsidR="00FF5A8E" w:rsidRPr="00DA7EE7">
        <w:t xml:space="preserve"> specific growth rate (SGR</w:t>
      </w:r>
      <w:r w:rsidR="000A5C68">
        <w:t>)</w:t>
      </w:r>
      <w:r w:rsidR="00FF5A8E" w:rsidRPr="00DA7EE7">
        <w:t xml:space="preserve"> as {100 × (ln (FBW/IBW)]} × d</w:t>
      </w:r>
      <w:r w:rsidR="00FF5A8E" w:rsidRPr="00DA7EE7">
        <w:rPr>
          <w:vertAlign w:val="superscript"/>
        </w:rPr>
        <w:t>-1</w:t>
      </w:r>
      <w:r w:rsidR="00FF5A8E" w:rsidRPr="00DA7EE7">
        <w:t xml:space="preserve"> (% BW d</w:t>
      </w:r>
      <w:r w:rsidR="00FF5A8E" w:rsidRPr="00DA7EE7">
        <w:rPr>
          <w:vertAlign w:val="superscript"/>
        </w:rPr>
        <w:t>-1</w:t>
      </w:r>
      <w:r w:rsidR="00FF5A8E" w:rsidRPr="00DA7EE7">
        <w:t>), and feed conversion ratio (FCR</w:t>
      </w:r>
      <w:r w:rsidR="00A87FD6">
        <w:t>)</w:t>
      </w:r>
      <w:r w:rsidR="00FF5A8E" w:rsidRPr="00DA7EE7">
        <w:t xml:space="preserve"> as feed intake × biomass gain</w:t>
      </w:r>
      <w:r w:rsidR="00FF5A8E" w:rsidRPr="00DA7EE7">
        <w:rPr>
          <w:vertAlign w:val="superscript"/>
        </w:rPr>
        <w:t>-1</w:t>
      </w:r>
      <w:r w:rsidR="00FF5A8E" w:rsidRPr="00DA7EE7">
        <w:t xml:space="preserve"> as fed basis</w:t>
      </w:r>
      <w:r w:rsidR="00AA2653" w:rsidRPr="00DA7EE7">
        <w:t>.</w:t>
      </w:r>
    </w:p>
    <w:p w14:paraId="4B797648" w14:textId="77777777" w:rsidR="00E85DF8" w:rsidRDefault="00E85DF8" w:rsidP="00E85DF8">
      <w:pPr>
        <w:rPr>
          <w:rFonts w:eastAsia="Times New Roman" w:cs="Times New Roman"/>
          <w:szCs w:val="24"/>
          <w:lang w:val="en-GB" w:eastAsia="en-GB"/>
        </w:rPr>
      </w:pPr>
      <w:r>
        <w:rPr>
          <w:rFonts w:eastAsia="Times New Roman" w:cs="Times New Roman"/>
          <w:szCs w:val="24"/>
          <w:lang w:val="en-GB" w:eastAsia="en-GB"/>
        </w:rPr>
        <w:t>F</w:t>
      </w:r>
      <w:r w:rsidRPr="008F5C22">
        <w:rPr>
          <w:rFonts w:eastAsia="Times New Roman" w:cs="Times New Roman"/>
          <w:szCs w:val="24"/>
          <w:lang w:val="en-GB" w:eastAsia="en-GB"/>
        </w:rPr>
        <w:t xml:space="preserve">BW = final body </w:t>
      </w:r>
      <w:proofErr w:type="gramStart"/>
      <w:r w:rsidRPr="008F5C22">
        <w:rPr>
          <w:rFonts w:eastAsia="Times New Roman" w:cs="Times New Roman"/>
          <w:szCs w:val="24"/>
          <w:lang w:val="en-GB" w:eastAsia="en-GB"/>
        </w:rPr>
        <w:t>weight;</w:t>
      </w:r>
      <w:proofErr w:type="gramEnd"/>
    </w:p>
    <w:p w14:paraId="0DBB7749" w14:textId="77777777" w:rsidR="00E85DF8" w:rsidRDefault="00E85DF8" w:rsidP="00E85DF8">
      <w:pPr>
        <w:rPr>
          <w:rFonts w:eastAsia="Times New Roman" w:cs="Times New Roman"/>
          <w:lang w:val="en-GB" w:eastAsia="en-GB"/>
        </w:rPr>
      </w:pPr>
      <w:r>
        <w:rPr>
          <w:rFonts w:eastAsia="Times New Roman" w:cs="Times New Roman"/>
          <w:szCs w:val="24"/>
          <w:lang w:val="en-GB" w:eastAsia="en-GB"/>
        </w:rPr>
        <w:t>IBW = initial body weight</w:t>
      </w:r>
    </w:p>
    <w:p w14:paraId="5CEE67BB" w14:textId="77777777" w:rsidR="00E85DF8" w:rsidRPr="00867DD1" w:rsidRDefault="00E85DF8" w:rsidP="004E6553">
      <w:pPr>
        <w:rPr>
          <w:lang w:val="en-GB"/>
        </w:rPr>
      </w:pPr>
    </w:p>
    <w:p w14:paraId="1C480D8A" w14:textId="6A6EFB32" w:rsidR="00553646" w:rsidRDefault="00295F00" w:rsidP="00DF2E6A">
      <w:pPr>
        <w:pStyle w:val="Heading2"/>
        <w:rPr>
          <w:lang w:val="en-GB" w:eastAsia="en-GB"/>
        </w:rPr>
      </w:pPr>
      <w:r>
        <w:rPr>
          <w:lang w:val="en-GB" w:eastAsia="en-GB"/>
        </w:rPr>
        <w:t>Sampling</w:t>
      </w:r>
    </w:p>
    <w:p w14:paraId="51F0DAEF" w14:textId="77777777" w:rsidR="00295F00" w:rsidRPr="00295F00" w:rsidRDefault="00295F00" w:rsidP="00DF2E6A">
      <w:pPr>
        <w:pStyle w:val="Heading3"/>
        <w:rPr>
          <w:rFonts w:eastAsia="Times New Roman"/>
          <w:lang w:val="en-GB" w:eastAsia="en-GB"/>
        </w:rPr>
      </w:pPr>
      <w:r w:rsidRPr="00295F00">
        <w:rPr>
          <w:rFonts w:eastAsia="Times New Roman"/>
          <w:lang w:val="en-GB" w:eastAsia="en-GB"/>
        </w:rPr>
        <w:t>Whole fish samples</w:t>
      </w:r>
    </w:p>
    <w:p w14:paraId="200BD8B2" w14:textId="07DAEEF8" w:rsidR="00295F00" w:rsidRPr="00295F00" w:rsidRDefault="00295F00" w:rsidP="00295F00">
      <w:pPr>
        <w:spacing w:before="100" w:beforeAutospacing="1" w:after="100" w:afterAutospacing="1"/>
        <w:jc w:val="both"/>
        <w:rPr>
          <w:rFonts w:eastAsia="Times New Roman" w:cs="Times New Roman"/>
          <w:szCs w:val="24"/>
          <w:lang w:val="en-GB" w:eastAsia="en-GB"/>
        </w:rPr>
      </w:pPr>
      <w:r w:rsidRPr="00295F00">
        <w:rPr>
          <w:rFonts w:eastAsia="Times New Roman" w:cs="Times New Roman"/>
          <w:szCs w:val="24"/>
          <w:lang w:val="en-GB" w:eastAsia="en-GB"/>
        </w:rPr>
        <w:t xml:space="preserve">At the beginning and at the end of the trial, whole fish were sampled and frozen at -80ºC to </w:t>
      </w:r>
      <w:proofErr w:type="spellStart"/>
      <w:r w:rsidRPr="00295F00">
        <w:rPr>
          <w:rFonts w:eastAsia="Times New Roman" w:cs="Times New Roman"/>
          <w:szCs w:val="24"/>
          <w:lang w:val="en-GB" w:eastAsia="en-GB"/>
        </w:rPr>
        <w:t>analyze</w:t>
      </w:r>
      <w:proofErr w:type="spellEnd"/>
      <w:r w:rsidRPr="00295F00">
        <w:rPr>
          <w:rFonts w:eastAsia="Times New Roman" w:cs="Times New Roman"/>
          <w:szCs w:val="24"/>
          <w:lang w:val="en-GB" w:eastAsia="en-GB"/>
        </w:rPr>
        <w:t xml:space="preserve"> whole body retention. </w:t>
      </w:r>
      <w:r w:rsidR="009C7453">
        <w:rPr>
          <w:rFonts w:eastAsia="Times New Roman" w:cs="Times New Roman"/>
          <w:szCs w:val="24"/>
          <w:lang w:val="en-GB" w:eastAsia="en-GB"/>
        </w:rPr>
        <w:t xml:space="preserve">One pool of 10 fish </w:t>
      </w:r>
      <w:r w:rsidR="003009CF">
        <w:rPr>
          <w:rFonts w:eastAsia="Times New Roman" w:cs="Times New Roman"/>
          <w:szCs w:val="24"/>
          <w:lang w:val="en-GB" w:eastAsia="en-GB"/>
        </w:rPr>
        <w:t xml:space="preserve">was sampled for initial analyses, whereas at the end of the trial 3 pools (replicates) of </w:t>
      </w:r>
      <w:r w:rsidR="00574020">
        <w:rPr>
          <w:rFonts w:eastAsia="Times New Roman" w:cs="Times New Roman"/>
          <w:szCs w:val="24"/>
          <w:lang w:val="en-GB" w:eastAsia="en-GB"/>
        </w:rPr>
        <w:t>5 fish per tank were collected.</w:t>
      </w:r>
    </w:p>
    <w:p w14:paraId="0184DE4A" w14:textId="77777777" w:rsidR="00295F00" w:rsidRPr="00295F00" w:rsidRDefault="00295F00" w:rsidP="00DF2E6A">
      <w:pPr>
        <w:pStyle w:val="Heading3"/>
        <w:rPr>
          <w:rFonts w:eastAsia="Times New Roman"/>
          <w:lang w:val="en-GB" w:eastAsia="en-GB"/>
        </w:rPr>
      </w:pPr>
      <w:r w:rsidRPr="00295F00">
        <w:rPr>
          <w:rFonts w:eastAsia="Times New Roman"/>
          <w:lang w:val="en-GB" w:eastAsia="en-GB"/>
        </w:rPr>
        <w:t>Plasma samples</w:t>
      </w:r>
    </w:p>
    <w:p w14:paraId="61506425" w14:textId="52B4AE22" w:rsidR="00295F00" w:rsidRPr="00295F00" w:rsidRDefault="00295F00" w:rsidP="00295F00">
      <w:pPr>
        <w:spacing w:before="100" w:beforeAutospacing="1" w:after="100" w:afterAutospacing="1"/>
        <w:jc w:val="both"/>
        <w:rPr>
          <w:rFonts w:eastAsia="Times New Roman" w:cs="Times New Roman"/>
          <w:szCs w:val="24"/>
          <w:lang w:val="en-GB" w:eastAsia="en-GB"/>
        </w:rPr>
      </w:pPr>
      <w:r w:rsidRPr="00295F00">
        <w:rPr>
          <w:rFonts w:eastAsia="Times New Roman" w:cs="Times New Roman"/>
          <w:szCs w:val="24"/>
          <w:lang w:val="en-GB" w:eastAsia="en-GB"/>
        </w:rPr>
        <w:t>Plasma</w:t>
      </w:r>
      <w:r w:rsidR="00574020">
        <w:rPr>
          <w:rFonts w:eastAsia="Times New Roman" w:cs="Times New Roman"/>
          <w:szCs w:val="24"/>
          <w:lang w:val="en-GB" w:eastAsia="en-GB"/>
        </w:rPr>
        <w:t xml:space="preserve"> samples</w:t>
      </w:r>
      <w:r w:rsidRPr="00295F00">
        <w:rPr>
          <w:rFonts w:eastAsia="Times New Roman" w:cs="Times New Roman"/>
          <w:szCs w:val="24"/>
          <w:lang w:val="en-GB" w:eastAsia="en-GB"/>
        </w:rPr>
        <w:t xml:space="preserve"> for enzymatic and oxidative stress analysis (</w:t>
      </w:r>
      <w:r w:rsidR="00D64BE0">
        <w:rPr>
          <w:rFonts w:eastAsia="Times New Roman" w:cs="Times New Roman"/>
          <w:szCs w:val="24"/>
          <w:lang w:val="en-GB" w:eastAsia="en-GB"/>
        </w:rPr>
        <w:t>super oxide dismutase (</w:t>
      </w:r>
      <w:r w:rsidRPr="00295F00">
        <w:rPr>
          <w:rFonts w:eastAsia="Times New Roman" w:cs="Times New Roman"/>
          <w:szCs w:val="24"/>
          <w:lang w:val="en-GB" w:eastAsia="en-GB"/>
        </w:rPr>
        <w:t>SOD</w:t>
      </w:r>
      <w:r w:rsidR="00D64BE0">
        <w:rPr>
          <w:rFonts w:eastAsia="Times New Roman" w:cs="Times New Roman"/>
          <w:szCs w:val="24"/>
          <w:lang w:val="en-GB" w:eastAsia="en-GB"/>
        </w:rPr>
        <w:t>)</w:t>
      </w:r>
      <w:r w:rsidRPr="00295F00">
        <w:rPr>
          <w:rFonts w:eastAsia="Times New Roman" w:cs="Times New Roman"/>
          <w:szCs w:val="24"/>
          <w:lang w:val="en-GB" w:eastAsia="en-GB"/>
        </w:rPr>
        <w:t xml:space="preserve">, </w:t>
      </w:r>
      <w:r w:rsidR="00D64BE0">
        <w:rPr>
          <w:rFonts w:eastAsia="Times New Roman" w:cs="Times New Roman"/>
          <w:szCs w:val="24"/>
          <w:lang w:val="en-GB" w:eastAsia="en-GB"/>
        </w:rPr>
        <w:t>catalase (</w:t>
      </w:r>
      <w:r w:rsidRPr="00295F00">
        <w:rPr>
          <w:rFonts w:eastAsia="Times New Roman" w:cs="Times New Roman"/>
          <w:szCs w:val="24"/>
          <w:lang w:val="en-GB" w:eastAsia="en-GB"/>
        </w:rPr>
        <w:t>CAT</w:t>
      </w:r>
      <w:r w:rsidR="00D64BE0">
        <w:rPr>
          <w:rFonts w:eastAsia="Times New Roman" w:cs="Times New Roman"/>
          <w:szCs w:val="24"/>
          <w:lang w:val="en-GB" w:eastAsia="en-GB"/>
        </w:rPr>
        <w:t>)</w:t>
      </w:r>
      <w:r w:rsidRPr="00295F00">
        <w:rPr>
          <w:rFonts w:eastAsia="Times New Roman" w:cs="Times New Roman"/>
          <w:szCs w:val="24"/>
          <w:lang w:val="en-GB" w:eastAsia="en-GB"/>
        </w:rPr>
        <w:t xml:space="preserve">, </w:t>
      </w:r>
      <w:r w:rsidR="001960C2">
        <w:rPr>
          <w:rFonts w:eastAsia="Times New Roman" w:cs="Times New Roman"/>
          <w:szCs w:val="24"/>
          <w:lang w:val="en-GB" w:eastAsia="en-GB"/>
        </w:rPr>
        <w:t>total antioxidant power (</w:t>
      </w:r>
      <w:r w:rsidRPr="00295F00">
        <w:rPr>
          <w:rFonts w:eastAsia="Times New Roman" w:cs="Times New Roman"/>
          <w:szCs w:val="24"/>
          <w:lang w:val="en-GB" w:eastAsia="en-GB"/>
        </w:rPr>
        <w:t>PAOT</w:t>
      </w:r>
      <w:r w:rsidR="001960C2">
        <w:rPr>
          <w:rFonts w:eastAsia="Times New Roman" w:cs="Times New Roman"/>
          <w:szCs w:val="24"/>
          <w:lang w:val="en-GB" w:eastAsia="en-GB"/>
        </w:rPr>
        <w:t>)</w:t>
      </w:r>
      <w:r w:rsidRPr="00295F00">
        <w:rPr>
          <w:rFonts w:eastAsia="Times New Roman" w:cs="Times New Roman"/>
          <w:szCs w:val="24"/>
          <w:lang w:val="en-GB" w:eastAsia="en-GB"/>
        </w:rPr>
        <w:t xml:space="preserve"> and isoprostanes) </w:t>
      </w:r>
      <w:r w:rsidR="00574020">
        <w:rPr>
          <w:rFonts w:eastAsia="Times New Roman" w:cs="Times New Roman"/>
          <w:szCs w:val="24"/>
          <w:lang w:val="en-GB" w:eastAsia="en-GB"/>
        </w:rPr>
        <w:t xml:space="preserve">was taken at the end of the trial from </w:t>
      </w:r>
      <w:r w:rsidRPr="00295F00">
        <w:rPr>
          <w:rFonts w:eastAsia="Times New Roman" w:cs="Times New Roman"/>
          <w:szCs w:val="24"/>
          <w:lang w:val="en-GB" w:eastAsia="en-GB"/>
        </w:rPr>
        <w:t>5 fish per tank (15 fish per treatment).</w:t>
      </w:r>
    </w:p>
    <w:p w14:paraId="3DEA0C67" w14:textId="641EC02C" w:rsidR="00295F00" w:rsidRDefault="00295F00" w:rsidP="00295F00">
      <w:pPr>
        <w:spacing w:before="100" w:beforeAutospacing="1" w:after="100" w:afterAutospacing="1"/>
        <w:jc w:val="both"/>
        <w:rPr>
          <w:rFonts w:eastAsia="Times New Roman" w:cs="Times New Roman"/>
          <w:szCs w:val="24"/>
          <w:lang w:val="en-GB" w:eastAsia="en-GB"/>
        </w:rPr>
      </w:pPr>
      <w:r w:rsidRPr="00295F00">
        <w:rPr>
          <w:rFonts w:eastAsia="Times New Roman" w:cs="Times New Roman"/>
          <w:szCs w:val="24"/>
          <w:lang w:val="en-GB" w:eastAsia="en-GB"/>
        </w:rPr>
        <w:t xml:space="preserve">Prior to the sampling fish were individually anaesthetized using 80 mg MS222·L-1. Four mL of blood were sampled using a lithium-heparin 4.5 mL syringe and kept in ice until further processing. Blood samples were centrifuged (10 min, 2000g, 4ºC) and 1.5 mL plasma aliquots were frozen (-20ºC) until analysis. Samples were </w:t>
      </w:r>
      <w:proofErr w:type="spellStart"/>
      <w:r w:rsidRPr="00295F00">
        <w:rPr>
          <w:rFonts w:eastAsia="Times New Roman" w:cs="Times New Roman"/>
          <w:szCs w:val="24"/>
          <w:lang w:val="en-GB" w:eastAsia="en-GB"/>
        </w:rPr>
        <w:t>analyzed</w:t>
      </w:r>
      <w:proofErr w:type="spellEnd"/>
      <w:r w:rsidRPr="00295F00">
        <w:rPr>
          <w:rFonts w:eastAsia="Times New Roman" w:cs="Times New Roman"/>
          <w:szCs w:val="24"/>
          <w:lang w:val="en-GB" w:eastAsia="en-GB"/>
        </w:rPr>
        <w:t xml:space="preserve"> </w:t>
      </w:r>
      <w:proofErr w:type="gramStart"/>
      <w:r w:rsidRPr="00295F00">
        <w:rPr>
          <w:rFonts w:eastAsia="Times New Roman" w:cs="Times New Roman"/>
          <w:szCs w:val="24"/>
          <w:lang w:val="en-GB" w:eastAsia="en-GB"/>
        </w:rPr>
        <w:t>individually</w:t>
      </w:r>
      <w:proofErr w:type="gramEnd"/>
      <w:r w:rsidRPr="00295F00">
        <w:rPr>
          <w:rFonts w:eastAsia="Times New Roman" w:cs="Times New Roman"/>
          <w:szCs w:val="24"/>
          <w:lang w:val="en-GB" w:eastAsia="en-GB"/>
        </w:rPr>
        <w:t xml:space="preserve"> and tank was considered as a replicate for statistical purposes (n=3).</w:t>
      </w:r>
    </w:p>
    <w:p w14:paraId="419AC48C" w14:textId="77777777" w:rsidR="007A6CF1" w:rsidRPr="007A6CF1" w:rsidRDefault="007A6CF1" w:rsidP="00DF2E6A">
      <w:pPr>
        <w:pStyle w:val="Heading3"/>
        <w:rPr>
          <w:rFonts w:eastAsia="Times New Roman"/>
          <w:lang w:val="en-GB" w:eastAsia="en-GB"/>
        </w:rPr>
      </w:pPr>
      <w:r w:rsidRPr="007A6CF1">
        <w:rPr>
          <w:rFonts w:eastAsia="Times New Roman"/>
          <w:lang w:val="en-GB" w:eastAsia="en-GB"/>
        </w:rPr>
        <w:t>Samples for Apparent digestibility coefficient (ADC)</w:t>
      </w:r>
    </w:p>
    <w:p w14:paraId="6972FDE8" w14:textId="771A25EC" w:rsidR="007A6CF1" w:rsidRPr="007A6CF1" w:rsidRDefault="007A6CF1" w:rsidP="007A6CF1">
      <w:pPr>
        <w:spacing w:before="100" w:beforeAutospacing="1" w:after="100" w:afterAutospacing="1"/>
        <w:jc w:val="both"/>
        <w:rPr>
          <w:rFonts w:eastAsia="Times New Roman" w:cs="Times New Roman"/>
          <w:szCs w:val="24"/>
          <w:lang w:val="en-GB" w:eastAsia="en-GB"/>
        </w:rPr>
      </w:pPr>
      <w:r w:rsidRPr="007A6CF1">
        <w:rPr>
          <w:rFonts w:eastAsia="Times New Roman" w:cs="Times New Roman"/>
          <w:szCs w:val="24"/>
          <w:lang w:val="en-GB" w:eastAsia="en-GB"/>
        </w:rPr>
        <w:t>Three different faeces collection were done on the 2nd, 9th, and 16th of November 2021</w:t>
      </w:r>
      <w:r w:rsidR="009E0784">
        <w:rPr>
          <w:rFonts w:eastAsia="Times New Roman" w:cs="Times New Roman"/>
          <w:szCs w:val="24"/>
          <w:lang w:val="en-GB" w:eastAsia="en-GB"/>
        </w:rPr>
        <w:t xml:space="preserve"> </w:t>
      </w:r>
      <w:r w:rsidRPr="007A6CF1">
        <w:rPr>
          <w:rFonts w:eastAsia="Times New Roman" w:cs="Times New Roman"/>
          <w:szCs w:val="24"/>
          <w:lang w:val="en-GB" w:eastAsia="en-GB"/>
        </w:rPr>
        <w:t xml:space="preserve">to determine macro ingredient, mineral and amino acid digestibility. Animals were slightly anaesthetized (80 mg MS222·L-1) and </w:t>
      </w:r>
      <w:proofErr w:type="spellStart"/>
      <w:r w:rsidRPr="007A6CF1">
        <w:rPr>
          <w:rFonts w:eastAsia="Times New Roman" w:cs="Times New Roman"/>
          <w:szCs w:val="24"/>
          <w:lang w:val="en-GB" w:eastAsia="en-GB"/>
        </w:rPr>
        <w:t>fecal</w:t>
      </w:r>
      <w:proofErr w:type="spellEnd"/>
      <w:r w:rsidRPr="007A6CF1">
        <w:rPr>
          <w:rFonts w:eastAsia="Times New Roman" w:cs="Times New Roman"/>
          <w:szCs w:val="24"/>
          <w:lang w:val="en-GB" w:eastAsia="en-GB"/>
        </w:rPr>
        <w:t xml:space="preserve"> material from all fish in each tank was collected by manually stripping faeces from the distal portion of the intestine by applying pressure to the abdominal cavity using three passes for each fish. Samples from the three collection days were pooled and one sample per tank was lyophilized prior to storage and analysis.</w:t>
      </w:r>
    </w:p>
    <w:p w14:paraId="7B839F52" w14:textId="77777777" w:rsidR="007A6CF1" w:rsidRPr="007A6CF1" w:rsidRDefault="007A6CF1" w:rsidP="00DF2E6A">
      <w:pPr>
        <w:pStyle w:val="Heading3"/>
        <w:rPr>
          <w:rFonts w:eastAsia="Times New Roman"/>
          <w:lang w:val="en-GB" w:eastAsia="en-GB"/>
        </w:rPr>
      </w:pPr>
      <w:r w:rsidRPr="007A6CF1">
        <w:rPr>
          <w:rFonts w:eastAsia="Times New Roman"/>
          <w:lang w:val="en-GB" w:eastAsia="en-GB"/>
        </w:rPr>
        <w:lastRenderedPageBreak/>
        <w:t>Tissue samples</w:t>
      </w:r>
    </w:p>
    <w:p w14:paraId="78D421F8" w14:textId="7E463770" w:rsidR="007A6CF1" w:rsidRPr="007A6CF1" w:rsidRDefault="007A6CF1" w:rsidP="007A6CF1">
      <w:pPr>
        <w:spacing w:before="100" w:beforeAutospacing="1" w:after="100" w:afterAutospacing="1"/>
        <w:jc w:val="both"/>
        <w:rPr>
          <w:rFonts w:eastAsia="Times New Roman" w:cs="Times New Roman"/>
          <w:szCs w:val="24"/>
          <w:lang w:val="en-GB" w:eastAsia="en-GB"/>
        </w:rPr>
      </w:pPr>
      <w:r w:rsidRPr="007A6CF1">
        <w:rPr>
          <w:rFonts w:eastAsia="Times New Roman" w:cs="Times New Roman"/>
          <w:szCs w:val="24"/>
          <w:lang w:val="en-GB" w:eastAsia="en-GB"/>
        </w:rPr>
        <w:t>Liver, intestine, and white muscle</w:t>
      </w:r>
      <w:r w:rsidR="007C1BC9">
        <w:rPr>
          <w:rFonts w:eastAsia="Times New Roman" w:cs="Times New Roman"/>
          <w:szCs w:val="24"/>
          <w:lang w:val="en-GB" w:eastAsia="en-GB"/>
        </w:rPr>
        <w:t xml:space="preserve"> samples were taken</w:t>
      </w:r>
      <w:r w:rsidRPr="007A6CF1">
        <w:rPr>
          <w:rFonts w:eastAsia="Times New Roman" w:cs="Times New Roman"/>
          <w:szCs w:val="24"/>
          <w:lang w:val="en-GB" w:eastAsia="en-GB"/>
        </w:rPr>
        <w:t xml:space="preserve"> after the blood sampling</w:t>
      </w:r>
      <w:r w:rsidR="00104647">
        <w:rPr>
          <w:rFonts w:eastAsia="Times New Roman" w:cs="Times New Roman"/>
          <w:szCs w:val="24"/>
          <w:lang w:val="en-GB" w:eastAsia="en-GB"/>
        </w:rPr>
        <w:t xml:space="preserve"> (5 fish per tank; 15 replicates per treatment)</w:t>
      </w:r>
      <w:r w:rsidR="007C1BC9">
        <w:rPr>
          <w:rFonts w:eastAsia="Times New Roman" w:cs="Times New Roman"/>
          <w:szCs w:val="24"/>
          <w:lang w:val="en-GB" w:eastAsia="en-GB"/>
        </w:rPr>
        <w:t>.</w:t>
      </w:r>
      <w:r w:rsidRPr="007A6CF1">
        <w:rPr>
          <w:rFonts w:eastAsia="Times New Roman" w:cs="Times New Roman"/>
          <w:szCs w:val="24"/>
          <w:lang w:val="en-GB" w:eastAsia="en-GB"/>
        </w:rPr>
        <w:t xml:space="preserve"> </w:t>
      </w:r>
      <w:r w:rsidR="007C1BC9">
        <w:rPr>
          <w:rFonts w:eastAsia="Times New Roman" w:cs="Times New Roman"/>
          <w:szCs w:val="24"/>
          <w:lang w:val="en-GB" w:eastAsia="en-GB"/>
        </w:rPr>
        <w:t>F</w:t>
      </w:r>
      <w:r w:rsidRPr="007A6CF1">
        <w:rPr>
          <w:rFonts w:eastAsia="Times New Roman" w:cs="Times New Roman"/>
          <w:szCs w:val="24"/>
          <w:lang w:val="en-GB" w:eastAsia="en-GB"/>
        </w:rPr>
        <w:t>ish were eviscerated for the collection of the liver, posterior intestine tissue and posterior intestine content.</w:t>
      </w:r>
      <w:r w:rsidR="007C1BC9">
        <w:rPr>
          <w:rFonts w:eastAsia="Times New Roman" w:cs="Times New Roman"/>
          <w:szCs w:val="24"/>
          <w:lang w:val="en-GB" w:eastAsia="en-GB"/>
        </w:rPr>
        <w:t xml:space="preserve"> The h</w:t>
      </w:r>
      <w:r w:rsidRPr="007A6CF1">
        <w:rPr>
          <w:rFonts w:eastAsia="Times New Roman" w:cs="Times New Roman"/>
          <w:szCs w:val="24"/>
          <w:lang w:val="en-GB" w:eastAsia="en-GB"/>
        </w:rPr>
        <w:t xml:space="preserve">ead </w:t>
      </w:r>
      <w:r w:rsidR="00106F03" w:rsidRPr="007A6CF1">
        <w:rPr>
          <w:rFonts w:eastAsia="Times New Roman" w:cs="Times New Roman"/>
          <w:szCs w:val="24"/>
          <w:lang w:val="en-GB" w:eastAsia="en-GB"/>
        </w:rPr>
        <w:t>kidney</w:t>
      </w:r>
      <w:r w:rsidRPr="007A6CF1">
        <w:rPr>
          <w:rFonts w:eastAsia="Times New Roman" w:cs="Times New Roman"/>
          <w:szCs w:val="24"/>
          <w:lang w:val="en-GB" w:eastAsia="en-GB"/>
        </w:rPr>
        <w:t xml:space="preserve"> was sampled and directly analysed in the lab for oxidative burst and phagocytosis on one fish per tank</w:t>
      </w:r>
      <w:r w:rsidR="00104647">
        <w:rPr>
          <w:rFonts w:eastAsia="Times New Roman" w:cs="Times New Roman"/>
          <w:szCs w:val="24"/>
          <w:lang w:val="en-GB" w:eastAsia="en-GB"/>
        </w:rPr>
        <w:t>, on two consecutive days.</w:t>
      </w:r>
    </w:p>
    <w:p w14:paraId="664B3F78" w14:textId="2151B921" w:rsidR="009B56EB" w:rsidRPr="007A6CF1" w:rsidRDefault="009B56EB" w:rsidP="009B56EB">
      <w:pPr>
        <w:pStyle w:val="Heading3"/>
        <w:rPr>
          <w:rFonts w:eastAsia="Times New Roman"/>
          <w:lang w:val="en-GB" w:eastAsia="en-GB"/>
        </w:rPr>
      </w:pPr>
      <w:r>
        <w:rPr>
          <w:rFonts w:eastAsia="Times New Roman"/>
          <w:lang w:val="en-GB" w:eastAsia="en-GB"/>
        </w:rPr>
        <w:t>Analysis and calculations</w:t>
      </w:r>
    </w:p>
    <w:p w14:paraId="58AD31CA"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i/>
          <w:iCs/>
          <w:szCs w:val="24"/>
          <w:lang w:val="en-GB" w:eastAsia="en-GB"/>
        </w:rPr>
        <w:t xml:space="preserve">Proximate and amino acid analysis. </w:t>
      </w:r>
    </w:p>
    <w:p w14:paraId="4EA3E7A7" w14:textId="42E0FD63"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 xml:space="preserve">The analyses of the nutrient content in the feed, digesta and excreta samples were performed according to standard methods (VDLUFA 1976; AOAC, 2006). The crude protein was determined by a nitrogen analyser (FP 528, LECO, St. Joseph, USA) using the Dumas method (CP=N*6.25). Gross energy measurements were performed using an adiabatic bomb calorimeter (C 2000 basic, IKA, </w:t>
      </w:r>
      <w:proofErr w:type="spellStart"/>
      <w:r w:rsidRPr="008F5C22">
        <w:rPr>
          <w:rFonts w:eastAsia="Times New Roman" w:cs="Times New Roman"/>
          <w:szCs w:val="24"/>
          <w:lang w:val="en-GB" w:eastAsia="en-GB"/>
        </w:rPr>
        <w:t>Staufen</w:t>
      </w:r>
      <w:proofErr w:type="spellEnd"/>
      <w:r w:rsidRPr="008F5C22">
        <w:rPr>
          <w:rFonts w:eastAsia="Times New Roman" w:cs="Times New Roman"/>
          <w:szCs w:val="24"/>
          <w:lang w:val="en-GB" w:eastAsia="en-GB"/>
        </w:rPr>
        <w:t xml:space="preserve">, Germany). The content of amino acids was determined according to the method 982.30 E (a, b) </w:t>
      </w:r>
      <w:r w:rsidR="009B56EB">
        <w:rPr>
          <w:rFonts w:eastAsia="Times New Roman" w:cs="Times New Roman"/>
          <w:szCs w:val="24"/>
          <w:lang w:val="en-GB" w:eastAsia="en-GB"/>
        </w:rPr>
        <w:t>(</w:t>
      </w:r>
      <w:r w:rsidRPr="008F5C22">
        <w:rPr>
          <w:rFonts w:eastAsia="Times New Roman" w:cs="Times New Roman"/>
          <w:szCs w:val="24"/>
          <w:lang w:val="en-GB" w:eastAsia="en-GB"/>
        </w:rPr>
        <w:t>AOAC,</w:t>
      </w:r>
      <w:r w:rsidR="009B56EB">
        <w:rPr>
          <w:rFonts w:eastAsia="Times New Roman" w:cs="Times New Roman"/>
          <w:szCs w:val="24"/>
          <w:lang w:val="en-GB" w:eastAsia="en-GB"/>
        </w:rPr>
        <w:t xml:space="preserve"> </w:t>
      </w:r>
      <w:r w:rsidRPr="008F5C22">
        <w:rPr>
          <w:rFonts w:eastAsia="Times New Roman" w:cs="Times New Roman"/>
          <w:szCs w:val="24"/>
          <w:lang w:val="en-GB" w:eastAsia="en-GB"/>
        </w:rPr>
        <w:t>2006</w:t>
      </w:r>
      <w:r w:rsidR="009B56EB">
        <w:rPr>
          <w:rFonts w:eastAsia="Times New Roman" w:cs="Times New Roman"/>
          <w:szCs w:val="24"/>
          <w:lang w:val="en-GB" w:eastAsia="en-GB"/>
        </w:rPr>
        <w:t>)</w:t>
      </w:r>
      <w:r w:rsidRPr="008F5C22">
        <w:rPr>
          <w:rFonts w:eastAsia="Times New Roman" w:cs="Times New Roman"/>
          <w:szCs w:val="24"/>
          <w:lang w:val="en-GB" w:eastAsia="en-GB"/>
        </w:rPr>
        <w:t>.</w:t>
      </w:r>
      <w:r w:rsidR="00DA7EE7">
        <w:rPr>
          <w:rFonts w:eastAsia="Times New Roman" w:cs="Times New Roman"/>
          <w:szCs w:val="24"/>
          <w:lang w:val="en-GB" w:eastAsia="en-GB"/>
        </w:rPr>
        <w:t xml:space="preserve"> </w:t>
      </w:r>
      <w:r w:rsidRPr="008F5C22">
        <w:rPr>
          <w:rFonts w:eastAsia="Times New Roman" w:cs="Times New Roman"/>
          <w:szCs w:val="24"/>
          <w:lang w:val="en-GB" w:eastAsia="en-GB"/>
        </w:rPr>
        <w:t xml:space="preserve">The lipid analyses of feed were performed at the external company Larebron by hot acidic etching with hydrochloric acid, followed by continuous extraction with petroleum ether and determination with a gravimetric method. </w:t>
      </w:r>
    </w:p>
    <w:p w14:paraId="00FADA59"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i/>
          <w:iCs/>
          <w:szCs w:val="24"/>
          <w:lang w:val="en-GB" w:eastAsia="en-GB"/>
        </w:rPr>
        <w:t xml:space="preserve">Mineral analysis </w:t>
      </w:r>
    </w:p>
    <w:p w14:paraId="3297324B" w14:textId="4C65A9AA"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Yttrium oxide, Calcium, Phosphorus and Zinc concentrations in feed, excreta, whole fish, and water samples were determined by Inductively Coupled Plasma-Optical Emission Spectrometry (ICP-OES, 5100 Dual View, Agilent) with an internal method based on DIN EN ISO 11885:2007 (AOAC, 2006) after sulfuric acid mineralization.</w:t>
      </w:r>
    </w:p>
    <w:p w14:paraId="6D71364B"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i/>
          <w:iCs/>
          <w:szCs w:val="24"/>
          <w:lang w:val="en-GB" w:eastAsia="en-GB"/>
        </w:rPr>
        <w:t xml:space="preserve">Calculations </w:t>
      </w:r>
    </w:p>
    <w:p w14:paraId="2B3CD8CA"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 xml:space="preserve">The concentration of the marker in feed and excreta together with the content of the nutrients in the feed and excreta were used to calculate the Apparent Digestibility Coefficient (ADC) of nutrient according to the following equation: </w:t>
      </w:r>
    </w:p>
    <w:p w14:paraId="3B30C6E3" w14:textId="58559114" w:rsidR="00F627D4"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ADC (%) = 100 - [(</w:t>
      </w:r>
      <w:proofErr w:type="spellStart"/>
      <w:r w:rsidRPr="008F5C22">
        <w:rPr>
          <w:rFonts w:eastAsia="Times New Roman" w:cs="Times New Roman"/>
          <w:szCs w:val="24"/>
          <w:lang w:val="en-GB" w:eastAsia="en-GB"/>
        </w:rPr>
        <w:t>CMf</w:t>
      </w:r>
      <w:proofErr w:type="spellEnd"/>
      <w:r w:rsidRPr="008F5C22">
        <w:rPr>
          <w:rFonts w:eastAsia="Times New Roman" w:cs="Times New Roman"/>
          <w:szCs w:val="24"/>
          <w:lang w:val="en-GB" w:eastAsia="en-GB"/>
        </w:rPr>
        <w:t>/</w:t>
      </w:r>
      <w:proofErr w:type="spellStart"/>
      <w:r w:rsidRPr="008F5C22">
        <w:rPr>
          <w:rFonts w:eastAsia="Times New Roman" w:cs="Times New Roman"/>
          <w:szCs w:val="24"/>
          <w:lang w:val="en-GB" w:eastAsia="en-GB"/>
        </w:rPr>
        <w:t>CMe</w:t>
      </w:r>
      <w:proofErr w:type="spellEnd"/>
      <w:r w:rsidRPr="008F5C22">
        <w:rPr>
          <w:rFonts w:eastAsia="Times New Roman" w:cs="Times New Roman"/>
          <w:szCs w:val="24"/>
          <w:lang w:val="en-GB" w:eastAsia="en-GB"/>
        </w:rPr>
        <w:t>) x (</w:t>
      </w:r>
      <w:proofErr w:type="spellStart"/>
      <w:r w:rsidRPr="008F5C22">
        <w:rPr>
          <w:rFonts w:eastAsia="Times New Roman" w:cs="Times New Roman"/>
          <w:szCs w:val="24"/>
          <w:lang w:val="en-GB" w:eastAsia="en-GB"/>
        </w:rPr>
        <w:t>CNe</w:t>
      </w:r>
      <w:proofErr w:type="spellEnd"/>
      <w:r w:rsidRPr="008F5C22">
        <w:rPr>
          <w:rFonts w:eastAsia="Times New Roman" w:cs="Times New Roman"/>
          <w:szCs w:val="24"/>
          <w:lang w:val="en-GB" w:eastAsia="en-GB"/>
        </w:rPr>
        <w:t>/</w:t>
      </w:r>
      <w:proofErr w:type="spellStart"/>
      <w:r w:rsidRPr="008F5C22">
        <w:rPr>
          <w:rFonts w:eastAsia="Times New Roman" w:cs="Times New Roman"/>
          <w:szCs w:val="24"/>
          <w:lang w:val="en-GB" w:eastAsia="en-GB"/>
        </w:rPr>
        <w:t>CNf</w:t>
      </w:r>
      <w:proofErr w:type="spellEnd"/>
      <w:r w:rsidRPr="008F5C22">
        <w:rPr>
          <w:rFonts w:eastAsia="Times New Roman" w:cs="Times New Roman"/>
          <w:szCs w:val="24"/>
          <w:lang w:val="en-GB" w:eastAsia="en-GB"/>
        </w:rPr>
        <w:t>)] x 100</w:t>
      </w:r>
    </w:p>
    <w:p w14:paraId="419D9C42" w14:textId="6629371D" w:rsidR="008F5C22" w:rsidRPr="008F5C22" w:rsidRDefault="008F5C22" w:rsidP="008F5C22">
      <w:pPr>
        <w:spacing w:before="100" w:beforeAutospacing="1" w:after="100" w:afterAutospacing="1"/>
        <w:jc w:val="both"/>
        <w:rPr>
          <w:rFonts w:eastAsia="Times New Roman" w:cs="Times New Roman"/>
          <w:szCs w:val="24"/>
          <w:lang w:val="en-GB" w:eastAsia="en-GB"/>
        </w:rPr>
      </w:pPr>
      <w:proofErr w:type="spellStart"/>
      <w:r w:rsidRPr="008F5C22">
        <w:rPr>
          <w:rFonts w:eastAsia="Times New Roman" w:cs="Times New Roman"/>
          <w:szCs w:val="24"/>
          <w:lang w:val="en-GB" w:eastAsia="en-GB"/>
        </w:rPr>
        <w:t>CMf</w:t>
      </w:r>
      <w:proofErr w:type="spellEnd"/>
      <w:r w:rsidRPr="008F5C22">
        <w:rPr>
          <w:rFonts w:eastAsia="Times New Roman" w:cs="Times New Roman"/>
          <w:szCs w:val="24"/>
          <w:lang w:val="en-GB" w:eastAsia="en-GB"/>
        </w:rPr>
        <w:t xml:space="preserve"> =concentration of marker in feed; </w:t>
      </w:r>
      <w:proofErr w:type="spellStart"/>
      <w:r w:rsidRPr="008F5C22">
        <w:rPr>
          <w:rFonts w:eastAsia="Times New Roman" w:cs="Times New Roman"/>
          <w:szCs w:val="24"/>
          <w:lang w:val="en-GB" w:eastAsia="en-GB"/>
        </w:rPr>
        <w:t>CMe</w:t>
      </w:r>
      <w:proofErr w:type="spellEnd"/>
      <w:r w:rsidRPr="008F5C22">
        <w:rPr>
          <w:rFonts w:eastAsia="Times New Roman" w:cs="Times New Roman"/>
          <w:szCs w:val="24"/>
          <w:lang w:val="en-GB" w:eastAsia="en-GB"/>
        </w:rPr>
        <w:t xml:space="preserve"> =concentration of marker in </w:t>
      </w:r>
      <w:proofErr w:type="gramStart"/>
      <w:r w:rsidRPr="008F5C22">
        <w:rPr>
          <w:rFonts w:eastAsia="Times New Roman" w:cs="Times New Roman"/>
          <w:szCs w:val="24"/>
          <w:lang w:val="en-GB" w:eastAsia="en-GB"/>
        </w:rPr>
        <w:t>faeces;</w:t>
      </w:r>
      <w:proofErr w:type="gramEnd"/>
    </w:p>
    <w:p w14:paraId="56806505" w14:textId="3366A53F" w:rsidR="008F5C22" w:rsidRDefault="008F5C22" w:rsidP="008F5C22">
      <w:pPr>
        <w:spacing w:before="100" w:beforeAutospacing="1" w:after="100" w:afterAutospacing="1"/>
        <w:jc w:val="both"/>
        <w:rPr>
          <w:rFonts w:eastAsia="Times New Roman" w:cs="Times New Roman"/>
          <w:szCs w:val="24"/>
          <w:lang w:val="en-GB" w:eastAsia="en-GB"/>
        </w:rPr>
      </w:pPr>
      <w:proofErr w:type="spellStart"/>
      <w:r w:rsidRPr="008F5C22">
        <w:rPr>
          <w:rFonts w:eastAsia="Times New Roman" w:cs="Times New Roman"/>
          <w:szCs w:val="24"/>
          <w:lang w:val="en-GB" w:eastAsia="en-GB"/>
        </w:rPr>
        <w:t>CNf</w:t>
      </w:r>
      <w:proofErr w:type="spellEnd"/>
      <w:r w:rsidRPr="008F5C22">
        <w:rPr>
          <w:rFonts w:eastAsia="Times New Roman" w:cs="Times New Roman"/>
          <w:szCs w:val="24"/>
          <w:lang w:val="en-GB" w:eastAsia="en-GB"/>
        </w:rPr>
        <w:t xml:space="preserve"> = concentration of nutrient in feed; </w:t>
      </w:r>
      <w:proofErr w:type="spellStart"/>
      <w:r w:rsidRPr="008F5C22">
        <w:rPr>
          <w:rFonts w:eastAsia="Times New Roman" w:cs="Times New Roman"/>
          <w:szCs w:val="24"/>
          <w:lang w:val="en-GB" w:eastAsia="en-GB"/>
        </w:rPr>
        <w:t>CNe</w:t>
      </w:r>
      <w:proofErr w:type="spellEnd"/>
      <w:r w:rsidRPr="008F5C22">
        <w:rPr>
          <w:rFonts w:eastAsia="Times New Roman" w:cs="Times New Roman"/>
          <w:szCs w:val="24"/>
          <w:lang w:val="en-GB" w:eastAsia="en-GB"/>
        </w:rPr>
        <w:t xml:space="preserve"> =concentration of nutrient in faeces</w:t>
      </w:r>
    </w:p>
    <w:p w14:paraId="7F8681A9" w14:textId="77777777" w:rsidR="00DA7EE7" w:rsidRPr="008F5C22" w:rsidRDefault="00DA7EE7" w:rsidP="008F5C22">
      <w:pPr>
        <w:spacing w:before="100" w:beforeAutospacing="1" w:after="100" w:afterAutospacing="1"/>
        <w:jc w:val="both"/>
        <w:rPr>
          <w:rFonts w:eastAsia="Times New Roman" w:cs="Times New Roman"/>
          <w:szCs w:val="24"/>
          <w:lang w:val="en-GB" w:eastAsia="en-GB"/>
        </w:rPr>
      </w:pPr>
    </w:p>
    <w:p w14:paraId="16B050E1" w14:textId="49B921E5"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The following equation (Chen et al., 2018), was used to calculate the retention:</w:t>
      </w:r>
    </w:p>
    <w:p w14:paraId="051B75F9" w14:textId="1D854F27" w:rsidR="008F5C22" w:rsidRPr="00E90002" w:rsidRDefault="008F5C22" w:rsidP="008F5C22">
      <w:pPr>
        <w:spacing w:before="100" w:beforeAutospacing="1" w:after="100" w:afterAutospacing="1"/>
        <w:jc w:val="both"/>
        <w:rPr>
          <w:rFonts w:eastAsia="Times New Roman" w:cs="Times New Roman"/>
          <w:szCs w:val="24"/>
          <w:lang w:val="fr-FR" w:eastAsia="en-GB"/>
        </w:rPr>
      </w:pPr>
      <w:proofErr w:type="spellStart"/>
      <w:r w:rsidRPr="00E90002">
        <w:rPr>
          <w:rFonts w:eastAsia="Times New Roman" w:cs="Times New Roman"/>
          <w:szCs w:val="24"/>
          <w:lang w:val="fr-FR" w:eastAsia="en-GB"/>
        </w:rPr>
        <w:t>Nutrient</w:t>
      </w:r>
      <w:proofErr w:type="spellEnd"/>
      <w:r w:rsidRPr="00E90002">
        <w:rPr>
          <w:rFonts w:eastAsia="Times New Roman" w:cs="Times New Roman"/>
          <w:szCs w:val="24"/>
          <w:lang w:val="fr-FR" w:eastAsia="en-GB"/>
        </w:rPr>
        <w:t xml:space="preserve"> </w:t>
      </w:r>
      <w:proofErr w:type="spellStart"/>
      <w:r w:rsidRPr="00E90002">
        <w:rPr>
          <w:rFonts w:eastAsia="Times New Roman" w:cs="Times New Roman"/>
          <w:szCs w:val="24"/>
          <w:lang w:val="fr-FR" w:eastAsia="en-GB"/>
        </w:rPr>
        <w:t>Retention</w:t>
      </w:r>
      <w:proofErr w:type="spellEnd"/>
      <w:r w:rsidRPr="00E90002">
        <w:rPr>
          <w:rFonts w:eastAsia="Times New Roman" w:cs="Times New Roman"/>
          <w:szCs w:val="24"/>
          <w:lang w:val="fr-FR" w:eastAsia="en-GB"/>
        </w:rPr>
        <w:t xml:space="preserve"> (%) = 100 x [(</w:t>
      </w:r>
      <w:r w:rsidR="00E80188">
        <w:rPr>
          <w:rFonts w:eastAsia="Times New Roman" w:cs="Times New Roman"/>
          <w:szCs w:val="24"/>
          <w:lang w:val="fr-FR" w:eastAsia="en-GB"/>
        </w:rPr>
        <w:t>F</w:t>
      </w:r>
      <w:r w:rsidRPr="00E90002">
        <w:rPr>
          <w:rFonts w:eastAsia="Times New Roman" w:cs="Times New Roman"/>
          <w:szCs w:val="24"/>
          <w:lang w:val="fr-FR" w:eastAsia="en-GB"/>
        </w:rPr>
        <w:t xml:space="preserve">BW x </w:t>
      </w:r>
      <w:proofErr w:type="spellStart"/>
      <w:r w:rsidRPr="00E90002">
        <w:rPr>
          <w:rFonts w:eastAsia="Times New Roman" w:cs="Times New Roman"/>
          <w:szCs w:val="24"/>
          <w:lang w:val="fr-FR" w:eastAsia="en-GB"/>
        </w:rPr>
        <w:t>Nutrientf</w:t>
      </w:r>
      <w:proofErr w:type="spellEnd"/>
      <w:r w:rsidRPr="00E90002">
        <w:rPr>
          <w:rFonts w:eastAsia="Times New Roman" w:cs="Times New Roman"/>
          <w:szCs w:val="24"/>
          <w:lang w:val="fr-FR" w:eastAsia="en-GB"/>
        </w:rPr>
        <w:t>) - (</w:t>
      </w:r>
      <w:r w:rsidR="00E80188">
        <w:rPr>
          <w:rFonts w:eastAsia="Times New Roman" w:cs="Times New Roman"/>
          <w:szCs w:val="24"/>
          <w:lang w:val="fr-FR" w:eastAsia="en-GB"/>
        </w:rPr>
        <w:t>I</w:t>
      </w:r>
      <w:r w:rsidRPr="00E90002">
        <w:rPr>
          <w:rFonts w:eastAsia="Times New Roman" w:cs="Times New Roman"/>
          <w:szCs w:val="24"/>
          <w:lang w:val="fr-FR" w:eastAsia="en-GB"/>
        </w:rPr>
        <w:t xml:space="preserve">BW x </w:t>
      </w:r>
      <w:proofErr w:type="spellStart"/>
      <w:r w:rsidRPr="00E90002">
        <w:rPr>
          <w:rFonts w:eastAsia="Times New Roman" w:cs="Times New Roman"/>
          <w:szCs w:val="24"/>
          <w:lang w:val="fr-FR" w:eastAsia="en-GB"/>
        </w:rPr>
        <w:t>Nutrienti</w:t>
      </w:r>
      <w:proofErr w:type="spellEnd"/>
      <w:r w:rsidRPr="00E90002">
        <w:rPr>
          <w:rFonts w:eastAsia="Times New Roman" w:cs="Times New Roman"/>
          <w:szCs w:val="24"/>
          <w:lang w:val="fr-FR" w:eastAsia="en-GB"/>
        </w:rPr>
        <w:t xml:space="preserve">)] / (FI x </w:t>
      </w:r>
      <w:proofErr w:type="spellStart"/>
      <w:r w:rsidRPr="00E90002">
        <w:rPr>
          <w:rFonts w:eastAsia="Times New Roman" w:cs="Times New Roman"/>
          <w:szCs w:val="24"/>
          <w:lang w:val="fr-FR" w:eastAsia="en-GB"/>
        </w:rPr>
        <w:t>Nutrientd</w:t>
      </w:r>
      <w:proofErr w:type="spellEnd"/>
      <w:r w:rsidRPr="00E90002">
        <w:rPr>
          <w:rFonts w:eastAsia="Times New Roman" w:cs="Times New Roman"/>
          <w:szCs w:val="24"/>
          <w:lang w:val="fr-FR" w:eastAsia="en-GB"/>
        </w:rPr>
        <w:t xml:space="preserve">) </w:t>
      </w:r>
    </w:p>
    <w:p w14:paraId="098987B5" w14:textId="72441214" w:rsidR="008F5C22" w:rsidRPr="008F5C22" w:rsidRDefault="00E80188" w:rsidP="008F5C22">
      <w:pPr>
        <w:spacing w:before="100" w:beforeAutospacing="1" w:after="100" w:afterAutospacing="1"/>
        <w:jc w:val="both"/>
        <w:rPr>
          <w:rFonts w:eastAsia="Times New Roman" w:cs="Times New Roman"/>
          <w:szCs w:val="24"/>
          <w:lang w:val="en-GB" w:eastAsia="en-GB"/>
        </w:rPr>
      </w:pPr>
      <w:r>
        <w:rPr>
          <w:rFonts w:eastAsia="Times New Roman" w:cs="Times New Roman"/>
          <w:szCs w:val="24"/>
          <w:lang w:val="en-GB" w:eastAsia="en-GB"/>
        </w:rPr>
        <w:t>F</w:t>
      </w:r>
      <w:r w:rsidR="008F5C22" w:rsidRPr="008F5C22">
        <w:rPr>
          <w:rFonts w:eastAsia="Times New Roman" w:cs="Times New Roman"/>
          <w:szCs w:val="24"/>
          <w:lang w:val="en-GB" w:eastAsia="en-GB"/>
        </w:rPr>
        <w:t xml:space="preserve">BW = final body weight; </w:t>
      </w:r>
      <w:proofErr w:type="spellStart"/>
      <w:r w:rsidR="008F5C22" w:rsidRPr="008F5C22">
        <w:rPr>
          <w:rFonts w:eastAsia="Times New Roman" w:cs="Times New Roman"/>
          <w:szCs w:val="24"/>
          <w:lang w:val="en-GB" w:eastAsia="en-GB"/>
        </w:rPr>
        <w:t>Nutrientf</w:t>
      </w:r>
      <w:proofErr w:type="spellEnd"/>
      <w:r w:rsidR="008F5C22" w:rsidRPr="008F5C22">
        <w:rPr>
          <w:rFonts w:eastAsia="Times New Roman" w:cs="Times New Roman"/>
          <w:szCs w:val="24"/>
          <w:lang w:val="en-GB" w:eastAsia="en-GB"/>
        </w:rPr>
        <w:t xml:space="preserve"> = nutrient in the final biomass </w:t>
      </w:r>
    </w:p>
    <w:p w14:paraId="7C27F1B5" w14:textId="38767B9B" w:rsidR="008F5C22" w:rsidRPr="008F5C22" w:rsidRDefault="00E80188" w:rsidP="008F5C22">
      <w:pPr>
        <w:spacing w:before="100" w:beforeAutospacing="1" w:after="100" w:afterAutospacing="1"/>
        <w:jc w:val="both"/>
        <w:rPr>
          <w:rFonts w:eastAsia="Times New Roman" w:cs="Times New Roman"/>
          <w:szCs w:val="24"/>
          <w:lang w:val="en-GB" w:eastAsia="en-GB"/>
        </w:rPr>
      </w:pPr>
      <w:r>
        <w:rPr>
          <w:rFonts w:eastAsia="Times New Roman" w:cs="Times New Roman"/>
          <w:szCs w:val="24"/>
          <w:lang w:val="en-GB" w:eastAsia="en-GB"/>
        </w:rPr>
        <w:lastRenderedPageBreak/>
        <w:t>I</w:t>
      </w:r>
      <w:r w:rsidR="008F5C22" w:rsidRPr="008F5C22">
        <w:rPr>
          <w:rFonts w:eastAsia="Times New Roman" w:cs="Times New Roman"/>
          <w:szCs w:val="24"/>
          <w:lang w:val="en-GB" w:eastAsia="en-GB"/>
        </w:rPr>
        <w:t xml:space="preserve">BW = initial body weight; </w:t>
      </w:r>
      <w:proofErr w:type="spellStart"/>
      <w:r w:rsidR="008F5C22" w:rsidRPr="008F5C22">
        <w:rPr>
          <w:rFonts w:eastAsia="Times New Roman" w:cs="Times New Roman"/>
          <w:szCs w:val="24"/>
          <w:lang w:val="en-GB" w:eastAsia="en-GB"/>
        </w:rPr>
        <w:t>Nutrienti</w:t>
      </w:r>
      <w:proofErr w:type="spellEnd"/>
      <w:r w:rsidR="008F5C22" w:rsidRPr="008F5C22">
        <w:rPr>
          <w:rFonts w:eastAsia="Times New Roman" w:cs="Times New Roman"/>
          <w:szCs w:val="24"/>
          <w:lang w:val="en-GB" w:eastAsia="en-GB"/>
        </w:rPr>
        <w:t xml:space="preserve"> = nutrient in the initial biomass </w:t>
      </w:r>
    </w:p>
    <w:p w14:paraId="2370AD7C"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 xml:space="preserve">FI = feed intake; </w:t>
      </w:r>
      <w:proofErr w:type="spellStart"/>
      <w:r w:rsidRPr="008F5C22">
        <w:rPr>
          <w:rFonts w:eastAsia="Times New Roman" w:cs="Times New Roman"/>
          <w:szCs w:val="24"/>
          <w:lang w:val="en-GB" w:eastAsia="en-GB"/>
        </w:rPr>
        <w:t>Nutrientd</w:t>
      </w:r>
      <w:proofErr w:type="spellEnd"/>
      <w:r w:rsidRPr="008F5C22">
        <w:rPr>
          <w:rFonts w:eastAsia="Times New Roman" w:cs="Times New Roman"/>
          <w:szCs w:val="24"/>
          <w:lang w:val="en-GB" w:eastAsia="en-GB"/>
        </w:rPr>
        <w:t xml:space="preserve"> = nutrient in the diet </w:t>
      </w:r>
    </w:p>
    <w:p w14:paraId="5BFCF83A" w14:textId="77777777" w:rsidR="00DA7EE7" w:rsidRDefault="00DA7EE7" w:rsidP="008F5C22">
      <w:pPr>
        <w:spacing w:before="100" w:beforeAutospacing="1" w:after="100" w:afterAutospacing="1"/>
        <w:jc w:val="both"/>
        <w:rPr>
          <w:rFonts w:eastAsia="Times New Roman" w:cs="Times New Roman"/>
          <w:i/>
          <w:iCs/>
          <w:szCs w:val="24"/>
          <w:lang w:val="en-GB" w:eastAsia="en-GB"/>
        </w:rPr>
      </w:pPr>
    </w:p>
    <w:p w14:paraId="34BC23C5" w14:textId="2E21A67E"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i/>
          <w:iCs/>
          <w:szCs w:val="24"/>
          <w:lang w:val="en-GB" w:eastAsia="en-GB"/>
        </w:rPr>
        <w:t xml:space="preserve">Tissue preparation </w:t>
      </w:r>
    </w:p>
    <w:p w14:paraId="30B51F79"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 xml:space="preserve">Head kidney suspensions were obtained by gently forcing the tissue through cell strainer (40 </w:t>
      </w:r>
      <w:proofErr w:type="spellStart"/>
      <w:r w:rsidRPr="008F5C22">
        <w:rPr>
          <w:rFonts w:eastAsia="Times New Roman" w:cs="Times New Roman"/>
          <w:szCs w:val="24"/>
          <w:lang w:val="en-GB" w:eastAsia="en-GB"/>
        </w:rPr>
        <w:t>μm</w:t>
      </w:r>
      <w:proofErr w:type="spellEnd"/>
      <w:r w:rsidRPr="008F5C22">
        <w:rPr>
          <w:rFonts w:eastAsia="Times New Roman" w:cs="Times New Roman"/>
          <w:szCs w:val="24"/>
          <w:lang w:val="en-GB" w:eastAsia="en-GB"/>
        </w:rPr>
        <w:t xml:space="preserve">). The cell suspensions were placed on discontinuous </w:t>
      </w:r>
      <w:proofErr w:type="spellStart"/>
      <w:r w:rsidRPr="008F5C22">
        <w:rPr>
          <w:rFonts w:eastAsia="Times New Roman" w:cs="Times New Roman"/>
          <w:szCs w:val="24"/>
          <w:lang w:val="en-GB" w:eastAsia="en-GB"/>
        </w:rPr>
        <w:t>Percoll</w:t>
      </w:r>
      <w:proofErr w:type="spellEnd"/>
      <w:r w:rsidRPr="008F5C22">
        <w:rPr>
          <w:rFonts w:eastAsia="Times New Roman" w:cs="Times New Roman"/>
          <w:szCs w:val="24"/>
          <w:lang w:val="en-GB" w:eastAsia="en-GB"/>
        </w:rPr>
        <w:t xml:space="preserve"> gradient (34%-50%). After centrifugation, leucocytes were recovered on the two interphases. After washes, the cells were counted using flow cytometer and adjusted to 1.106 leukocytes/ml for oxidative burst analysis and 1.107 leukocytes/ml for phagocytosis analysis in L-15 complete medium (15% </w:t>
      </w:r>
      <w:proofErr w:type="spellStart"/>
      <w:r w:rsidRPr="008F5C22">
        <w:rPr>
          <w:rFonts w:eastAsia="Times New Roman" w:cs="Times New Roman"/>
          <w:szCs w:val="24"/>
          <w:lang w:val="en-GB" w:eastAsia="en-GB"/>
        </w:rPr>
        <w:t>Fetal</w:t>
      </w:r>
      <w:proofErr w:type="spellEnd"/>
      <w:r w:rsidRPr="008F5C22">
        <w:rPr>
          <w:rFonts w:eastAsia="Times New Roman" w:cs="Times New Roman"/>
          <w:szCs w:val="24"/>
          <w:lang w:val="en-GB" w:eastAsia="en-GB"/>
        </w:rPr>
        <w:t xml:space="preserve"> Calf Serum, 1% penicillin/streptomycin and 1% L-Glutamine). </w:t>
      </w:r>
    </w:p>
    <w:p w14:paraId="2F8535CE" w14:textId="77777777" w:rsidR="008F5C22" w:rsidRP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i/>
          <w:iCs/>
          <w:szCs w:val="24"/>
          <w:lang w:val="en-GB" w:eastAsia="en-GB"/>
        </w:rPr>
        <w:t xml:space="preserve">Oxidative burst measurement </w:t>
      </w:r>
    </w:p>
    <w:p w14:paraId="7B796C2C" w14:textId="7684A4B7" w:rsidR="008F5C22" w:rsidRDefault="008F5C22" w:rsidP="008F5C22">
      <w:pPr>
        <w:spacing w:before="100" w:beforeAutospacing="1" w:after="100" w:afterAutospacing="1"/>
        <w:jc w:val="both"/>
        <w:rPr>
          <w:rFonts w:eastAsia="Times New Roman" w:cs="Times New Roman"/>
          <w:szCs w:val="24"/>
          <w:lang w:val="en-GB" w:eastAsia="en-GB"/>
        </w:rPr>
      </w:pPr>
      <w:r w:rsidRPr="008F5C22">
        <w:rPr>
          <w:rFonts w:eastAsia="Times New Roman" w:cs="Times New Roman"/>
          <w:szCs w:val="24"/>
          <w:lang w:val="en-GB" w:eastAsia="en-GB"/>
        </w:rPr>
        <w:t xml:space="preserve">Leukocytes were seeded in white 96-well plates (1.105 leukocytes/well) at 22°C in complete L-15 medium. The next day, floating cells were </w:t>
      </w:r>
      <w:r w:rsidR="00E05938" w:rsidRPr="008F5C22">
        <w:rPr>
          <w:rFonts w:eastAsia="Times New Roman" w:cs="Times New Roman"/>
          <w:szCs w:val="24"/>
          <w:lang w:val="en-GB" w:eastAsia="en-GB"/>
        </w:rPr>
        <w:t>removed,</w:t>
      </w:r>
      <w:r w:rsidRPr="008F5C22">
        <w:rPr>
          <w:rFonts w:eastAsia="Times New Roman" w:cs="Times New Roman"/>
          <w:szCs w:val="24"/>
          <w:lang w:val="en-GB" w:eastAsia="en-GB"/>
        </w:rPr>
        <w:t xml:space="preserve"> and adherent cells (only phagocytes) were treated. Oxidative burst response was induced by the addition of PMA (phorbol myristate acetate) at 2 </w:t>
      </w:r>
      <w:proofErr w:type="spellStart"/>
      <w:r w:rsidRPr="008F5C22">
        <w:rPr>
          <w:rFonts w:eastAsia="Times New Roman" w:cs="Times New Roman"/>
          <w:szCs w:val="24"/>
          <w:lang w:val="en-GB" w:eastAsia="en-GB"/>
        </w:rPr>
        <w:t>μg</w:t>
      </w:r>
      <w:proofErr w:type="spellEnd"/>
      <w:r w:rsidRPr="008F5C22">
        <w:rPr>
          <w:rFonts w:eastAsia="Times New Roman" w:cs="Times New Roman"/>
          <w:szCs w:val="24"/>
          <w:lang w:val="en-GB" w:eastAsia="en-GB"/>
        </w:rPr>
        <w:t xml:space="preserve">/ml. Luminol is used as substrate to determine the total production of ROS. This reaction results in a light emission which is quantified with luminometer. Total oxidative burst response was </w:t>
      </w:r>
      <w:proofErr w:type="spellStart"/>
      <w:r w:rsidRPr="008F5C22">
        <w:rPr>
          <w:rFonts w:eastAsia="Times New Roman" w:cs="Times New Roman"/>
          <w:szCs w:val="24"/>
          <w:lang w:val="en-GB" w:eastAsia="en-GB"/>
        </w:rPr>
        <w:t>analyzed</w:t>
      </w:r>
      <w:proofErr w:type="spellEnd"/>
      <w:r w:rsidRPr="008F5C22">
        <w:rPr>
          <w:rFonts w:eastAsia="Times New Roman" w:cs="Times New Roman"/>
          <w:szCs w:val="24"/>
          <w:lang w:val="en-GB" w:eastAsia="en-GB"/>
        </w:rPr>
        <w:t xml:space="preserve"> over time (45 min) as area under curve of luminescence. Then, the area under the curve was normalized with the percentage of phagocytes in blood.</w:t>
      </w:r>
    </w:p>
    <w:p w14:paraId="32D115C4" w14:textId="77777777" w:rsidR="00C70277" w:rsidRPr="00867DD1" w:rsidRDefault="00C70277" w:rsidP="00867DD1">
      <w:pPr>
        <w:spacing w:before="100" w:beforeAutospacing="1" w:after="100" w:afterAutospacing="1"/>
        <w:jc w:val="both"/>
        <w:rPr>
          <w:rFonts w:eastAsia="Times New Roman" w:cs="Times New Roman"/>
          <w:i/>
          <w:iCs/>
          <w:szCs w:val="24"/>
          <w:lang w:val="en-GB" w:eastAsia="en-GB"/>
        </w:rPr>
      </w:pPr>
      <w:r w:rsidRPr="00867DD1">
        <w:rPr>
          <w:rFonts w:eastAsia="Times New Roman" w:cs="Times New Roman"/>
          <w:i/>
          <w:iCs/>
          <w:szCs w:val="24"/>
          <w:lang w:val="en-GB" w:eastAsia="en-GB"/>
        </w:rPr>
        <w:t>Statistical analysis</w:t>
      </w:r>
    </w:p>
    <w:p w14:paraId="02E9FE83" w14:textId="4D5AE35C" w:rsidR="00C70277" w:rsidRPr="00867DD1" w:rsidRDefault="00C70277" w:rsidP="00867DD1">
      <w:pPr>
        <w:autoSpaceDE w:val="0"/>
        <w:autoSpaceDN w:val="0"/>
        <w:adjustRightInd w:val="0"/>
        <w:spacing w:after="0"/>
        <w:jc w:val="both"/>
        <w:rPr>
          <w:rFonts w:eastAsia="Times New Roman" w:cs="Times New Roman"/>
          <w:szCs w:val="24"/>
          <w:lang w:val="en-GB" w:eastAsia="en-GB"/>
        </w:rPr>
      </w:pPr>
      <w:r w:rsidRPr="00867DD1">
        <w:rPr>
          <w:rFonts w:eastAsia="Times New Roman" w:cs="Times New Roman"/>
          <w:szCs w:val="24"/>
          <w:lang w:val="en-GB" w:eastAsia="en-GB"/>
        </w:rPr>
        <w:t xml:space="preserve">Each tank was treated as one experimental unit, n= 3. All percentage data will </w:t>
      </w:r>
      <w:proofErr w:type="gramStart"/>
      <w:r w:rsidRPr="00867DD1">
        <w:rPr>
          <w:rFonts w:eastAsia="Times New Roman" w:cs="Times New Roman"/>
          <w:szCs w:val="24"/>
          <w:lang w:val="en-GB" w:eastAsia="en-GB"/>
        </w:rPr>
        <w:t>were</w:t>
      </w:r>
      <w:proofErr w:type="gramEnd"/>
      <w:r w:rsidRPr="00867DD1">
        <w:rPr>
          <w:rFonts w:eastAsia="Times New Roman" w:cs="Times New Roman"/>
          <w:szCs w:val="24"/>
          <w:lang w:val="en-GB" w:eastAsia="en-GB"/>
        </w:rPr>
        <w:t xml:space="preserve"> arcsine transformed. Performance, retention and digestibility data were </w:t>
      </w:r>
      <w:proofErr w:type="spellStart"/>
      <w:r w:rsidRPr="00867DD1">
        <w:rPr>
          <w:rFonts w:eastAsia="Times New Roman" w:cs="Times New Roman"/>
          <w:szCs w:val="24"/>
          <w:lang w:val="en-GB" w:eastAsia="en-GB"/>
        </w:rPr>
        <w:t>analyzed</w:t>
      </w:r>
      <w:proofErr w:type="spellEnd"/>
      <w:r w:rsidRPr="00867DD1">
        <w:rPr>
          <w:rFonts w:eastAsia="Times New Roman" w:cs="Times New Roman"/>
          <w:szCs w:val="24"/>
          <w:lang w:val="en-GB" w:eastAsia="en-GB"/>
        </w:rPr>
        <w:t xml:space="preserve"> by </w:t>
      </w:r>
      <w:proofErr w:type="gramStart"/>
      <w:r w:rsidRPr="00867DD1">
        <w:rPr>
          <w:rFonts w:eastAsia="Times New Roman" w:cs="Times New Roman"/>
          <w:szCs w:val="24"/>
          <w:lang w:val="en-GB" w:eastAsia="en-GB"/>
        </w:rPr>
        <w:t>two way</w:t>
      </w:r>
      <w:proofErr w:type="gramEnd"/>
      <w:r w:rsidRPr="00867DD1">
        <w:rPr>
          <w:rFonts w:eastAsia="Times New Roman" w:cs="Times New Roman"/>
          <w:szCs w:val="24"/>
          <w:lang w:val="en-GB" w:eastAsia="en-GB"/>
        </w:rPr>
        <w:t xml:space="preserve"> ANOVA (Factors: protein source and inclusion followed by </w:t>
      </w:r>
      <w:proofErr w:type="spellStart"/>
      <w:r w:rsidRPr="00867DD1">
        <w:rPr>
          <w:rFonts w:eastAsia="Times New Roman" w:cs="Times New Roman"/>
          <w:szCs w:val="24"/>
          <w:lang w:val="en-GB" w:eastAsia="en-GB"/>
        </w:rPr>
        <w:t>posthoc</w:t>
      </w:r>
      <w:proofErr w:type="spellEnd"/>
      <w:r w:rsidRPr="00867DD1">
        <w:rPr>
          <w:rFonts w:eastAsia="Times New Roman" w:cs="Times New Roman"/>
          <w:szCs w:val="24"/>
          <w:lang w:val="en-GB" w:eastAsia="en-GB"/>
        </w:rPr>
        <w:t xml:space="preserve"> multiple comparison tests (Tukey HDS). The accepted significance level was p &lt;0.05. </w:t>
      </w:r>
      <w:proofErr w:type="gramStart"/>
      <w:r w:rsidRPr="00867DD1">
        <w:rPr>
          <w:rFonts w:eastAsia="Times New Roman" w:cs="Times New Roman"/>
          <w:szCs w:val="24"/>
          <w:lang w:val="en-GB" w:eastAsia="en-GB"/>
        </w:rPr>
        <w:t>Plasma parameters,</w:t>
      </w:r>
      <w:proofErr w:type="gramEnd"/>
      <w:r w:rsidRPr="00867DD1">
        <w:rPr>
          <w:rFonts w:eastAsia="Times New Roman" w:cs="Times New Roman"/>
          <w:szCs w:val="24"/>
          <w:lang w:val="en-GB" w:eastAsia="en-GB"/>
        </w:rPr>
        <w:t xml:space="preserve"> were </w:t>
      </w:r>
      <w:proofErr w:type="spellStart"/>
      <w:r w:rsidRPr="00867DD1">
        <w:rPr>
          <w:rFonts w:eastAsia="Times New Roman" w:cs="Times New Roman"/>
          <w:szCs w:val="24"/>
          <w:lang w:val="en-GB" w:eastAsia="en-GB"/>
        </w:rPr>
        <w:t>analyzed</w:t>
      </w:r>
      <w:proofErr w:type="spellEnd"/>
      <w:r w:rsidRPr="00867DD1">
        <w:rPr>
          <w:rFonts w:eastAsia="Times New Roman" w:cs="Times New Roman"/>
          <w:szCs w:val="24"/>
          <w:lang w:val="en-GB" w:eastAsia="en-GB"/>
        </w:rPr>
        <w:t xml:space="preserve"> by one-way ANOVA followed by the Newman-Keuls multiple comparison test. The effects of treatment were considered significant at p &lt;0.05, 1 tank = n of 1. Statistical </w:t>
      </w:r>
      <w:proofErr w:type="gramStart"/>
      <w:r w:rsidRPr="00867DD1">
        <w:rPr>
          <w:rFonts w:eastAsia="Times New Roman" w:cs="Times New Roman"/>
          <w:szCs w:val="24"/>
          <w:lang w:val="en-GB" w:eastAsia="en-GB"/>
        </w:rPr>
        <w:t>analysis</w:t>
      </w:r>
      <w:proofErr w:type="gramEnd"/>
      <w:r w:rsidRPr="00867DD1">
        <w:rPr>
          <w:rFonts w:eastAsia="Times New Roman" w:cs="Times New Roman"/>
          <w:szCs w:val="24"/>
          <w:lang w:val="en-GB" w:eastAsia="en-GB"/>
        </w:rPr>
        <w:t xml:space="preserve"> were performed using JMP 15.1.0 software.</w:t>
      </w:r>
    </w:p>
    <w:p w14:paraId="25F74381" w14:textId="77777777" w:rsidR="00536F9A" w:rsidRPr="00867DD1" w:rsidRDefault="00536F9A" w:rsidP="00994A3D">
      <w:pPr>
        <w:spacing w:before="100" w:beforeAutospacing="1" w:after="100" w:afterAutospacing="1"/>
        <w:jc w:val="both"/>
        <w:rPr>
          <w:rFonts w:eastAsia="Times New Roman" w:cs="Times New Roman"/>
          <w:i/>
          <w:iCs/>
          <w:szCs w:val="24"/>
          <w:lang w:val="en-GB" w:eastAsia="en-GB"/>
        </w:rPr>
      </w:pPr>
      <w:r w:rsidRPr="00867DD1">
        <w:rPr>
          <w:rFonts w:eastAsia="Times New Roman" w:cs="Times New Roman"/>
          <w:i/>
          <w:iCs/>
          <w:szCs w:val="24"/>
          <w:lang w:val="en-GB" w:eastAsia="en-GB"/>
        </w:rPr>
        <w:t>Environmental conditions during the trial</w:t>
      </w:r>
    </w:p>
    <w:p w14:paraId="5E584EE8" w14:textId="59AFF2D2" w:rsidR="00994A3D" w:rsidRPr="00994A3D" w:rsidRDefault="00536F9A" w:rsidP="0001436A">
      <w:pPr>
        <w:pStyle w:val="Heading1"/>
      </w:pPr>
      <w:r w:rsidRPr="00F40430">
        <w:rPr>
          <w:rFonts w:ascii="Calibri" w:eastAsia="Calibri" w:hAnsi="Calibri" w:cs="Calibri"/>
          <w:sz w:val="22"/>
        </w:rPr>
        <w:t xml:space="preserve">Levels of waterborne ammonia (total ammonia nitrogen-TAN), pH, nitrites and nitrates were maintained within the recommended limits for rainbow trout (TAN:&lt;1.0 mg/L; pH: 6.5-8.5; nitrites:&lt;0.1 mg/L; nitrates:&lt;1000 mg/L). During the trial period, pH and oxygen were maintained within 8.05±0.14 and 9.22±0.32 mg/L, </w:t>
      </w:r>
      <w:proofErr w:type="spellStart"/>
      <w:r w:rsidRPr="00F40430">
        <w:rPr>
          <w:rFonts w:ascii="Calibri" w:eastAsia="Calibri" w:hAnsi="Calibri" w:cs="Calibri"/>
          <w:sz w:val="22"/>
        </w:rPr>
        <w:t>respectively</w:t>
      </w:r>
      <w:proofErr w:type="gramStart"/>
      <w:r w:rsidRPr="00F40430">
        <w:rPr>
          <w:rFonts w:ascii="Calibri" w:eastAsia="Calibri" w:hAnsi="Calibri" w:cs="Calibri"/>
          <w:sz w:val="22"/>
        </w:rPr>
        <w:t>.</w:t>
      </w:r>
      <w:r>
        <w:rPr>
          <w:rFonts w:ascii="Calibri" w:eastAsia="Calibri" w:hAnsi="Calibri" w:cs="Calibri"/>
        </w:rPr>
        <w:t>”</w:t>
      </w:r>
      <w:r w:rsidR="00654E8F" w:rsidRPr="00994A3D">
        <w:t>Supplementary</w:t>
      </w:r>
      <w:proofErr w:type="spellEnd"/>
      <w:proofErr w:type="gramEnd"/>
      <w:r w:rsidR="00654E8F" w:rsidRPr="00994A3D">
        <w:t xml:space="preserve"> Tables</w:t>
      </w:r>
    </w:p>
    <w:p w14:paraId="5750EE82" w14:textId="1BA4D745" w:rsidR="00C87149" w:rsidRPr="001549D3" w:rsidRDefault="00C87149" w:rsidP="00C87149">
      <w:pPr>
        <w:pStyle w:val="Heading2"/>
      </w:pPr>
      <w:r w:rsidRPr="0001436A">
        <w:t>Supplementary</w:t>
      </w:r>
      <w:r w:rsidRPr="001549D3">
        <w:t xml:space="preserve"> </w:t>
      </w:r>
      <w:r>
        <w:t>Tables</w:t>
      </w:r>
    </w:p>
    <w:p w14:paraId="3E8403FD" w14:textId="77777777" w:rsidR="008813CD" w:rsidRDefault="008813CD" w:rsidP="008813CD">
      <w:pPr>
        <w:pStyle w:val="Caption"/>
      </w:pPr>
      <w:r w:rsidRPr="009B56EB">
        <w:t>Supplementary Table 1. Feed diets composition</w:t>
      </w:r>
    </w:p>
    <w:tbl>
      <w:tblPr>
        <w:tblStyle w:val="TableGrid"/>
        <w:tblW w:w="0" w:type="auto"/>
        <w:tblLook w:val="04A0" w:firstRow="1" w:lastRow="0" w:firstColumn="1" w:lastColumn="0" w:noHBand="0" w:noVBand="1"/>
      </w:tblPr>
      <w:tblGrid>
        <w:gridCol w:w="1403"/>
        <w:gridCol w:w="1206"/>
        <w:gridCol w:w="1193"/>
        <w:gridCol w:w="1193"/>
        <w:gridCol w:w="1193"/>
        <w:gridCol w:w="1193"/>
        <w:gridCol w:w="1193"/>
        <w:gridCol w:w="1193"/>
      </w:tblGrid>
      <w:tr w:rsidR="00815DC9" w:rsidRPr="00E43E0B" w14:paraId="6931951D" w14:textId="77777777" w:rsidTr="00815DC9">
        <w:trPr>
          <w:tblHeader/>
        </w:trPr>
        <w:tc>
          <w:tcPr>
            <w:tcW w:w="1403" w:type="dxa"/>
            <w:vAlign w:val="center"/>
          </w:tcPr>
          <w:p w14:paraId="2792B135" w14:textId="77777777" w:rsidR="00815DC9" w:rsidRPr="00E43E0B" w:rsidRDefault="00815DC9" w:rsidP="00815DC9">
            <w:pPr>
              <w:pStyle w:val="NoSpacing"/>
              <w:jc w:val="center"/>
              <w:rPr>
                <w:b/>
                <w:bCs/>
              </w:rPr>
            </w:pPr>
            <w:r w:rsidRPr="00E43E0B">
              <w:rPr>
                <w:b/>
                <w:bCs/>
              </w:rPr>
              <w:t>Ingredient</w:t>
            </w:r>
          </w:p>
        </w:tc>
        <w:tc>
          <w:tcPr>
            <w:tcW w:w="1206" w:type="dxa"/>
            <w:vAlign w:val="center"/>
          </w:tcPr>
          <w:p w14:paraId="41A5159F" w14:textId="77777777" w:rsidR="00815DC9" w:rsidRPr="00E43E0B" w:rsidRDefault="00815DC9" w:rsidP="00815DC9">
            <w:pPr>
              <w:pStyle w:val="NoSpacing"/>
              <w:jc w:val="center"/>
              <w:rPr>
                <w:b/>
                <w:bCs/>
              </w:rPr>
            </w:pPr>
            <w:r w:rsidRPr="00E43E0B">
              <w:rPr>
                <w:b/>
                <w:bCs/>
              </w:rPr>
              <w:t>Control</w:t>
            </w:r>
          </w:p>
        </w:tc>
        <w:tc>
          <w:tcPr>
            <w:tcW w:w="1193" w:type="dxa"/>
            <w:vAlign w:val="center"/>
          </w:tcPr>
          <w:p w14:paraId="753B46A8" w14:textId="77777777" w:rsidR="00815DC9" w:rsidRPr="00E43E0B" w:rsidRDefault="00815DC9" w:rsidP="00815DC9">
            <w:pPr>
              <w:pStyle w:val="NoSpacing"/>
              <w:jc w:val="center"/>
              <w:rPr>
                <w:b/>
                <w:bCs/>
              </w:rPr>
            </w:pPr>
            <w:r w:rsidRPr="00E43E0B">
              <w:rPr>
                <w:b/>
                <w:bCs/>
              </w:rPr>
              <w:t>SCP1 - 5</w:t>
            </w:r>
          </w:p>
        </w:tc>
        <w:tc>
          <w:tcPr>
            <w:tcW w:w="1193" w:type="dxa"/>
            <w:vAlign w:val="center"/>
          </w:tcPr>
          <w:p w14:paraId="7E128952" w14:textId="77777777" w:rsidR="00815DC9" w:rsidRPr="00E43E0B" w:rsidRDefault="00815DC9" w:rsidP="00815DC9">
            <w:pPr>
              <w:pStyle w:val="NoSpacing"/>
              <w:jc w:val="center"/>
              <w:rPr>
                <w:b/>
                <w:bCs/>
              </w:rPr>
            </w:pPr>
            <w:r w:rsidRPr="00E43E0B">
              <w:rPr>
                <w:b/>
                <w:bCs/>
              </w:rPr>
              <w:t>SCP1 - 10</w:t>
            </w:r>
          </w:p>
        </w:tc>
        <w:tc>
          <w:tcPr>
            <w:tcW w:w="1193" w:type="dxa"/>
            <w:vAlign w:val="center"/>
          </w:tcPr>
          <w:p w14:paraId="282B1D61" w14:textId="77777777" w:rsidR="00815DC9" w:rsidRPr="00E43E0B" w:rsidRDefault="00815DC9" w:rsidP="00815DC9">
            <w:pPr>
              <w:pStyle w:val="NoSpacing"/>
              <w:jc w:val="center"/>
              <w:rPr>
                <w:b/>
                <w:bCs/>
              </w:rPr>
            </w:pPr>
            <w:r w:rsidRPr="00E43E0B">
              <w:rPr>
                <w:b/>
                <w:bCs/>
              </w:rPr>
              <w:t>SCP1 - 20</w:t>
            </w:r>
          </w:p>
        </w:tc>
        <w:tc>
          <w:tcPr>
            <w:tcW w:w="1193" w:type="dxa"/>
            <w:vAlign w:val="center"/>
          </w:tcPr>
          <w:p w14:paraId="1912DF31" w14:textId="77777777" w:rsidR="00815DC9" w:rsidRPr="00E43E0B" w:rsidRDefault="00815DC9" w:rsidP="00815DC9">
            <w:pPr>
              <w:pStyle w:val="NoSpacing"/>
              <w:jc w:val="center"/>
              <w:rPr>
                <w:b/>
                <w:bCs/>
              </w:rPr>
            </w:pPr>
            <w:r w:rsidRPr="00E43E0B">
              <w:rPr>
                <w:b/>
                <w:bCs/>
              </w:rPr>
              <w:t>SCP2 - 5</w:t>
            </w:r>
          </w:p>
        </w:tc>
        <w:tc>
          <w:tcPr>
            <w:tcW w:w="1193" w:type="dxa"/>
            <w:vAlign w:val="center"/>
          </w:tcPr>
          <w:p w14:paraId="0409232F" w14:textId="77777777" w:rsidR="00815DC9" w:rsidRPr="00E43E0B" w:rsidRDefault="00815DC9" w:rsidP="00815DC9">
            <w:pPr>
              <w:pStyle w:val="NoSpacing"/>
              <w:jc w:val="center"/>
              <w:rPr>
                <w:b/>
                <w:bCs/>
              </w:rPr>
            </w:pPr>
            <w:r w:rsidRPr="00E43E0B">
              <w:rPr>
                <w:b/>
                <w:bCs/>
              </w:rPr>
              <w:t>SCP2 - 10</w:t>
            </w:r>
          </w:p>
        </w:tc>
        <w:tc>
          <w:tcPr>
            <w:tcW w:w="1193" w:type="dxa"/>
            <w:vAlign w:val="center"/>
          </w:tcPr>
          <w:p w14:paraId="6D978761" w14:textId="77777777" w:rsidR="00815DC9" w:rsidRPr="00E43E0B" w:rsidRDefault="00815DC9" w:rsidP="00815DC9">
            <w:pPr>
              <w:pStyle w:val="NoSpacing"/>
              <w:jc w:val="center"/>
              <w:rPr>
                <w:b/>
                <w:bCs/>
              </w:rPr>
            </w:pPr>
            <w:r w:rsidRPr="00E43E0B">
              <w:rPr>
                <w:b/>
                <w:bCs/>
              </w:rPr>
              <w:t>SCP2 - 20</w:t>
            </w:r>
          </w:p>
        </w:tc>
      </w:tr>
      <w:tr w:rsidR="00815DC9" w14:paraId="1CCC1822" w14:textId="77777777" w:rsidTr="00D90B4B">
        <w:tc>
          <w:tcPr>
            <w:tcW w:w="1403" w:type="dxa"/>
          </w:tcPr>
          <w:p w14:paraId="2E32638F" w14:textId="77777777" w:rsidR="00815DC9" w:rsidRDefault="00815DC9" w:rsidP="00D90B4B">
            <w:pPr>
              <w:pStyle w:val="NoSpacing"/>
            </w:pPr>
            <w:r>
              <w:t>Fish meal</w:t>
            </w:r>
            <w:r w:rsidRPr="002871AA">
              <w:rPr>
                <w:vertAlign w:val="superscript"/>
              </w:rPr>
              <w:t>1</w:t>
            </w:r>
          </w:p>
        </w:tc>
        <w:tc>
          <w:tcPr>
            <w:tcW w:w="1206" w:type="dxa"/>
            <w:vAlign w:val="center"/>
          </w:tcPr>
          <w:p w14:paraId="5E223F9C" w14:textId="77777777" w:rsidR="00815DC9" w:rsidRDefault="00815DC9" w:rsidP="00D90B4B">
            <w:pPr>
              <w:pStyle w:val="NoSpacing"/>
              <w:jc w:val="center"/>
            </w:pPr>
            <w:r>
              <w:t>10</w:t>
            </w:r>
          </w:p>
        </w:tc>
        <w:tc>
          <w:tcPr>
            <w:tcW w:w="1193" w:type="dxa"/>
            <w:vAlign w:val="center"/>
          </w:tcPr>
          <w:p w14:paraId="62EF3BA1" w14:textId="77777777" w:rsidR="00815DC9" w:rsidRDefault="00815DC9" w:rsidP="00D90B4B">
            <w:pPr>
              <w:pStyle w:val="NoSpacing"/>
              <w:jc w:val="center"/>
            </w:pPr>
            <w:r>
              <w:t>5</w:t>
            </w:r>
          </w:p>
        </w:tc>
        <w:tc>
          <w:tcPr>
            <w:tcW w:w="1193" w:type="dxa"/>
            <w:vAlign w:val="center"/>
          </w:tcPr>
          <w:p w14:paraId="0ECF8847" w14:textId="77777777" w:rsidR="00815DC9" w:rsidRDefault="00815DC9" w:rsidP="00D90B4B">
            <w:pPr>
              <w:pStyle w:val="NoSpacing"/>
              <w:jc w:val="center"/>
            </w:pPr>
            <w:r>
              <w:t>0</w:t>
            </w:r>
          </w:p>
        </w:tc>
        <w:tc>
          <w:tcPr>
            <w:tcW w:w="1193" w:type="dxa"/>
            <w:vAlign w:val="center"/>
          </w:tcPr>
          <w:p w14:paraId="4AABB7C7" w14:textId="77777777" w:rsidR="00815DC9" w:rsidRDefault="00815DC9" w:rsidP="00D90B4B">
            <w:pPr>
              <w:pStyle w:val="NoSpacing"/>
              <w:jc w:val="center"/>
            </w:pPr>
            <w:r>
              <w:t>0</w:t>
            </w:r>
          </w:p>
        </w:tc>
        <w:tc>
          <w:tcPr>
            <w:tcW w:w="1193" w:type="dxa"/>
            <w:vAlign w:val="center"/>
          </w:tcPr>
          <w:p w14:paraId="38B618AC" w14:textId="77777777" w:rsidR="00815DC9" w:rsidRDefault="00815DC9" w:rsidP="00D90B4B">
            <w:pPr>
              <w:pStyle w:val="NoSpacing"/>
              <w:jc w:val="center"/>
            </w:pPr>
            <w:r>
              <w:t>5</w:t>
            </w:r>
          </w:p>
        </w:tc>
        <w:tc>
          <w:tcPr>
            <w:tcW w:w="1193" w:type="dxa"/>
            <w:vAlign w:val="center"/>
          </w:tcPr>
          <w:p w14:paraId="3CDD4DFC" w14:textId="77777777" w:rsidR="00815DC9" w:rsidRDefault="00815DC9" w:rsidP="00D90B4B">
            <w:pPr>
              <w:pStyle w:val="NoSpacing"/>
              <w:jc w:val="center"/>
            </w:pPr>
            <w:r>
              <w:t>0</w:t>
            </w:r>
          </w:p>
        </w:tc>
        <w:tc>
          <w:tcPr>
            <w:tcW w:w="1193" w:type="dxa"/>
            <w:vAlign w:val="center"/>
          </w:tcPr>
          <w:p w14:paraId="11058BAD" w14:textId="77777777" w:rsidR="00815DC9" w:rsidRDefault="00815DC9" w:rsidP="00D90B4B">
            <w:pPr>
              <w:pStyle w:val="NoSpacing"/>
              <w:jc w:val="center"/>
            </w:pPr>
            <w:r>
              <w:t>0</w:t>
            </w:r>
          </w:p>
        </w:tc>
      </w:tr>
      <w:tr w:rsidR="00815DC9" w14:paraId="4FC73A91" w14:textId="77777777" w:rsidTr="00D90B4B">
        <w:tc>
          <w:tcPr>
            <w:tcW w:w="1403" w:type="dxa"/>
          </w:tcPr>
          <w:p w14:paraId="5CC6913D" w14:textId="77777777" w:rsidR="00815DC9" w:rsidRDefault="00815DC9" w:rsidP="00D90B4B">
            <w:pPr>
              <w:pStyle w:val="NoSpacing"/>
            </w:pPr>
            <w:r>
              <w:lastRenderedPageBreak/>
              <w:t>Soybean meal</w:t>
            </w:r>
          </w:p>
        </w:tc>
        <w:tc>
          <w:tcPr>
            <w:tcW w:w="1206" w:type="dxa"/>
            <w:vAlign w:val="center"/>
          </w:tcPr>
          <w:p w14:paraId="48BEB68A" w14:textId="77777777" w:rsidR="00815DC9" w:rsidRDefault="00815DC9" w:rsidP="00D90B4B">
            <w:pPr>
              <w:pStyle w:val="NoSpacing"/>
              <w:jc w:val="center"/>
            </w:pPr>
            <w:r>
              <w:t>5</w:t>
            </w:r>
          </w:p>
        </w:tc>
        <w:tc>
          <w:tcPr>
            <w:tcW w:w="1193" w:type="dxa"/>
            <w:vAlign w:val="center"/>
          </w:tcPr>
          <w:p w14:paraId="576D9CC1" w14:textId="77777777" w:rsidR="00815DC9" w:rsidRDefault="00815DC9" w:rsidP="00D90B4B">
            <w:pPr>
              <w:pStyle w:val="NoSpacing"/>
              <w:jc w:val="center"/>
            </w:pPr>
            <w:r>
              <w:t>5</w:t>
            </w:r>
          </w:p>
        </w:tc>
        <w:tc>
          <w:tcPr>
            <w:tcW w:w="1193" w:type="dxa"/>
            <w:vAlign w:val="center"/>
          </w:tcPr>
          <w:p w14:paraId="2323830A" w14:textId="77777777" w:rsidR="00815DC9" w:rsidRDefault="00815DC9" w:rsidP="00D90B4B">
            <w:pPr>
              <w:pStyle w:val="NoSpacing"/>
              <w:jc w:val="center"/>
            </w:pPr>
            <w:r>
              <w:t>6</w:t>
            </w:r>
          </w:p>
        </w:tc>
        <w:tc>
          <w:tcPr>
            <w:tcW w:w="1193" w:type="dxa"/>
            <w:vAlign w:val="center"/>
          </w:tcPr>
          <w:p w14:paraId="2466D1D4" w14:textId="77777777" w:rsidR="00815DC9" w:rsidRDefault="00815DC9" w:rsidP="00D90B4B">
            <w:pPr>
              <w:pStyle w:val="NoSpacing"/>
              <w:jc w:val="center"/>
            </w:pPr>
            <w:r>
              <w:t>3</w:t>
            </w:r>
          </w:p>
        </w:tc>
        <w:tc>
          <w:tcPr>
            <w:tcW w:w="1193" w:type="dxa"/>
            <w:vAlign w:val="center"/>
          </w:tcPr>
          <w:p w14:paraId="178C7887" w14:textId="77777777" w:rsidR="00815DC9" w:rsidRDefault="00815DC9" w:rsidP="00D90B4B">
            <w:pPr>
              <w:pStyle w:val="NoSpacing"/>
              <w:jc w:val="center"/>
            </w:pPr>
            <w:r>
              <w:t>5</w:t>
            </w:r>
          </w:p>
        </w:tc>
        <w:tc>
          <w:tcPr>
            <w:tcW w:w="1193" w:type="dxa"/>
            <w:vAlign w:val="center"/>
          </w:tcPr>
          <w:p w14:paraId="02F8839A" w14:textId="77777777" w:rsidR="00815DC9" w:rsidRDefault="00815DC9" w:rsidP="00D90B4B">
            <w:pPr>
              <w:pStyle w:val="NoSpacing"/>
              <w:jc w:val="center"/>
            </w:pPr>
            <w:r>
              <w:t>6</w:t>
            </w:r>
          </w:p>
        </w:tc>
        <w:tc>
          <w:tcPr>
            <w:tcW w:w="1193" w:type="dxa"/>
            <w:vAlign w:val="center"/>
          </w:tcPr>
          <w:p w14:paraId="12DD5309" w14:textId="77777777" w:rsidR="00815DC9" w:rsidRDefault="00815DC9" w:rsidP="00D90B4B">
            <w:pPr>
              <w:pStyle w:val="NoSpacing"/>
              <w:jc w:val="center"/>
            </w:pPr>
            <w:r>
              <w:t>3</w:t>
            </w:r>
          </w:p>
        </w:tc>
      </w:tr>
      <w:tr w:rsidR="00815DC9" w14:paraId="6F2003DF" w14:textId="77777777" w:rsidTr="00D90B4B">
        <w:tc>
          <w:tcPr>
            <w:tcW w:w="1403" w:type="dxa"/>
          </w:tcPr>
          <w:p w14:paraId="291EA34B" w14:textId="77777777" w:rsidR="00815DC9" w:rsidRDefault="00815DC9" w:rsidP="00D90B4B">
            <w:pPr>
              <w:pStyle w:val="NoSpacing"/>
            </w:pPr>
            <w:r>
              <w:t>Soy protein concentrate</w:t>
            </w:r>
            <w:r w:rsidRPr="002871AA">
              <w:rPr>
                <w:vertAlign w:val="superscript"/>
              </w:rPr>
              <w:t>2</w:t>
            </w:r>
          </w:p>
        </w:tc>
        <w:tc>
          <w:tcPr>
            <w:tcW w:w="1206" w:type="dxa"/>
            <w:vAlign w:val="center"/>
          </w:tcPr>
          <w:p w14:paraId="176B4D30" w14:textId="77777777" w:rsidR="00815DC9" w:rsidRDefault="00815DC9" w:rsidP="00D90B4B">
            <w:pPr>
              <w:pStyle w:val="NoSpacing"/>
              <w:jc w:val="center"/>
            </w:pPr>
            <w:r>
              <w:t>19</w:t>
            </w:r>
          </w:p>
        </w:tc>
        <w:tc>
          <w:tcPr>
            <w:tcW w:w="1193" w:type="dxa"/>
            <w:vAlign w:val="center"/>
          </w:tcPr>
          <w:p w14:paraId="0A7CF538" w14:textId="77777777" w:rsidR="00815DC9" w:rsidRDefault="00815DC9" w:rsidP="00D90B4B">
            <w:pPr>
              <w:pStyle w:val="NoSpacing"/>
              <w:jc w:val="center"/>
            </w:pPr>
            <w:r>
              <w:t>20.5</w:t>
            </w:r>
          </w:p>
        </w:tc>
        <w:tc>
          <w:tcPr>
            <w:tcW w:w="1193" w:type="dxa"/>
            <w:vAlign w:val="center"/>
          </w:tcPr>
          <w:p w14:paraId="76D82375" w14:textId="77777777" w:rsidR="00815DC9" w:rsidRDefault="00815DC9" w:rsidP="00D90B4B">
            <w:pPr>
              <w:pStyle w:val="NoSpacing"/>
              <w:jc w:val="center"/>
            </w:pPr>
            <w:r>
              <w:t>21</w:t>
            </w:r>
          </w:p>
        </w:tc>
        <w:tc>
          <w:tcPr>
            <w:tcW w:w="1193" w:type="dxa"/>
            <w:vAlign w:val="center"/>
          </w:tcPr>
          <w:p w14:paraId="5CD52F98" w14:textId="77777777" w:rsidR="00815DC9" w:rsidRDefault="00815DC9" w:rsidP="00D90B4B">
            <w:pPr>
              <w:pStyle w:val="NoSpacing"/>
              <w:jc w:val="center"/>
            </w:pPr>
            <w:r>
              <w:t>12.5</w:t>
            </w:r>
          </w:p>
        </w:tc>
        <w:tc>
          <w:tcPr>
            <w:tcW w:w="1193" w:type="dxa"/>
            <w:vAlign w:val="center"/>
          </w:tcPr>
          <w:p w14:paraId="798FD03A" w14:textId="77777777" w:rsidR="00815DC9" w:rsidRDefault="00815DC9" w:rsidP="00D90B4B">
            <w:pPr>
              <w:pStyle w:val="NoSpacing"/>
              <w:jc w:val="center"/>
            </w:pPr>
            <w:r>
              <w:t>20.5</w:t>
            </w:r>
          </w:p>
        </w:tc>
        <w:tc>
          <w:tcPr>
            <w:tcW w:w="1193" w:type="dxa"/>
            <w:vAlign w:val="center"/>
          </w:tcPr>
          <w:p w14:paraId="1D34447F" w14:textId="77777777" w:rsidR="00815DC9" w:rsidRDefault="00815DC9" w:rsidP="00D90B4B">
            <w:pPr>
              <w:pStyle w:val="NoSpacing"/>
              <w:jc w:val="center"/>
            </w:pPr>
            <w:r>
              <w:t>21</w:t>
            </w:r>
          </w:p>
        </w:tc>
        <w:tc>
          <w:tcPr>
            <w:tcW w:w="1193" w:type="dxa"/>
            <w:vAlign w:val="center"/>
          </w:tcPr>
          <w:p w14:paraId="793486B0" w14:textId="77777777" w:rsidR="00815DC9" w:rsidRDefault="00815DC9" w:rsidP="00D90B4B">
            <w:pPr>
              <w:pStyle w:val="NoSpacing"/>
              <w:jc w:val="center"/>
            </w:pPr>
            <w:r>
              <w:t>12.5</w:t>
            </w:r>
          </w:p>
        </w:tc>
      </w:tr>
      <w:tr w:rsidR="00815DC9" w14:paraId="164D04D4" w14:textId="77777777" w:rsidTr="00D90B4B">
        <w:tc>
          <w:tcPr>
            <w:tcW w:w="1403" w:type="dxa"/>
          </w:tcPr>
          <w:p w14:paraId="3A417E9E" w14:textId="77777777" w:rsidR="00815DC9" w:rsidRDefault="00815DC9" w:rsidP="00D90B4B">
            <w:pPr>
              <w:pStyle w:val="NoSpacing"/>
            </w:pPr>
            <w:r>
              <w:t>Rapeseed meal</w:t>
            </w:r>
          </w:p>
        </w:tc>
        <w:tc>
          <w:tcPr>
            <w:tcW w:w="1206" w:type="dxa"/>
            <w:vAlign w:val="center"/>
          </w:tcPr>
          <w:p w14:paraId="7DA34FEE" w14:textId="77777777" w:rsidR="00815DC9" w:rsidRDefault="00815DC9" w:rsidP="00D90B4B">
            <w:pPr>
              <w:pStyle w:val="NoSpacing"/>
              <w:jc w:val="center"/>
            </w:pPr>
            <w:r>
              <w:t>9.0</w:t>
            </w:r>
          </w:p>
        </w:tc>
        <w:tc>
          <w:tcPr>
            <w:tcW w:w="1193" w:type="dxa"/>
            <w:vAlign w:val="center"/>
          </w:tcPr>
          <w:p w14:paraId="7D3E6A2C" w14:textId="77777777" w:rsidR="00815DC9" w:rsidRDefault="00815DC9" w:rsidP="00D90B4B">
            <w:pPr>
              <w:pStyle w:val="NoSpacing"/>
              <w:jc w:val="center"/>
            </w:pPr>
            <w:r>
              <w:t>9.5</w:t>
            </w:r>
          </w:p>
        </w:tc>
        <w:tc>
          <w:tcPr>
            <w:tcW w:w="1193" w:type="dxa"/>
            <w:vAlign w:val="center"/>
          </w:tcPr>
          <w:p w14:paraId="5E7C1EFB" w14:textId="77777777" w:rsidR="00815DC9" w:rsidRDefault="00815DC9" w:rsidP="00D90B4B">
            <w:pPr>
              <w:pStyle w:val="NoSpacing"/>
              <w:jc w:val="center"/>
            </w:pPr>
            <w:r>
              <w:t>5.9</w:t>
            </w:r>
          </w:p>
        </w:tc>
        <w:tc>
          <w:tcPr>
            <w:tcW w:w="1193" w:type="dxa"/>
            <w:vAlign w:val="center"/>
          </w:tcPr>
          <w:p w14:paraId="5ABD6CE8" w14:textId="77777777" w:rsidR="00815DC9" w:rsidRDefault="00815DC9" w:rsidP="00D90B4B">
            <w:pPr>
              <w:pStyle w:val="NoSpacing"/>
              <w:jc w:val="center"/>
            </w:pPr>
            <w:r>
              <w:t>7.6</w:t>
            </w:r>
          </w:p>
        </w:tc>
        <w:tc>
          <w:tcPr>
            <w:tcW w:w="1193" w:type="dxa"/>
            <w:vAlign w:val="center"/>
          </w:tcPr>
          <w:p w14:paraId="3007E570" w14:textId="77777777" w:rsidR="00815DC9" w:rsidRDefault="00815DC9" w:rsidP="00D90B4B">
            <w:pPr>
              <w:pStyle w:val="NoSpacing"/>
              <w:jc w:val="center"/>
            </w:pPr>
            <w:r>
              <w:t>9.5</w:t>
            </w:r>
          </w:p>
        </w:tc>
        <w:tc>
          <w:tcPr>
            <w:tcW w:w="1193" w:type="dxa"/>
            <w:vAlign w:val="center"/>
          </w:tcPr>
          <w:p w14:paraId="39F9B568" w14:textId="77777777" w:rsidR="00815DC9" w:rsidRDefault="00815DC9" w:rsidP="00D90B4B">
            <w:pPr>
              <w:pStyle w:val="NoSpacing"/>
              <w:jc w:val="center"/>
            </w:pPr>
            <w:r>
              <w:t>5.9</w:t>
            </w:r>
          </w:p>
        </w:tc>
        <w:tc>
          <w:tcPr>
            <w:tcW w:w="1193" w:type="dxa"/>
            <w:vAlign w:val="center"/>
          </w:tcPr>
          <w:p w14:paraId="3BB127B4" w14:textId="77777777" w:rsidR="00815DC9" w:rsidRDefault="00815DC9" w:rsidP="00D90B4B">
            <w:pPr>
              <w:pStyle w:val="NoSpacing"/>
              <w:jc w:val="center"/>
            </w:pPr>
            <w:r>
              <w:t>7.6</w:t>
            </w:r>
          </w:p>
        </w:tc>
      </w:tr>
      <w:tr w:rsidR="00815DC9" w14:paraId="5800C952" w14:textId="77777777" w:rsidTr="00D90B4B">
        <w:tc>
          <w:tcPr>
            <w:tcW w:w="1403" w:type="dxa"/>
          </w:tcPr>
          <w:p w14:paraId="23BEE3BA" w14:textId="77777777" w:rsidR="00815DC9" w:rsidRDefault="00815DC9" w:rsidP="00D90B4B">
            <w:pPr>
              <w:pStyle w:val="NoSpacing"/>
            </w:pPr>
            <w:r>
              <w:t>Wheat</w:t>
            </w:r>
          </w:p>
        </w:tc>
        <w:tc>
          <w:tcPr>
            <w:tcW w:w="1206" w:type="dxa"/>
            <w:vAlign w:val="center"/>
          </w:tcPr>
          <w:p w14:paraId="6D331E93" w14:textId="77777777" w:rsidR="00815DC9" w:rsidRDefault="00815DC9" w:rsidP="00D90B4B">
            <w:pPr>
              <w:pStyle w:val="NoSpacing"/>
              <w:jc w:val="center"/>
            </w:pPr>
            <w:r>
              <w:t>13.13</w:t>
            </w:r>
          </w:p>
        </w:tc>
        <w:tc>
          <w:tcPr>
            <w:tcW w:w="1193" w:type="dxa"/>
            <w:vAlign w:val="center"/>
          </w:tcPr>
          <w:p w14:paraId="5D28DC98" w14:textId="77777777" w:rsidR="00815DC9" w:rsidRDefault="00815DC9" w:rsidP="00D90B4B">
            <w:pPr>
              <w:pStyle w:val="NoSpacing"/>
              <w:jc w:val="center"/>
            </w:pPr>
            <w:r>
              <w:t>10.23</w:t>
            </w:r>
          </w:p>
        </w:tc>
        <w:tc>
          <w:tcPr>
            <w:tcW w:w="1193" w:type="dxa"/>
            <w:vAlign w:val="center"/>
          </w:tcPr>
          <w:p w14:paraId="03A3A257" w14:textId="77777777" w:rsidR="00815DC9" w:rsidRDefault="00815DC9" w:rsidP="00D90B4B">
            <w:pPr>
              <w:pStyle w:val="NoSpacing"/>
              <w:jc w:val="center"/>
            </w:pPr>
            <w:r>
              <w:t>9.98</w:t>
            </w:r>
          </w:p>
        </w:tc>
        <w:tc>
          <w:tcPr>
            <w:tcW w:w="1193" w:type="dxa"/>
            <w:vAlign w:val="center"/>
          </w:tcPr>
          <w:p w14:paraId="3797A565" w14:textId="77777777" w:rsidR="00815DC9" w:rsidRDefault="00815DC9" w:rsidP="00D90B4B">
            <w:pPr>
              <w:pStyle w:val="NoSpacing"/>
              <w:jc w:val="center"/>
            </w:pPr>
            <w:r>
              <w:t>9.18</w:t>
            </w:r>
          </w:p>
        </w:tc>
        <w:tc>
          <w:tcPr>
            <w:tcW w:w="1193" w:type="dxa"/>
            <w:vAlign w:val="center"/>
          </w:tcPr>
          <w:p w14:paraId="4FB0D999" w14:textId="77777777" w:rsidR="00815DC9" w:rsidRDefault="00815DC9" w:rsidP="00D90B4B">
            <w:pPr>
              <w:pStyle w:val="NoSpacing"/>
              <w:jc w:val="center"/>
            </w:pPr>
            <w:r>
              <w:t>10.23</w:t>
            </w:r>
          </w:p>
        </w:tc>
        <w:tc>
          <w:tcPr>
            <w:tcW w:w="1193" w:type="dxa"/>
            <w:vAlign w:val="center"/>
          </w:tcPr>
          <w:p w14:paraId="4E98AE7A" w14:textId="77777777" w:rsidR="00815DC9" w:rsidRDefault="00815DC9" w:rsidP="00D90B4B">
            <w:pPr>
              <w:pStyle w:val="NoSpacing"/>
              <w:jc w:val="center"/>
            </w:pPr>
            <w:r>
              <w:t>10.08</w:t>
            </w:r>
          </w:p>
        </w:tc>
        <w:tc>
          <w:tcPr>
            <w:tcW w:w="1193" w:type="dxa"/>
            <w:vAlign w:val="center"/>
          </w:tcPr>
          <w:p w14:paraId="526A6DBD" w14:textId="77777777" w:rsidR="00815DC9" w:rsidRDefault="00815DC9" w:rsidP="00D90B4B">
            <w:pPr>
              <w:pStyle w:val="NoSpacing"/>
              <w:jc w:val="center"/>
            </w:pPr>
            <w:r>
              <w:t>9.18</w:t>
            </w:r>
          </w:p>
        </w:tc>
      </w:tr>
      <w:tr w:rsidR="00815DC9" w14:paraId="5D0C806C" w14:textId="77777777" w:rsidTr="00D90B4B">
        <w:tc>
          <w:tcPr>
            <w:tcW w:w="1403" w:type="dxa"/>
          </w:tcPr>
          <w:p w14:paraId="31382A94" w14:textId="77777777" w:rsidR="00815DC9" w:rsidRDefault="00815DC9" w:rsidP="00D90B4B">
            <w:pPr>
              <w:pStyle w:val="NoSpacing"/>
            </w:pPr>
            <w:r>
              <w:t>Wheat gluten</w:t>
            </w:r>
          </w:p>
        </w:tc>
        <w:tc>
          <w:tcPr>
            <w:tcW w:w="1206" w:type="dxa"/>
            <w:vAlign w:val="center"/>
          </w:tcPr>
          <w:p w14:paraId="52C636CC" w14:textId="77777777" w:rsidR="00815DC9" w:rsidRDefault="00815DC9" w:rsidP="00D90B4B">
            <w:pPr>
              <w:pStyle w:val="NoSpacing"/>
              <w:jc w:val="center"/>
            </w:pPr>
            <w:r>
              <w:t>13.0</w:t>
            </w:r>
          </w:p>
        </w:tc>
        <w:tc>
          <w:tcPr>
            <w:tcW w:w="1193" w:type="dxa"/>
            <w:vAlign w:val="center"/>
          </w:tcPr>
          <w:p w14:paraId="19311172" w14:textId="77777777" w:rsidR="00815DC9" w:rsidRDefault="00815DC9" w:rsidP="00D90B4B">
            <w:pPr>
              <w:pStyle w:val="NoSpacing"/>
              <w:jc w:val="center"/>
            </w:pPr>
            <w:r>
              <w:t>13.4</w:t>
            </w:r>
          </w:p>
        </w:tc>
        <w:tc>
          <w:tcPr>
            <w:tcW w:w="1193" w:type="dxa"/>
            <w:vAlign w:val="center"/>
          </w:tcPr>
          <w:p w14:paraId="0A76F405" w14:textId="77777777" w:rsidR="00815DC9" w:rsidRDefault="00815DC9" w:rsidP="00D90B4B">
            <w:pPr>
              <w:pStyle w:val="NoSpacing"/>
              <w:jc w:val="center"/>
            </w:pPr>
            <w:r>
              <w:t>14.6</w:t>
            </w:r>
          </w:p>
        </w:tc>
        <w:tc>
          <w:tcPr>
            <w:tcW w:w="1193" w:type="dxa"/>
            <w:vAlign w:val="center"/>
          </w:tcPr>
          <w:p w14:paraId="107C20BD" w14:textId="77777777" w:rsidR="00815DC9" w:rsidRDefault="00815DC9" w:rsidP="00D90B4B">
            <w:pPr>
              <w:pStyle w:val="NoSpacing"/>
              <w:jc w:val="center"/>
            </w:pPr>
            <w:r>
              <w:t>16.5</w:t>
            </w:r>
          </w:p>
        </w:tc>
        <w:tc>
          <w:tcPr>
            <w:tcW w:w="1193" w:type="dxa"/>
            <w:vAlign w:val="center"/>
          </w:tcPr>
          <w:p w14:paraId="050099A0" w14:textId="77777777" w:rsidR="00815DC9" w:rsidRDefault="00815DC9" w:rsidP="00D90B4B">
            <w:pPr>
              <w:pStyle w:val="NoSpacing"/>
              <w:jc w:val="center"/>
            </w:pPr>
            <w:r>
              <w:t>13.4</w:t>
            </w:r>
          </w:p>
        </w:tc>
        <w:tc>
          <w:tcPr>
            <w:tcW w:w="1193" w:type="dxa"/>
            <w:vAlign w:val="center"/>
          </w:tcPr>
          <w:p w14:paraId="031253FD" w14:textId="77777777" w:rsidR="00815DC9" w:rsidRDefault="00815DC9" w:rsidP="00D90B4B">
            <w:pPr>
              <w:pStyle w:val="NoSpacing"/>
              <w:jc w:val="center"/>
            </w:pPr>
            <w:r>
              <w:t>14.6</w:t>
            </w:r>
          </w:p>
        </w:tc>
        <w:tc>
          <w:tcPr>
            <w:tcW w:w="1193" w:type="dxa"/>
            <w:vAlign w:val="center"/>
          </w:tcPr>
          <w:p w14:paraId="712CC19C" w14:textId="77777777" w:rsidR="00815DC9" w:rsidRDefault="00815DC9" w:rsidP="00D90B4B">
            <w:pPr>
              <w:pStyle w:val="NoSpacing"/>
              <w:jc w:val="center"/>
            </w:pPr>
            <w:r>
              <w:t>16.5</w:t>
            </w:r>
          </w:p>
        </w:tc>
      </w:tr>
      <w:tr w:rsidR="00815DC9" w14:paraId="33306705" w14:textId="77777777" w:rsidTr="00D90B4B">
        <w:tc>
          <w:tcPr>
            <w:tcW w:w="1403" w:type="dxa"/>
          </w:tcPr>
          <w:p w14:paraId="43A79EA7" w14:textId="77777777" w:rsidR="00815DC9" w:rsidRDefault="00815DC9" w:rsidP="00D90B4B">
            <w:pPr>
              <w:pStyle w:val="NoSpacing"/>
            </w:pPr>
            <w:r>
              <w:t>Corn gluten</w:t>
            </w:r>
          </w:p>
        </w:tc>
        <w:tc>
          <w:tcPr>
            <w:tcW w:w="1206" w:type="dxa"/>
            <w:vAlign w:val="center"/>
          </w:tcPr>
          <w:p w14:paraId="107E4A55" w14:textId="77777777" w:rsidR="00815DC9" w:rsidRDefault="00815DC9" w:rsidP="00D90B4B">
            <w:pPr>
              <w:pStyle w:val="NoSpacing"/>
              <w:jc w:val="center"/>
            </w:pPr>
            <w:r>
              <w:t>7.0</w:t>
            </w:r>
          </w:p>
        </w:tc>
        <w:tc>
          <w:tcPr>
            <w:tcW w:w="1193" w:type="dxa"/>
            <w:vAlign w:val="center"/>
          </w:tcPr>
          <w:p w14:paraId="57F6544D" w14:textId="77777777" w:rsidR="00815DC9" w:rsidRDefault="00815DC9" w:rsidP="00D90B4B">
            <w:pPr>
              <w:pStyle w:val="NoSpacing"/>
              <w:jc w:val="center"/>
            </w:pPr>
            <w:r>
              <w:t>6.5</w:t>
            </w:r>
          </w:p>
        </w:tc>
        <w:tc>
          <w:tcPr>
            <w:tcW w:w="1193" w:type="dxa"/>
            <w:vAlign w:val="center"/>
          </w:tcPr>
          <w:p w14:paraId="200CFB5F" w14:textId="77777777" w:rsidR="00815DC9" w:rsidRDefault="00815DC9" w:rsidP="00D90B4B">
            <w:pPr>
              <w:pStyle w:val="NoSpacing"/>
              <w:jc w:val="center"/>
            </w:pPr>
            <w:r>
              <w:t>7.0</w:t>
            </w:r>
          </w:p>
        </w:tc>
        <w:tc>
          <w:tcPr>
            <w:tcW w:w="1193" w:type="dxa"/>
            <w:vAlign w:val="center"/>
          </w:tcPr>
          <w:p w14:paraId="2D14267B" w14:textId="77777777" w:rsidR="00815DC9" w:rsidRDefault="00815DC9" w:rsidP="00D90B4B">
            <w:pPr>
              <w:pStyle w:val="NoSpacing"/>
              <w:jc w:val="center"/>
            </w:pPr>
            <w:r>
              <w:t>7.0</w:t>
            </w:r>
          </w:p>
        </w:tc>
        <w:tc>
          <w:tcPr>
            <w:tcW w:w="1193" w:type="dxa"/>
            <w:vAlign w:val="center"/>
          </w:tcPr>
          <w:p w14:paraId="791514A5" w14:textId="77777777" w:rsidR="00815DC9" w:rsidRDefault="00815DC9" w:rsidP="00D90B4B">
            <w:pPr>
              <w:pStyle w:val="NoSpacing"/>
              <w:jc w:val="center"/>
            </w:pPr>
            <w:r>
              <w:t>6.5</w:t>
            </w:r>
          </w:p>
        </w:tc>
        <w:tc>
          <w:tcPr>
            <w:tcW w:w="1193" w:type="dxa"/>
            <w:vAlign w:val="center"/>
          </w:tcPr>
          <w:p w14:paraId="38C60796" w14:textId="77777777" w:rsidR="00815DC9" w:rsidRDefault="00815DC9" w:rsidP="00D90B4B">
            <w:pPr>
              <w:pStyle w:val="NoSpacing"/>
              <w:jc w:val="center"/>
            </w:pPr>
            <w:r>
              <w:t>7.0</w:t>
            </w:r>
          </w:p>
        </w:tc>
        <w:tc>
          <w:tcPr>
            <w:tcW w:w="1193" w:type="dxa"/>
            <w:vAlign w:val="center"/>
          </w:tcPr>
          <w:p w14:paraId="201DD2E5" w14:textId="77777777" w:rsidR="00815DC9" w:rsidRDefault="00815DC9" w:rsidP="00D90B4B">
            <w:pPr>
              <w:pStyle w:val="NoSpacing"/>
              <w:jc w:val="center"/>
            </w:pPr>
            <w:r>
              <w:t>7.0</w:t>
            </w:r>
          </w:p>
        </w:tc>
      </w:tr>
      <w:tr w:rsidR="00815DC9" w14:paraId="595A2CF5" w14:textId="77777777" w:rsidTr="00D90B4B">
        <w:tc>
          <w:tcPr>
            <w:tcW w:w="1403" w:type="dxa"/>
          </w:tcPr>
          <w:p w14:paraId="62ECFDC3" w14:textId="77777777" w:rsidR="00815DC9" w:rsidRDefault="00815DC9" w:rsidP="00D90B4B">
            <w:pPr>
              <w:pStyle w:val="NoSpacing"/>
            </w:pPr>
            <w:r>
              <w:t>SCP1</w:t>
            </w:r>
          </w:p>
        </w:tc>
        <w:tc>
          <w:tcPr>
            <w:tcW w:w="1206" w:type="dxa"/>
            <w:vAlign w:val="center"/>
          </w:tcPr>
          <w:p w14:paraId="38CFFE9A" w14:textId="77777777" w:rsidR="00815DC9" w:rsidRDefault="00815DC9" w:rsidP="00D90B4B">
            <w:pPr>
              <w:pStyle w:val="NoSpacing"/>
              <w:jc w:val="center"/>
            </w:pPr>
            <w:r>
              <w:t>-</w:t>
            </w:r>
          </w:p>
        </w:tc>
        <w:tc>
          <w:tcPr>
            <w:tcW w:w="1193" w:type="dxa"/>
            <w:vAlign w:val="center"/>
          </w:tcPr>
          <w:p w14:paraId="1E672ED7" w14:textId="77777777" w:rsidR="00815DC9" w:rsidRDefault="00815DC9" w:rsidP="00D90B4B">
            <w:pPr>
              <w:pStyle w:val="NoSpacing"/>
              <w:jc w:val="center"/>
            </w:pPr>
            <w:r>
              <w:t>5</w:t>
            </w:r>
          </w:p>
        </w:tc>
        <w:tc>
          <w:tcPr>
            <w:tcW w:w="1193" w:type="dxa"/>
            <w:vAlign w:val="center"/>
          </w:tcPr>
          <w:p w14:paraId="777CC039" w14:textId="77777777" w:rsidR="00815DC9" w:rsidRDefault="00815DC9" w:rsidP="00D90B4B">
            <w:pPr>
              <w:pStyle w:val="NoSpacing"/>
              <w:jc w:val="center"/>
            </w:pPr>
            <w:r>
              <w:t>10</w:t>
            </w:r>
          </w:p>
        </w:tc>
        <w:tc>
          <w:tcPr>
            <w:tcW w:w="1193" w:type="dxa"/>
            <w:vAlign w:val="center"/>
          </w:tcPr>
          <w:p w14:paraId="07E74DE9" w14:textId="77777777" w:rsidR="00815DC9" w:rsidRDefault="00815DC9" w:rsidP="00D90B4B">
            <w:pPr>
              <w:pStyle w:val="NoSpacing"/>
              <w:jc w:val="center"/>
            </w:pPr>
            <w:r>
              <w:t>19</w:t>
            </w:r>
          </w:p>
        </w:tc>
        <w:tc>
          <w:tcPr>
            <w:tcW w:w="1193" w:type="dxa"/>
            <w:vAlign w:val="center"/>
          </w:tcPr>
          <w:p w14:paraId="4FA49938" w14:textId="77777777" w:rsidR="00815DC9" w:rsidRDefault="00815DC9" w:rsidP="00D90B4B">
            <w:pPr>
              <w:pStyle w:val="NoSpacing"/>
              <w:jc w:val="center"/>
            </w:pPr>
            <w:r>
              <w:t>-</w:t>
            </w:r>
          </w:p>
        </w:tc>
        <w:tc>
          <w:tcPr>
            <w:tcW w:w="1193" w:type="dxa"/>
            <w:vAlign w:val="center"/>
          </w:tcPr>
          <w:p w14:paraId="7896CE4F" w14:textId="77777777" w:rsidR="00815DC9" w:rsidRDefault="00815DC9" w:rsidP="00D90B4B">
            <w:pPr>
              <w:pStyle w:val="NoSpacing"/>
              <w:jc w:val="center"/>
            </w:pPr>
            <w:r>
              <w:t>-</w:t>
            </w:r>
          </w:p>
        </w:tc>
        <w:tc>
          <w:tcPr>
            <w:tcW w:w="1193" w:type="dxa"/>
            <w:vAlign w:val="center"/>
          </w:tcPr>
          <w:p w14:paraId="4C75AC27" w14:textId="77777777" w:rsidR="00815DC9" w:rsidRDefault="00815DC9" w:rsidP="00D90B4B">
            <w:pPr>
              <w:pStyle w:val="NoSpacing"/>
              <w:jc w:val="center"/>
            </w:pPr>
            <w:r>
              <w:t>-</w:t>
            </w:r>
          </w:p>
        </w:tc>
      </w:tr>
      <w:tr w:rsidR="00815DC9" w14:paraId="5069DD5A" w14:textId="77777777" w:rsidTr="00D90B4B">
        <w:tc>
          <w:tcPr>
            <w:tcW w:w="1403" w:type="dxa"/>
          </w:tcPr>
          <w:p w14:paraId="737B9635" w14:textId="77777777" w:rsidR="00815DC9" w:rsidRDefault="00815DC9" w:rsidP="00D90B4B">
            <w:pPr>
              <w:pStyle w:val="NoSpacing"/>
            </w:pPr>
            <w:r>
              <w:t>SCP2</w:t>
            </w:r>
          </w:p>
        </w:tc>
        <w:tc>
          <w:tcPr>
            <w:tcW w:w="1206" w:type="dxa"/>
            <w:vAlign w:val="center"/>
          </w:tcPr>
          <w:p w14:paraId="673E5BF9" w14:textId="77777777" w:rsidR="00815DC9" w:rsidRDefault="00815DC9" w:rsidP="00D90B4B">
            <w:pPr>
              <w:pStyle w:val="NoSpacing"/>
              <w:jc w:val="center"/>
            </w:pPr>
            <w:r>
              <w:t>-</w:t>
            </w:r>
          </w:p>
        </w:tc>
        <w:tc>
          <w:tcPr>
            <w:tcW w:w="1193" w:type="dxa"/>
            <w:vAlign w:val="center"/>
          </w:tcPr>
          <w:p w14:paraId="5E5B4EE0" w14:textId="77777777" w:rsidR="00815DC9" w:rsidRDefault="00815DC9" w:rsidP="00D90B4B">
            <w:pPr>
              <w:pStyle w:val="NoSpacing"/>
              <w:jc w:val="center"/>
            </w:pPr>
            <w:r>
              <w:t>-</w:t>
            </w:r>
          </w:p>
        </w:tc>
        <w:tc>
          <w:tcPr>
            <w:tcW w:w="1193" w:type="dxa"/>
            <w:vAlign w:val="center"/>
          </w:tcPr>
          <w:p w14:paraId="6FEDC508" w14:textId="77777777" w:rsidR="00815DC9" w:rsidRDefault="00815DC9" w:rsidP="00D90B4B">
            <w:pPr>
              <w:pStyle w:val="NoSpacing"/>
              <w:jc w:val="center"/>
            </w:pPr>
            <w:r>
              <w:t>-</w:t>
            </w:r>
          </w:p>
        </w:tc>
        <w:tc>
          <w:tcPr>
            <w:tcW w:w="1193" w:type="dxa"/>
            <w:vAlign w:val="center"/>
          </w:tcPr>
          <w:p w14:paraId="0FACC60F" w14:textId="77777777" w:rsidR="00815DC9" w:rsidRDefault="00815DC9" w:rsidP="00D90B4B">
            <w:pPr>
              <w:pStyle w:val="NoSpacing"/>
              <w:jc w:val="center"/>
            </w:pPr>
            <w:r>
              <w:t>-</w:t>
            </w:r>
          </w:p>
        </w:tc>
        <w:tc>
          <w:tcPr>
            <w:tcW w:w="1193" w:type="dxa"/>
            <w:vAlign w:val="center"/>
          </w:tcPr>
          <w:p w14:paraId="7236F48E" w14:textId="77777777" w:rsidR="00815DC9" w:rsidRDefault="00815DC9" w:rsidP="00D90B4B">
            <w:pPr>
              <w:pStyle w:val="NoSpacing"/>
              <w:jc w:val="center"/>
            </w:pPr>
            <w:r>
              <w:t>5</w:t>
            </w:r>
          </w:p>
        </w:tc>
        <w:tc>
          <w:tcPr>
            <w:tcW w:w="1193" w:type="dxa"/>
            <w:vAlign w:val="center"/>
          </w:tcPr>
          <w:p w14:paraId="4150D3E3" w14:textId="77777777" w:rsidR="00815DC9" w:rsidRDefault="00815DC9" w:rsidP="00D90B4B">
            <w:pPr>
              <w:pStyle w:val="NoSpacing"/>
              <w:jc w:val="center"/>
            </w:pPr>
            <w:r>
              <w:t>10</w:t>
            </w:r>
          </w:p>
        </w:tc>
        <w:tc>
          <w:tcPr>
            <w:tcW w:w="1193" w:type="dxa"/>
            <w:vAlign w:val="center"/>
          </w:tcPr>
          <w:p w14:paraId="54DD7F4F" w14:textId="77777777" w:rsidR="00815DC9" w:rsidRDefault="00815DC9" w:rsidP="00D90B4B">
            <w:pPr>
              <w:pStyle w:val="NoSpacing"/>
              <w:jc w:val="center"/>
            </w:pPr>
            <w:r>
              <w:t>19</w:t>
            </w:r>
          </w:p>
        </w:tc>
      </w:tr>
      <w:tr w:rsidR="00815DC9" w14:paraId="194C3157" w14:textId="77777777" w:rsidTr="00D90B4B">
        <w:tc>
          <w:tcPr>
            <w:tcW w:w="1403" w:type="dxa"/>
          </w:tcPr>
          <w:p w14:paraId="085DB5DE" w14:textId="22C495B5" w:rsidR="00815DC9" w:rsidRDefault="00815DC9" w:rsidP="00D90B4B">
            <w:pPr>
              <w:pStyle w:val="NoSpacing"/>
            </w:pPr>
            <w:r>
              <w:t>MCP</w:t>
            </w:r>
            <w:r w:rsidR="00F343CC" w:rsidRPr="00867DD1">
              <w:rPr>
                <w:vertAlign w:val="superscript"/>
              </w:rPr>
              <w:t>3</w:t>
            </w:r>
          </w:p>
        </w:tc>
        <w:tc>
          <w:tcPr>
            <w:tcW w:w="1206" w:type="dxa"/>
            <w:vAlign w:val="center"/>
          </w:tcPr>
          <w:p w14:paraId="0E16B5E8" w14:textId="77777777" w:rsidR="00815DC9" w:rsidRDefault="00815DC9" w:rsidP="00D90B4B">
            <w:pPr>
              <w:pStyle w:val="NoSpacing"/>
              <w:jc w:val="center"/>
            </w:pPr>
            <w:r>
              <w:t>0.65</w:t>
            </w:r>
          </w:p>
        </w:tc>
        <w:tc>
          <w:tcPr>
            <w:tcW w:w="1193" w:type="dxa"/>
            <w:vAlign w:val="center"/>
          </w:tcPr>
          <w:p w14:paraId="184D37DC" w14:textId="77777777" w:rsidR="00815DC9" w:rsidRDefault="00815DC9" w:rsidP="00D90B4B">
            <w:pPr>
              <w:pStyle w:val="NoSpacing"/>
              <w:jc w:val="center"/>
            </w:pPr>
            <w:r>
              <w:t>1.15</w:t>
            </w:r>
          </w:p>
        </w:tc>
        <w:tc>
          <w:tcPr>
            <w:tcW w:w="1193" w:type="dxa"/>
            <w:vAlign w:val="center"/>
          </w:tcPr>
          <w:p w14:paraId="6564BDB3" w14:textId="77777777" w:rsidR="00815DC9" w:rsidRDefault="00815DC9" w:rsidP="00D90B4B">
            <w:pPr>
              <w:pStyle w:val="NoSpacing"/>
              <w:jc w:val="center"/>
            </w:pPr>
            <w:r>
              <w:t>1.7</w:t>
            </w:r>
          </w:p>
        </w:tc>
        <w:tc>
          <w:tcPr>
            <w:tcW w:w="1193" w:type="dxa"/>
            <w:vAlign w:val="center"/>
          </w:tcPr>
          <w:p w14:paraId="64CE6081" w14:textId="77777777" w:rsidR="00815DC9" w:rsidRDefault="00815DC9" w:rsidP="00D90B4B">
            <w:pPr>
              <w:pStyle w:val="NoSpacing"/>
              <w:jc w:val="center"/>
            </w:pPr>
            <w:r>
              <w:t>1.9</w:t>
            </w:r>
          </w:p>
        </w:tc>
        <w:tc>
          <w:tcPr>
            <w:tcW w:w="1193" w:type="dxa"/>
            <w:vAlign w:val="center"/>
          </w:tcPr>
          <w:p w14:paraId="5C5924F4" w14:textId="77777777" w:rsidR="00815DC9" w:rsidRDefault="00815DC9" w:rsidP="00D90B4B">
            <w:pPr>
              <w:pStyle w:val="NoSpacing"/>
              <w:jc w:val="center"/>
            </w:pPr>
            <w:r>
              <w:t>1.15</w:t>
            </w:r>
          </w:p>
        </w:tc>
        <w:tc>
          <w:tcPr>
            <w:tcW w:w="1193" w:type="dxa"/>
            <w:vAlign w:val="center"/>
          </w:tcPr>
          <w:p w14:paraId="62EB9AA7" w14:textId="77777777" w:rsidR="00815DC9" w:rsidRDefault="00815DC9" w:rsidP="00D90B4B">
            <w:pPr>
              <w:pStyle w:val="NoSpacing"/>
              <w:jc w:val="center"/>
            </w:pPr>
            <w:r>
              <w:t>1.7</w:t>
            </w:r>
          </w:p>
        </w:tc>
        <w:tc>
          <w:tcPr>
            <w:tcW w:w="1193" w:type="dxa"/>
            <w:vAlign w:val="center"/>
          </w:tcPr>
          <w:p w14:paraId="0398D5BC" w14:textId="77777777" w:rsidR="00815DC9" w:rsidRDefault="00815DC9" w:rsidP="00D90B4B">
            <w:pPr>
              <w:pStyle w:val="NoSpacing"/>
              <w:jc w:val="center"/>
            </w:pPr>
            <w:r>
              <w:t>1.9</w:t>
            </w:r>
          </w:p>
        </w:tc>
      </w:tr>
      <w:tr w:rsidR="00815DC9" w14:paraId="7E605899" w14:textId="77777777" w:rsidTr="00D90B4B">
        <w:tc>
          <w:tcPr>
            <w:tcW w:w="1403" w:type="dxa"/>
          </w:tcPr>
          <w:p w14:paraId="1B0D983F" w14:textId="77777777" w:rsidR="00815DC9" w:rsidRDefault="00815DC9" w:rsidP="00D90B4B">
            <w:pPr>
              <w:pStyle w:val="NoSpacing"/>
            </w:pPr>
            <w:r>
              <w:t>Soy lecithin</w:t>
            </w:r>
          </w:p>
        </w:tc>
        <w:tc>
          <w:tcPr>
            <w:tcW w:w="1206" w:type="dxa"/>
            <w:vAlign w:val="center"/>
          </w:tcPr>
          <w:p w14:paraId="739660DB" w14:textId="77777777" w:rsidR="00815DC9" w:rsidRDefault="00815DC9" w:rsidP="00D90B4B">
            <w:pPr>
              <w:pStyle w:val="NoSpacing"/>
              <w:jc w:val="center"/>
            </w:pPr>
            <w:r>
              <w:t>0.5</w:t>
            </w:r>
          </w:p>
        </w:tc>
        <w:tc>
          <w:tcPr>
            <w:tcW w:w="1193" w:type="dxa"/>
            <w:vAlign w:val="center"/>
          </w:tcPr>
          <w:p w14:paraId="6B0EA5B2" w14:textId="77777777" w:rsidR="00815DC9" w:rsidRDefault="00815DC9" w:rsidP="00D90B4B">
            <w:pPr>
              <w:pStyle w:val="NoSpacing"/>
              <w:jc w:val="center"/>
            </w:pPr>
            <w:r>
              <w:t>0.5</w:t>
            </w:r>
          </w:p>
        </w:tc>
        <w:tc>
          <w:tcPr>
            <w:tcW w:w="1193" w:type="dxa"/>
            <w:vAlign w:val="center"/>
          </w:tcPr>
          <w:p w14:paraId="2BF78C7C" w14:textId="77777777" w:rsidR="00815DC9" w:rsidRDefault="00815DC9" w:rsidP="00D90B4B">
            <w:pPr>
              <w:pStyle w:val="NoSpacing"/>
              <w:jc w:val="center"/>
            </w:pPr>
            <w:r>
              <w:t>0.5</w:t>
            </w:r>
          </w:p>
        </w:tc>
        <w:tc>
          <w:tcPr>
            <w:tcW w:w="1193" w:type="dxa"/>
            <w:vAlign w:val="center"/>
          </w:tcPr>
          <w:p w14:paraId="52D53D66" w14:textId="77777777" w:rsidR="00815DC9" w:rsidRDefault="00815DC9" w:rsidP="00D90B4B">
            <w:pPr>
              <w:pStyle w:val="NoSpacing"/>
              <w:jc w:val="center"/>
            </w:pPr>
            <w:r>
              <w:t>0.5</w:t>
            </w:r>
          </w:p>
        </w:tc>
        <w:tc>
          <w:tcPr>
            <w:tcW w:w="1193" w:type="dxa"/>
            <w:vAlign w:val="center"/>
          </w:tcPr>
          <w:p w14:paraId="59A14F6A" w14:textId="77777777" w:rsidR="00815DC9" w:rsidRDefault="00815DC9" w:rsidP="00D90B4B">
            <w:pPr>
              <w:pStyle w:val="NoSpacing"/>
              <w:jc w:val="center"/>
            </w:pPr>
            <w:r>
              <w:t>0.5</w:t>
            </w:r>
          </w:p>
        </w:tc>
        <w:tc>
          <w:tcPr>
            <w:tcW w:w="1193" w:type="dxa"/>
            <w:vAlign w:val="center"/>
          </w:tcPr>
          <w:p w14:paraId="1C707BCA" w14:textId="77777777" w:rsidR="00815DC9" w:rsidRDefault="00815DC9" w:rsidP="00D90B4B">
            <w:pPr>
              <w:pStyle w:val="NoSpacing"/>
              <w:jc w:val="center"/>
            </w:pPr>
            <w:r>
              <w:t>0.5</w:t>
            </w:r>
          </w:p>
        </w:tc>
        <w:tc>
          <w:tcPr>
            <w:tcW w:w="1193" w:type="dxa"/>
            <w:vAlign w:val="center"/>
          </w:tcPr>
          <w:p w14:paraId="2249A58A" w14:textId="77777777" w:rsidR="00815DC9" w:rsidRDefault="00815DC9" w:rsidP="00D90B4B">
            <w:pPr>
              <w:pStyle w:val="NoSpacing"/>
              <w:jc w:val="center"/>
            </w:pPr>
            <w:r>
              <w:t>0.5</w:t>
            </w:r>
          </w:p>
        </w:tc>
      </w:tr>
      <w:tr w:rsidR="00815DC9" w14:paraId="26C97E6C" w14:textId="77777777" w:rsidTr="00D90B4B">
        <w:tc>
          <w:tcPr>
            <w:tcW w:w="1403" w:type="dxa"/>
          </w:tcPr>
          <w:p w14:paraId="5133F1FF" w14:textId="77777777" w:rsidR="00815DC9" w:rsidRDefault="00815DC9" w:rsidP="00D90B4B">
            <w:pPr>
              <w:pStyle w:val="NoSpacing"/>
            </w:pPr>
            <w:r>
              <w:t>Choline chloride 70%</w:t>
            </w:r>
          </w:p>
        </w:tc>
        <w:tc>
          <w:tcPr>
            <w:tcW w:w="1206" w:type="dxa"/>
            <w:vAlign w:val="center"/>
          </w:tcPr>
          <w:p w14:paraId="50D7ACC3" w14:textId="77777777" w:rsidR="00815DC9" w:rsidRDefault="00815DC9" w:rsidP="00D90B4B">
            <w:pPr>
              <w:pStyle w:val="NoSpacing"/>
              <w:jc w:val="center"/>
            </w:pPr>
            <w:r>
              <w:t>0.6</w:t>
            </w:r>
          </w:p>
        </w:tc>
        <w:tc>
          <w:tcPr>
            <w:tcW w:w="1193" w:type="dxa"/>
            <w:vAlign w:val="center"/>
          </w:tcPr>
          <w:p w14:paraId="7D0B889B" w14:textId="77777777" w:rsidR="00815DC9" w:rsidRDefault="00815DC9" w:rsidP="00D90B4B">
            <w:pPr>
              <w:pStyle w:val="NoSpacing"/>
              <w:jc w:val="center"/>
            </w:pPr>
            <w:r>
              <w:t>0.6</w:t>
            </w:r>
          </w:p>
        </w:tc>
        <w:tc>
          <w:tcPr>
            <w:tcW w:w="1193" w:type="dxa"/>
            <w:vAlign w:val="center"/>
          </w:tcPr>
          <w:p w14:paraId="3E84A55C" w14:textId="77777777" w:rsidR="00815DC9" w:rsidRDefault="00815DC9" w:rsidP="00D90B4B">
            <w:pPr>
              <w:pStyle w:val="NoSpacing"/>
              <w:jc w:val="center"/>
            </w:pPr>
            <w:r>
              <w:t>0.6</w:t>
            </w:r>
          </w:p>
        </w:tc>
        <w:tc>
          <w:tcPr>
            <w:tcW w:w="1193" w:type="dxa"/>
            <w:vAlign w:val="center"/>
          </w:tcPr>
          <w:p w14:paraId="01C8886D" w14:textId="77777777" w:rsidR="00815DC9" w:rsidRDefault="00815DC9" w:rsidP="00D90B4B">
            <w:pPr>
              <w:pStyle w:val="NoSpacing"/>
              <w:jc w:val="center"/>
            </w:pPr>
            <w:r>
              <w:t>0.6</w:t>
            </w:r>
          </w:p>
        </w:tc>
        <w:tc>
          <w:tcPr>
            <w:tcW w:w="1193" w:type="dxa"/>
            <w:vAlign w:val="center"/>
          </w:tcPr>
          <w:p w14:paraId="05267473" w14:textId="77777777" w:rsidR="00815DC9" w:rsidRDefault="00815DC9" w:rsidP="00D90B4B">
            <w:pPr>
              <w:pStyle w:val="NoSpacing"/>
              <w:jc w:val="center"/>
            </w:pPr>
            <w:r>
              <w:t>0.6</w:t>
            </w:r>
          </w:p>
        </w:tc>
        <w:tc>
          <w:tcPr>
            <w:tcW w:w="1193" w:type="dxa"/>
            <w:vAlign w:val="center"/>
          </w:tcPr>
          <w:p w14:paraId="2F4E11C2" w14:textId="77777777" w:rsidR="00815DC9" w:rsidRDefault="00815DC9" w:rsidP="00D90B4B">
            <w:pPr>
              <w:pStyle w:val="NoSpacing"/>
              <w:jc w:val="center"/>
            </w:pPr>
            <w:r>
              <w:t>0.6</w:t>
            </w:r>
          </w:p>
        </w:tc>
        <w:tc>
          <w:tcPr>
            <w:tcW w:w="1193" w:type="dxa"/>
            <w:vAlign w:val="center"/>
          </w:tcPr>
          <w:p w14:paraId="610C0FDD" w14:textId="77777777" w:rsidR="00815DC9" w:rsidRDefault="00815DC9" w:rsidP="00D90B4B">
            <w:pPr>
              <w:pStyle w:val="NoSpacing"/>
              <w:jc w:val="center"/>
            </w:pPr>
            <w:r>
              <w:t>0.6</w:t>
            </w:r>
          </w:p>
        </w:tc>
      </w:tr>
      <w:tr w:rsidR="00815DC9" w14:paraId="147DAC83" w14:textId="77777777" w:rsidTr="00D90B4B">
        <w:tc>
          <w:tcPr>
            <w:tcW w:w="1403" w:type="dxa"/>
          </w:tcPr>
          <w:p w14:paraId="1B03AB09" w14:textId="77777777" w:rsidR="00815DC9" w:rsidRDefault="00815DC9" w:rsidP="00D90B4B">
            <w:pPr>
              <w:pStyle w:val="NoSpacing"/>
            </w:pPr>
            <w:r>
              <w:t>Fish oil</w:t>
            </w:r>
          </w:p>
        </w:tc>
        <w:tc>
          <w:tcPr>
            <w:tcW w:w="1206" w:type="dxa"/>
            <w:vAlign w:val="center"/>
          </w:tcPr>
          <w:p w14:paraId="76C53BC7" w14:textId="77777777" w:rsidR="00815DC9" w:rsidRDefault="00815DC9" w:rsidP="00D90B4B">
            <w:pPr>
              <w:pStyle w:val="NoSpacing"/>
              <w:jc w:val="center"/>
            </w:pPr>
            <w:r>
              <w:t>7.9</w:t>
            </w:r>
          </w:p>
        </w:tc>
        <w:tc>
          <w:tcPr>
            <w:tcW w:w="1193" w:type="dxa"/>
            <w:vAlign w:val="center"/>
          </w:tcPr>
          <w:p w14:paraId="07933463" w14:textId="77777777" w:rsidR="00815DC9" w:rsidRDefault="00815DC9" w:rsidP="00D90B4B">
            <w:pPr>
              <w:pStyle w:val="NoSpacing"/>
              <w:jc w:val="center"/>
            </w:pPr>
            <w:r>
              <w:t>7.9</w:t>
            </w:r>
          </w:p>
        </w:tc>
        <w:tc>
          <w:tcPr>
            <w:tcW w:w="1193" w:type="dxa"/>
            <w:vAlign w:val="center"/>
          </w:tcPr>
          <w:p w14:paraId="354D6D71" w14:textId="77777777" w:rsidR="00815DC9" w:rsidRDefault="00815DC9" w:rsidP="00D90B4B">
            <w:pPr>
              <w:pStyle w:val="NoSpacing"/>
              <w:jc w:val="center"/>
            </w:pPr>
            <w:r>
              <w:t>7.9</w:t>
            </w:r>
          </w:p>
        </w:tc>
        <w:tc>
          <w:tcPr>
            <w:tcW w:w="1193" w:type="dxa"/>
            <w:vAlign w:val="center"/>
          </w:tcPr>
          <w:p w14:paraId="766C59B8" w14:textId="77777777" w:rsidR="00815DC9" w:rsidRDefault="00815DC9" w:rsidP="00D90B4B">
            <w:pPr>
              <w:pStyle w:val="NoSpacing"/>
              <w:jc w:val="center"/>
            </w:pPr>
            <w:r>
              <w:t>7.9</w:t>
            </w:r>
          </w:p>
        </w:tc>
        <w:tc>
          <w:tcPr>
            <w:tcW w:w="1193" w:type="dxa"/>
            <w:vAlign w:val="center"/>
          </w:tcPr>
          <w:p w14:paraId="35BAE799" w14:textId="77777777" w:rsidR="00815DC9" w:rsidRDefault="00815DC9" w:rsidP="00D90B4B">
            <w:pPr>
              <w:pStyle w:val="NoSpacing"/>
              <w:jc w:val="center"/>
            </w:pPr>
            <w:r>
              <w:t>7.9</w:t>
            </w:r>
          </w:p>
        </w:tc>
        <w:tc>
          <w:tcPr>
            <w:tcW w:w="1193" w:type="dxa"/>
            <w:vAlign w:val="center"/>
          </w:tcPr>
          <w:p w14:paraId="5E53A6E1" w14:textId="77777777" w:rsidR="00815DC9" w:rsidRDefault="00815DC9" w:rsidP="00D90B4B">
            <w:pPr>
              <w:pStyle w:val="NoSpacing"/>
              <w:jc w:val="center"/>
            </w:pPr>
            <w:r>
              <w:t>7.9</w:t>
            </w:r>
          </w:p>
        </w:tc>
        <w:tc>
          <w:tcPr>
            <w:tcW w:w="1193" w:type="dxa"/>
            <w:vAlign w:val="center"/>
          </w:tcPr>
          <w:p w14:paraId="4A35FED2" w14:textId="77777777" w:rsidR="00815DC9" w:rsidRDefault="00815DC9" w:rsidP="00D90B4B">
            <w:pPr>
              <w:pStyle w:val="NoSpacing"/>
              <w:jc w:val="center"/>
            </w:pPr>
            <w:r>
              <w:t>7.9</w:t>
            </w:r>
          </w:p>
        </w:tc>
      </w:tr>
      <w:tr w:rsidR="00815DC9" w14:paraId="5679761A" w14:textId="77777777" w:rsidTr="00D90B4B">
        <w:tc>
          <w:tcPr>
            <w:tcW w:w="1403" w:type="dxa"/>
          </w:tcPr>
          <w:p w14:paraId="344FD87C" w14:textId="77777777" w:rsidR="00815DC9" w:rsidRDefault="00815DC9" w:rsidP="00D90B4B">
            <w:pPr>
              <w:pStyle w:val="NoSpacing"/>
            </w:pPr>
            <w:r>
              <w:t>Rapeseed oil</w:t>
            </w:r>
          </w:p>
        </w:tc>
        <w:tc>
          <w:tcPr>
            <w:tcW w:w="1206" w:type="dxa"/>
            <w:vAlign w:val="center"/>
          </w:tcPr>
          <w:p w14:paraId="7630DE0B" w14:textId="77777777" w:rsidR="00815DC9" w:rsidRDefault="00815DC9" w:rsidP="00D90B4B">
            <w:pPr>
              <w:pStyle w:val="NoSpacing"/>
              <w:jc w:val="center"/>
            </w:pPr>
            <w:r>
              <w:t>12.8</w:t>
            </w:r>
          </w:p>
        </w:tc>
        <w:tc>
          <w:tcPr>
            <w:tcW w:w="1193" w:type="dxa"/>
            <w:vAlign w:val="center"/>
          </w:tcPr>
          <w:p w14:paraId="4BC33366" w14:textId="77777777" w:rsidR="00815DC9" w:rsidRDefault="00815DC9" w:rsidP="00D90B4B">
            <w:pPr>
              <w:pStyle w:val="NoSpacing"/>
              <w:jc w:val="center"/>
            </w:pPr>
            <w:r>
              <w:t>13.0</w:t>
            </w:r>
          </w:p>
        </w:tc>
        <w:tc>
          <w:tcPr>
            <w:tcW w:w="1193" w:type="dxa"/>
            <w:vAlign w:val="center"/>
          </w:tcPr>
          <w:p w14:paraId="1A979D02" w14:textId="77777777" w:rsidR="00815DC9" w:rsidRDefault="00815DC9" w:rsidP="00D90B4B">
            <w:pPr>
              <w:pStyle w:val="NoSpacing"/>
              <w:jc w:val="center"/>
            </w:pPr>
            <w:r>
              <w:t>13.0</w:t>
            </w:r>
          </w:p>
        </w:tc>
        <w:tc>
          <w:tcPr>
            <w:tcW w:w="1193" w:type="dxa"/>
            <w:vAlign w:val="center"/>
          </w:tcPr>
          <w:p w14:paraId="456F1E1B" w14:textId="77777777" w:rsidR="00815DC9" w:rsidRDefault="00815DC9" w:rsidP="00D90B4B">
            <w:pPr>
              <w:pStyle w:val="NoSpacing"/>
              <w:jc w:val="center"/>
            </w:pPr>
            <w:r>
              <w:t>12.7</w:t>
            </w:r>
          </w:p>
        </w:tc>
        <w:tc>
          <w:tcPr>
            <w:tcW w:w="1193" w:type="dxa"/>
            <w:vAlign w:val="center"/>
          </w:tcPr>
          <w:p w14:paraId="52E2DD7B" w14:textId="77777777" w:rsidR="00815DC9" w:rsidRDefault="00815DC9" w:rsidP="00D90B4B">
            <w:pPr>
              <w:pStyle w:val="NoSpacing"/>
              <w:jc w:val="center"/>
            </w:pPr>
            <w:r>
              <w:t>13.1</w:t>
            </w:r>
          </w:p>
        </w:tc>
        <w:tc>
          <w:tcPr>
            <w:tcW w:w="1193" w:type="dxa"/>
            <w:vAlign w:val="center"/>
          </w:tcPr>
          <w:p w14:paraId="64579232" w14:textId="77777777" w:rsidR="00815DC9" w:rsidRDefault="00815DC9" w:rsidP="00D90B4B">
            <w:pPr>
              <w:pStyle w:val="NoSpacing"/>
              <w:jc w:val="center"/>
            </w:pPr>
            <w:r>
              <w:t>13.0</w:t>
            </w:r>
          </w:p>
        </w:tc>
        <w:tc>
          <w:tcPr>
            <w:tcW w:w="1193" w:type="dxa"/>
            <w:vAlign w:val="center"/>
          </w:tcPr>
          <w:p w14:paraId="0E907231" w14:textId="77777777" w:rsidR="00815DC9" w:rsidRDefault="00815DC9" w:rsidP="00D90B4B">
            <w:pPr>
              <w:pStyle w:val="NoSpacing"/>
              <w:jc w:val="center"/>
            </w:pPr>
            <w:r>
              <w:t>12.7</w:t>
            </w:r>
          </w:p>
        </w:tc>
      </w:tr>
      <w:tr w:rsidR="00815DC9" w14:paraId="5DCD8992" w14:textId="77777777" w:rsidTr="00D90B4B">
        <w:tc>
          <w:tcPr>
            <w:tcW w:w="1403" w:type="dxa"/>
          </w:tcPr>
          <w:p w14:paraId="0CB4950C" w14:textId="6E3A833E" w:rsidR="00815DC9" w:rsidRDefault="00815DC9" w:rsidP="00D90B4B">
            <w:pPr>
              <w:pStyle w:val="NoSpacing"/>
            </w:pPr>
            <w:r>
              <w:t>Vitamin Premix</w:t>
            </w:r>
          </w:p>
        </w:tc>
        <w:tc>
          <w:tcPr>
            <w:tcW w:w="1206" w:type="dxa"/>
            <w:vAlign w:val="center"/>
          </w:tcPr>
          <w:p w14:paraId="06C6996C" w14:textId="77777777" w:rsidR="00815DC9" w:rsidRDefault="00815DC9" w:rsidP="00D90B4B">
            <w:pPr>
              <w:pStyle w:val="NoSpacing"/>
              <w:jc w:val="center"/>
            </w:pPr>
            <w:r>
              <w:t>0.5</w:t>
            </w:r>
          </w:p>
        </w:tc>
        <w:tc>
          <w:tcPr>
            <w:tcW w:w="1193" w:type="dxa"/>
            <w:vAlign w:val="center"/>
          </w:tcPr>
          <w:p w14:paraId="0BF87039" w14:textId="77777777" w:rsidR="00815DC9" w:rsidRDefault="00815DC9" w:rsidP="00D90B4B">
            <w:pPr>
              <w:pStyle w:val="NoSpacing"/>
              <w:jc w:val="center"/>
            </w:pPr>
            <w:r>
              <w:t>0.5</w:t>
            </w:r>
          </w:p>
        </w:tc>
        <w:tc>
          <w:tcPr>
            <w:tcW w:w="1193" w:type="dxa"/>
            <w:vAlign w:val="center"/>
          </w:tcPr>
          <w:p w14:paraId="54F5DFB8" w14:textId="77777777" w:rsidR="00815DC9" w:rsidRDefault="00815DC9" w:rsidP="00D90B4B">
            <w:pPr>
              <w:pStyle w:val="NoSpacing"/>
              <w:jc w:val="center"/>
            </w:pPr>
            <w:r>
              <w:t>0.5</w:t>
            </w:r>
          </w:p>
        </w:tc>
        <w:tc>
          <w:tcPr>
            <w:tcW w:w="1193" w:type="dxa"/>
            <w:vAlign w:val="center"/>
          </w:tcPr>
          <w:p w14:paraId="77948BB4" w14:textId="77777777" w:rsidR="00815DC9" w:rsidRDefault="00815DC9" w:rsidP="00D90B4B">
            <w:pPr>
              <w:pStyle w:val="NoSpacing"/>
              <w:jc w:val="center"/>
            </w:pPr>
            <w:r>
              <w:t>0.5</w:t>
            </w:r>
          </w:p>
        </w:tc>
        <w:tc>
          <w:tcPr>
            <w:tcW w:w="1193" w:type="dxa"/>
            <w:vAlign w:val="center"/>
          </w:tcPr>
          <w:p w14:paraId="18C06DE2" w14:textId="77777777" w:rsidR="00815DC9" w:rsidRDefault="00815DC9" w:rsidP="00D90B4B">
            <w:pPr>
              <w:pStyle w:val="NoSpacing"/>
              <w:jc w:val="center"/>
            </w:pPr>
            <w:r>
              <w:t>0.5</w:t>
            </w:r>
          </w:p>
        </w:tc>
        <w:tc>
          <w:tcPr>
            <w:tcW w:w="1193" w:type="dxa"/>
            <w:vAlign w:val="center"/>
          </w:tcPr>
          <w:p w14:paraId="29442363" w14:textId="77777777" w:rsidR="00815DC9" w:rsidRDefault="00815DC9" w:rsidP="00D90B4B">
            <w:pPr>
              <w:pStyle w:val="NoSpacing"/>
              <w:jc w:val="center"/>
            </w:pPr>
            <w:r>
              <w:t>0.5</w:t>
            </w:r>
          </w:p>
        </w:tc>
        <w:tc>
          <w:tcPr>
            <w:tcW w:w="1193" w:type="dxa"/>
            <w:vAlign w:val="center"/>
          </w:tcPr>
          <w:p w14:paraId="360E4DDB" w14:textId="77777777" w:rsidR="00815DC9" w:rsidRDefault="00815DC9" w:rsidP="00D90B4B">
            <w:pPr>
              <w:pStyle w:val="NoSpacing"/>
              <w:jc w:val="center"/>
            </w:pPr>
            <w:r>
              <w:t>0.5</w:t>
            </w:r>
          </w:p>
        </w:tc>
      </w:tr>
      <w:tr w:rsidR="00815DC9" w14:paraId="0C935FDC" w14:textId="77777777" w:rsidTr="00D90B4B">
        <w:tc>
          <w:tcPr>
            <w:tcW w:w="1403" w:type="dxa"/>
          </w:tcPr>
          <w:p w14:paraId="31239D07" w14:textId="77777777" w:rsidR="00815DC9" w:rsidRDefault="00815DC9" w:rsidP="00D90B4B">
            <w:pPr>
              <w:pStyle w:val="NoSpacing"/>
            </w:pPr>
            <w:r>
              <w:t>L-Lysine</w:t>
            </w:r>
          </w:p>
        </w:tc>
        <w:tc>
          <w:tcPr>
            <w:tcW w:w="1206" w:type="dxa"/>
            <w:vAlign w:val="center"/>
          </w:tcPr>
          <w:p w14:paraId="3E4BDA1A" w14:textId="77777777" w:rsidR="00815DC9" w:rsidRDefault="00815DC9" w:rsidP="00D90B4B">
            <w:pPr>
              <w:pStyle w:val="NoSpacing"/>
              <w:jc w:val="center"/>
            </w:pPr>
            <w:r>
              <w:t>0.6</w:t>
            </w:r>
          </w:p>
        </w:tc>
        <w:tc>
          <w:tcPr>
            <w:tcW w:w="1193" w:type="dxa"/>
            <w:vAlign w:val="center"/>
          </w:tcPr>
          <w:p w14:paraId="7EFAF900" w14:textId="77777777" w:rsidR="00815DC9" w:rsidRDefault="00815DC9" w:rsidP="00D90B4B">
            <w:pPr>
              <w:pStyle w:val="NoSpacing"/>
              <w:jc w:val="center"/>
            </w:pPr>
            <w:r>
              <w:t>0.8</w:t>
            </w:r>
          </w:p>
        </w:tc>
        <w:tc>
          <w:tcPr>
            <w:tcW w:w="1193" w:type="dxa"/>
            <w:vAlign w:val="center"/>
          </w:tcPr>
          <w:p w14:paraId="7D2F61DE" w14:textId="77777777" w:rsidR="00815DC9" w:rsidRDefault="00815DC9" w:rsidP="00D90B4B">
            <w:pPr>
              <w:pStyle w:val="NoSpacing"/>
              <w:jc w:val="center"/>
            </w:pPr>
            <w:r>
              <w:t>0.9</w:t>
            </w:r>
          </w:p>
        </w:tc>
        <w:tc>
          <w:tcPr>
            <w:tcW w:w="1193" w:type="dxa"/>
            <w:vAlign w:val="center"/>
          </w:tcPr>
          <w:p w14:paraId="1DCA7F02" w14:textId="77777777" w:rsidR="00815DC9" w:rsidRDefault="00815DC9" w:rsidP="00D90B4B">
            <w:pPr>
              <w:pStyle w:val="NoSpacing"/>
              <w:jc w:val="center"/>
            </w:pPr>
            <w:r>
              <w:t>1.0</w:t>
            </w:r>
          </w:p>
        </w:tc>
        <w:tc>
          <w:tcPr>
            <w:tcW w:w="1193" w:type="dxa"/>
            <w:vAlign w:val="center"/>
          </w:tcPr>
          <w:p w14:paraId="7C771EDA" w14:textId="77777777" w:rsidR="00815DC9" w:rsidRDefault="00815DC9" w:rsidP="00D90B4B">
            <w:pPr>
              <w:pStyle w:val="NoSpacing"/>
              <w:jc w:val="center"/>
            </w:pPr>
            <w:r>
              <w:t>0.8</w:t>
            </w:r>
          </w:p>
        </w:tc>
        <w:tc>
          <w:tcPr>
            <w:tcW w:w="1193" w:type="dxa"/>
            <w:vAlign w:val="center"/>
          </w:tcPr>
          <w:p w14:paraId="00E79B11" w14:textId="77777777" w:rsidR="00815DC9" w:rsidRDefault="00815DC9" w:rsidP="00D90B4B">
            <w:pPr>
              <w:pStyle w:val="NoSpacing"/>
              <w:jc w:val="center"/>
            </w:pPr>
            <w:r>
              <w:t>0.9</w:t>
            </w:r>
          </w:p>
        </w:tc>
        <w:tc>
          <w:tcPr>
            <w:tcW w:w="1193" w:type="dxa"/>
            <w:vAlign w:val="center"/>
          </w:tcPr>
          <w:p w14:paraId="5034970B" w14:textId="77777777" w:rsidR="00815DC9" w:rsidRDefault="00815DC9" w:rsidP="00D90B4B">
            <w:pPr>
              <w:pStyle w:val="NoSpacing"/>
              <w:jc w:val="center"/>
            </w:pPr>
            <w:r>
              <w:t>1.0</w:t>
            </w:r>
          </w:p>
        </w:tc>
      </w:tr>
      <w:tr w:rsidR="00815DC9" w14:paraId="6FBE9A16" w14:textId="77777777" w:rsidTr="00D90B4B">
        <w:tc>
          <w:tcPr>
            <w:tcW w:w="1403" w:type="dxa"/>
          </w:tcPr>
          <w:p w14:paraId="0CD13837" w14:textId="77777777" w:rsidR="00815DC9" w:rsidRDefault="00815DC9" w:rsidP="00D90B4B">
            <w:pPr>
              <w:pStyle w:val="NoSpacing"/>
            </w:pPr>
            <w:r>
              <w:t>L-Methionine</w:t>
            </w:r>
          </w:p>
        </w:tc>
        <w:tc>
          <w:tcPr>
            <w:tcW w:w="1206" w:type="dxa"/>
            <w:vAlign w:val="center"/>
          </w:tcPr>
          <w:p w14:paraId="51665FC9" w14:textId="77777777" w:rsidR="00815DC9" w:rsidRDefault="00815DC9" w:rsidP="00D90B4B">
            <w:pPr>
              <w:pStyle w:val="NoSpacing"/>
              <w:jc w:val="center"/>
            </w:pPr>
            <w:r>
              <w:t>0.1</w:t>
            </w:r>
          </w:p>
        </w:tc>
        <w:tc>
          <w:tcPr>
            <w:tcW w:w="1193" w:type="dxa"/>
            <w:vAlign w:val="center"/>
          </w:tcPr>
          <w:p w14:paraId="5F7578A3" w14:textId="77777777" w:rsidR="00815DC9" w:rsidRDefault="00815DC9" w:rsidP="00D90B4B">
            <w:pPr>
              <w:pStyle w:val="NoSpacing"/>
              <w:jc w:val="center"/>
            </w:pPr>
            <w:r>
              <w:t>0.1</w:t>
            </w:r>
          </w:p>
        </w:tc>
        <w:tc>
          <w:tcPr>
            <w:tcW w:w="1193" w:type="dxa"/>
            <w:vAlign w:val="center"/>
          </w:tcPr>
          <w:p w14:paraId="38A1DE28" w14:textId="77777777" w:rsidR="00815DC9" w:rsidRDefault="00815DC9" w:rsidP="00D90B4B">
            <w:pPr>
              <w:pStyle w:val="NoSpacing"/>
              <w:jc w:val="center"/>
            </w:pPr>
            <w:r>
              <w:t>0.1</w:t>
            </w:r>
          </w:p>
        </w:tc>
        <w:tc>
          <w:tcPr>
            <w:tcW w:w="1193" w:type="dxa"/>
            <w:vAlign w:val="center"/>
          </w:tcPr>
          <w:p w14:paraId="34D46F50" w14:textId="77777777" w:rsidR="00815DC9" w:rsidRDefault="00815DC9" w:rsidP="00D90B4B">
            <w:pPr>
              <w:pStyle w:val="NoSpacing"/>
              <w:jc w:val="center"/>
            </w:pPr>
            <w:r>
              <w:t>0.1</w:t>
            </w:r>
          </w:p>
        </w:tc>
        <w:tc>
          <w:tcPr>
            <w:tcW w:w="1193" w:type="dxa"/>
            <w:vAlign w:val="center"/>
          </w:tcPr>
          <w:p w14:paraId="54BF0E2D" w14:textId="77777777" w:rsidR="00815DC9" w:rsidRDefault="00815DC9" w:rsidP="00D90B4B">
            <w:pPr>
              <w:pStyle w:val="NoSpacing"/>
              <w:jc w:val="center"/>
            </w:pPr>
            <w:r>
              <w:t>0.1</w:t>
            </w:r>
          </w:p>
        </w:tc>
        <w:tc>
          <w:tcPr>
            <w:tcW w:w="1193" w:type="dxa"/>
            <w:vAlign w:val="center"/>
          </w:tcPr>
          <w:p w14:paraId="408FC471" w14:textId="77777777" w:rsidR="00815DC9" w:rsidRDefault="00815DC9" w:rsidP="00D90B4B">
            <w:pPr>
              <w:pStyle w:val="NoSpacing"/>
              <w:jc w:val="center"/>
            </w:pPr>
            <w:r>
              <w:t>0.1</w:t>
            </w:r>
          </w:p>
        </w:tc>
        <w:tc>
          <w:tcPr>
            <w:tcW w:w="1193" w:type="dxa"/>
            <w:vAlign w:val="center"/>
          </w:tcPr>
          <w:p w14:paraId="666FF2B3" w14:textId="77777777" w:rsidR="00815DC9" w:rsidRDefault="00815DC9" w:rsidP="00D90B4B">
            <w:pPr>
              <w:pStyle w:val="NoSpacing"/>
              <w:jc w:val="center"/>
            </w:pPr>
            <w:r>
              <w:t>0.1</w:t>
            </w:r>
          </w:p>
        </w:tc>
      </w:tr>
      <w:tr w:rsidR="00815DC9" w14:paraId="43DE7477" w14:textId="77777777" w:rsidTr="00D90B4B">
        <w:tc>
          <w:tcPr>
            <w:tcW w:w="1403" w:type="dxa"/>
          </w:tcPr>
          <w:p w14:paraId="7E2A2EC1" w14:textId="77777777" w:rsidR="00815DC9" w:rsidRDefault="00815DC9" w:rsidP="00D90B4B">
            <w:pPr>
              <w:pStyle w:val="NoSpacing"/>
            </w:pPr>
            <w:r>
              <w:t>Yttrium</w:t>
            </w:r>
          </w:p>
        </w:tc>
        <w:tc>
          <w:tcPr>
            <w:tcW w:w="1206" w:type="dxa"/>
            <w:vAlign w:val="center"/>
          </w:tcPr>
          <w:p w14:paraId="3350B08E" w14:textId="77777777" w:rsidR="00815DC9" w:rsidRDefault="00815DC9" w:rsidP="00D90B4B">
            <w:pPr>
              <w:pStyle w:val="NoSpacing"/>
              <w:jc w:val="center"/>
            </w:pPr>
            <w:r>
              <w:t>0.02</w:t>
            </w:r>
          </w:p>
        </w:tc>
        <w:tc>
          <w:tcPr>
            <w:tcW w:w="1193" w:type="dxa"/>
            <w:vAlign w:val="center"/>
          </w:tcPr>
          <w:p w14:paraId="3991F69A" w14:textId="77777777" w:rsidR="00815DC9" w:rsidRDefault="00815DC9" w:rsidP="00D90B4B">
            <w:pPr>
              <w:pStyle w:val="NoSpacing"/>
              <w:jc w:val="center"/>
            </w:pPr>
            <w:r>
              <w:t>0.02</w:t>
            </w:r>
          </w:p>
        </w:tc>
        <w:tc>
          <w:tcPr>
            <w:tcW w:w="1193" w:type="dxa"/>
            <w:vAlign w:val="center"/>
          </w:tcPr>
          <w:p w14:paraId="2FAE4292" w14:textId="77777777" w:rsidR="00815DC9" w:rsidRDefault="00815DC9" w:rsidP="00D90B4B">
            <w:pPr>
              <w:pStyle w:val="NoSpacing"/>
              <w:jc w:val="center"/>
            </w:pPr>
            <w:r>
              <w:t>0.02</w:t>
            </w:r>
          </w:p>
        </w:tc>
        <w:tc>
          <w:tcPr>
            <w:tcW w:w="1193" w:type="dxa"/>
            <w:vAlign w:val="center"/>
          </w:tcPr>
          <w:p w14:paraId="4B3C9F99" w14:textId="77777777" w:rsidR="00815DC9" w:rsidRDefault="00815DC9" w:rsidP="00D90B4B">
            <w:pPr>
              <w:pStyle w:val="NoSpacing"/>
              <w:jc w:val="center"/>
            </w:pPr>
            <w:r>
              <w:t>0.02</w:t>
            </w:r>
          </w:p>
        </w:tc>
        <w:tc>
          <w:tcPr>
            <w:tcW w:w="1193" w:type="dxa"/>
            <w:vAlign w:val="center"/>
          </w:tcPr>
          <w:p w14:paraId="6FC39223" w14:textId="77777777" w:rsidR="00815DC9" w:rsidRDefault="00815DC9" w:rsidP="00D90B4B">
            <w:pPr>
              <w:pStyle w:val="NoSpacing"/>
              <w:jc w:val="center"/>
            </w:pPr>
            <w:r>
              <w:t>0.02</w:t>
            </w:r>
          </w:p>
        </w:tc>
        <w:tc>
          <w:tcPr>
            <w:tcW w:w="1193" w:type="dxa"/>
            <w:vAlign w:val="center"/>
          </w:tcPr>
          <w:p w14:paraId="3CCA3596" w14:textId="77777777" w:rsidR="00815DC9" w:rsidRDefault="00815DC9" w:rsidP="00D90B4B">
            <w:pPr>
              <w:pStyle w:val="NoSpacing"/>
              <w:jc w:val="center"/>
            </w:pPr>
            <w:r>
              <w:t>0.02</w:t>
            </w:r>
          </w:p>
        </w:tc>
        <w:tc>
          <w:tcPr>
            <w:tcW w:w="1193" w:type="dxa"/>
            <w:vAlign w:val="center"/>
          </w:tcPr>
          <w:p w14:paraId="3476927C" w14:textId="77777777" w:rsidR="00815DC9" w:rsidRDefault="00815DC9" w:rsidP="00D90B4B">
            <w:pPr>
              <w:pStyle w:val="NoSpacing"/>
              <w:jc w:val="center"/>
            </w:pPr>
            <w:r>
              <w:t>0.02</w:t>
            </w:r>
          </w:p>
        </w:tc>
      </w:tr>
      <w:tr w:rsidR="00815DC9" w14:paraId="0CDF0378" w14:textId="77777777" w:rsidTr="00D90B4B">
        <w:tc>
          <w:tcPr>
            <w:tcW w:w="1403" w:type="dxa"/>
          </w:tcPr>
          <w:p w14:paraId="4826D5C4" w14:textId="77777777" w:rsidR="00815DC9" w:rsidRDefault="00815DC9" w:rsidP="00D90B4B">
            <w:pPr>
              <w:pStyle w:val="NoSpacing"/>
            </w:pPr>
          </w:p>
        </w:tc>
        <w:tc>
          <w:tcPr>
            <w:tcW w:w="1206" w:type="dxa"/>
            <w:vAlign w:val="center"/>
          </w:tcPr>
          <w:p w14:paraId="14E3A68F" w14:textId="77777777" w:rsidR="00815DC9" w:rsidRDefault="00815DC9" w:rsidP="00D90B4B">
            <w:pPr>
              <w:pStyle w:val="NoSpacing"/>
              <w:jc w:val="center"/>
            </w:pPr>
          </w:p>
        </w:tc>
        <w:tc>
          <w:tcPr>
            <w:tcW w:w="1193" w:type="dxa"/>
            <w:vAlign w:val="center"/>
          </w:tcPr>
          <w:p w14:paraId="7C797411" w14:textId="77777777" w:rsidR="00815DC9" w:rsidRDefault="00815DC9" w:rsidP="00D90B4B">
            <w:pPr>
              <w:pStyle w:val="NoSpacing"/>
              <w:jc w:val="center"/>
            </w:pPr>
          </w:p>
        </w:tc>
        <w:tc>
          <w:tcPr>
            <w:tcW w:w="1193" w:type="dxa"/>
            <w:vAlign w:val="center"/>
          </w:tcPr>
          <w:p w14:paraId="5A66B240" w14:textId="77777777" w:rsidR="00815DC9" w:rsidRDefault="00815DC9" w:rsidP="00D90B4B">
            <w:pPr>
              <w:pStyle w:val="NoSpacing"/>
              <w:jc w:val="center"/>
            </w:pPr>
          </w:p>
        </w:tc>
        <w:tc>
          <w:tcPr>
            <w:tcW w:w="1193" w:type="dxa"/>
            <w:vAlign w:val="center"/>
          </w:tcPr>
          <w:p w14:paraId="30D127AE" w14:textId="77777777" w:rsidR="00815DC9" w:rsidRDefault="00815DC9" w:rsidP="00D90B4B">
            <w:pPr>
              <w:pStyle w:val="NoSpacing"/>
              <w:jc w:val="center"/>
            </w:pPr>
          </w:p>
        </w:tc>
        <w:tc>
          <w:tcPr>
            <w:tcW w:w="1193" w:type="dxa"/>
            <w:vAlign w:val="center"/>
          </w:tcPr>
          <w:p w14:paraId="62EBFD4C" w14:textId="77777777" w:rsidR="00815DC9" w:rsidRDefault="00815DC9" w:rsidP="00D90B4B">
            <w:pPr>
              <w:pStyle w:val="NoSpacing"/>
              <w:jc w:val="center"/>
            </w:pPr>
          </w:p>
        </w:tc>
        <w:tc>
          <w:tcPr>
            <w:tcW w:w="1193" w:type="dxa"/>
            <w:vAlign w:val="center"/>
          </w:tcPr>
          <w:p w14:paraId="12614A91" w14:textId="77777777" w:rsidR="00815DC9" w:rsidRDefault="00815DC9" w:rsidP="00D90B4B">
            <w:pPr>
              <w:pStyle w:val="NoSpacing"/>
              <w:jc w:val="center"/>
            </w:pPr>
          </w:p>
        </w:tc>
        <w:tc>
          <w:tcPr>
            <w:tcW w:w="1193" w:type="dxa"/>
            <w:vAlign w:val="center"/>
          </w:tcPr>
          <w:p w14:paraId="39765D1D" w14:textId="77777777" w:rsidR="00815DC9" w:rsidRDefault="00815DC9" w:rsidP="00D90B4B">
            <w:pPr>
              <w:pStyle w:val="NoSpacing"/>
              <w:jc w:val="center"/>
            </w:pPr>
          </w:p>
        </w:tc>
      </w:tr>
      <w:tr w:rsidR="00815DC9" w14:paraId="5F3CFA5F" w14:textId="77777777" w:rsidTr="00D90B4B">
        <w:tc>
          <w:tcPr>
            <w:tcW w:w="1403" w:type="dxa"/>
          </w:tcPr>
          <w:p w14:paraId="6294D594" w14:textId="77777777" w:rsidR="00815DC9" w:rsidRDefault="00815DC9" w:rsidP="00D90B4B">
            <w:pPr>
              <w:pStyle w:val="NoSpacing"/>
            </w:pPr>
          </w:p>
        </w:tc>
        <w:tc>
          <w:tcPr>
            <w:tcW w:w="8364" w:type="dxa"/>
            <w:gridSpan w:val="7"/>
            <w:vAlign w:val="center"/>
          </w:tcPr>
          <w:p w14:paraId="02D27772" w14:textId="77777777" w:rsidR="00815DC9" w:rsidRPr="00815DC9" w:rsidRDefault="00815DC9" w:rsidP="00D90B4B">
            <w:pPr>
              <w:pStyle w:val="NoSpacing"/>
              <w:jc w:val="center"/>
              <w:rPr>
                <w:b/>
                <w:bCs/>
              </w:rPr>
            </w:pPr>
            <w:r w:rsidRPr="00815DC9">
              <w:rPr>
                <w:b/>
                <w:bCs/>
              </w:rPr>
              <w:t>Calculated energy and nutrient contents</w:t>
            </w:r>
          </w:p>
        </w:tc>
      </w:tr>
      <w:tr w:rsidR="00815DC9" w14:paraId="7CC68A04" w14:textId="77777777" w:rsidTr="00D90B4B">
        <w:tc>
          <w:tcPr>
            <w:tcW w:w="1403" w:type="dxa"/>
          </w:tcPr>
          <w:p w14:paraId="415E03ED" w14:textId="77777777" w:rsidR="00815DC9" w:rsidRDefault="00815DC9" w:rsidP="00D90B4B">
            <w:pPr>
              <w:pStyle w:val="NoSpacing"/>
            </w:pPr>
            <w:r>
              <w:t>Crude protein</w:t>
            </w:r>
          </w:p>
        </w:tc>
        <w:tc>
          <w:tcPr>
            <w:tcW w:w="1206" w:type="dxa"/>
            <w:vAlign w:val="center"/>
          </w:tcPr>
          <w:p w14:paraId="4EC97DC7" w14:textId="77777777" w:rsidR="00815DC9" w:rsidRDefault="00815DC9" w:rsidP="00D90B4B">
            <w:pPr>
              <w:pStyle w:val="NoSpacing"/>
              <w:jc w:val="center"/>
            </w:pPr>
            <w:r>
              <w:t>39.9</w:t>
            </w:r>
          </w:p>
        </w:tc>
        <w:tc>
          <w:tcPr>
            <w:tcW w:w="1193" w:type="dxa"/>
            <w:vAlign w:val="center"/>
          </w:tcPr>
          <w:p w14:paraId="22EB1D9A" w14:textId="77777777" w:rsidR="00815DC9" w:rsidRDefault="00815DC9" w:rsidP="00D90B4B">
            <w:pPr>
              <w:pStyle w:val="NoSpacing"/>
              <w:jc w:val="center"/>
            </w:pPr>
            <w:r>
              <w:t>39.8</w:t>
            </w:r>
          </w:p>
        </w:tc>
        <w:tc>
          <w:tcPr>
            <w:tcW w:w="1193" w:type="dxa"/>
            <w:vAlign w:val="center"/>
          </w:tcPr>
          <w:p w14:paraId="30DB5C69" w14:textId="77777777" w:rsidR="00815DC9" w:rsidRDefault="00815DC9" w:rsidP="00D90B4B">
            <w:pPr>
              <w:pStyle w:val="NoSpacing"/>
              <w:jc w:val="center"/>
            </w:pPr>
            <w:r>
              <w:t>39.8</w:t>
            </w:r>
          </w:p>
        </w:tc>
        <w:tc>
          <w:tcPr>
            <w:tcW w:w="1193" w:type="dxa"/>
            <w:vAlign w:val="center"/>
          </w:tcPr>
          <w:p w14:paraId="6A74FC36" w14:textId="77777777" w:rsidR="00815DC9" w:rsidRDefault="00815DC9" w:rsidP="00D90B4B">
            <w:pPr>
              <w:pStyle w:val="NoSpacing"/>
              <w:jc w:val="center"/>
            </w:pPr>
            <w:r>
              <w:t>39.7</w:t>
            </w:r>
          </w:p>
        </w:tc>
        <w:tc>
          <w:tcPr>
            <w:tcW w:w="1193" w:type="dxa"/>
            <w:vAlign w:val="center"/>
          </w:tcPr>
          <w:p w14:paraId="24FC9C2E" w14:textId="77777777" w:rsidR="00815DC9" w:rsidRDefault="00815DC9" w:rsidP="00D90B4B">
            <w:pPr>
              <w:pStyle w:val="NoSpacing"/>
              <w:jc w:val="center"/>
            </w:pPr>
            <w:r>
              <w:t>39.8</w:t>
            </w:r>
          </w:p>
        </w:tc>
        <w:tc>
          <w:tcPr>
            <w:tcW w:w="1193" w:type="dxa"/>
            <w:vAlign w:val="center"/>
          </w:tcPr>
          <w:p w14:paraId="0A004E28" w14:textId="77777777" w:rsidR="00815DC9" w:rsidRDefault="00815DC9" w:rsidP="00D90B4B">
            <w:pPr>
              <w:pStyle w:val="NoSpacing"/>
              <w:jc w:val="center"/>
            </w:pPr>
            <w:r>
              <w:t>39.9</w:t>
            </w:r>
          </w:p>
        </w:tc>
        <w:tc>
          <w:tcPr>
            <w:tcW w:w="1193" w:type="dxa"/>
            <w:vAlign w:val="center"/>
          </w:tcPr>
          <w:p w14:paraId="48C305E9" w14:textId="77777777" w:rsidR="00815DC9" w:rsidRDefault="00815DC9" w:rsidP="00D90B4B">
            <w:pPr>
              <w:pStyle w:val="NoSpacing"/>
              <w:jc w:val="center"/>
            </w:pPr>
            <w:r>
              <w:t>39.9</w:t>
            </w:r>
          </w:p>
        </w:tc>
      </w:tr>
      <w:tr w:rsidR="00815DC9" w14:paraId="0C7E41C8" w14:textId="77777777" w:rsidTr="00D90B4B">
        <w:tc>
          <w:tcPr>
            <w:tcW w:w="1403" w:type="dxa"/>
          </w:tcPr>
          <w:p w14:paraId="67A9BB81" w14:textId="77777777" w:rsidR="00815DC9" w:rsidRDefault="00815DC9" w:rsidP="00D90B4B">
            <w:pPr>
              <w:pStyle w:val="NoSpacing"/>
            </w:pPr>
            <w:r>
              <w:t>Crude lipid</w:t>
            </w:r>
          </w:p>
        </w:tc>
        <w:tc>
          <w:tcPr>
            <w:tcW w:w="1206" w:type="dxa"/>
            <w:vAlign w:val="center"/>
          </w:tcPr>
          <w:p w14:paraId="758B2E09" w14:textId="77777777" w:rsidR="00815DC9" w:rsidRDefault="00815DC9" w:rsidP="00D90B4B">
            <w:pPr>
              <w:pStyle w:val="NoSpacing"/>
              <w:jc w:val="center"/>
            </w:pPr>
            <w:r>
              <w:t>24.5</w:t>
            </w:r>
          </w:p>
        </w:tc>
        <w:tc>
          <w:tcPr>
            <w:tcW w:w="1193" w:type="dxa"/>
            <w:vAlign w:val="center"/>
          </w:tcPr>
          <w:p w14:paraId="7771F7DE" w14:textId="77777777" w:rsidR="00815DC9" w:rsidRDefault="00815DC9" w:rsidP="00D90B4B">
            <w:pPr>
              <w:pStyle w:val="NoSpacing"/>
              <w:jc w:val="center"/>
            </w:pPr>
            <w:r>
              <w:t>24.7</w:t>
            </w:r>
          </w:p>
        </w:tc>
        <w:tc>
          <w:tcPr>
            <w:tcW w:w="1193" w:type="dxa"/>
            <w:vAlign w:val="center"/>
          </w:tcPr>
          <w:p w14:paraId="6A3EEF5D" w14:textId="77777777" w:rsidR="00815DC9" w:rsidRDefault="00815DC9" w:rsidP="00D90B4B">
            <w:pPr>
              <w:pStyle w:val="NoSpacing"/>
              <w:jc w:val="center"/>
            </w:pPr>
            <w:r>
              <w:t>24.7</w:t>
            </w:r>
          </w:p>
        </w:tc>
        <w:tc>
          <w:tcPr>
            <w:tcW w:w="1193" w:type="dxa"/>
            <w:vAlign w:val="center"/>
          </w:tcPr>
          <w:p w14:paraId="0B71BC66" w14:textId="77777777" w:rsidR="00815DC9" w:rsidRDefault="00815DC9" w:rsidP="00D90B4B">
            <w:pPr>
              <w:pStyle w:val="NoSpacing"/>
              <w:jc w:val="center"/>
            </w:pPr>
            <w:r>
              <w:t>24.6</w:t>
            </w:r>
          </w:p>
        </w:tc>
        <w:tc>
          <w:tcPr>
            <w:tcW w:w="1193" w:type="dxa"/>
            <w:vAlign w:val="center"/>
          </w:tcPr>
          <w:p w14:paraId="255540F7" w14:textId="77777777" w:rsidR="00815DC9" w:rsidRDefault="00815DC9" w:rsidP="00D90B4B">
            <w:pPr>
              <w:pStyle w:val="NoSpacing"/>
              <w:jc w:val="center"/>
            </w:pPr>
            <w:r>
              <w:t>24.8</w:t>
            </w:r>
          </w:p>
        </w:tc>
        <w:tc>
          <w:tcPr>
            <w:tcW w:w="1193" w:type="dxa"/>
            <w:vAlign w:val="center"/>
          </w:tcPr>
          <w:p w14:paraId="52AA0824" w14:textId="77777777" w:rsidR="00815DC9" w:rsidRDefault="00815DC9" w:rsidP="00D90B4B">
            <w:pPr>
              <w:pStyle w:val="NoSpacing"/>
              <w:jc w:val="center"/>
            </w:pPr>
            <w:r>
              <w:t>24.7</w:t>
            </w:r>
          </w:p>
        </w:tc>
        <w:tc>
          <w:tcPr>
            <w:tcW w:w="1193" w:type="dxa"/>
            <w:vAlign w:val="center"/>
          </w:tcPr>
          <w:p w14:paraId="600720B2" w14:textId="77777777" w:rsidR="00815DC9" w:rsidRDefault="00815DC9" w:rsidP="00D90B4B">
            <w:pPr>
              <w:pStyle w:val="NoSpacing"/>
              <w:jc w:val="center"/>
            </w:pPr>
            <w:r>
              <w:t>24.8</w:t>
            </w:r>
          </w:p>
        </w:tc>
      </w:tr>
    </w:tbl>
    <w:p w14:paraId="5AC62922" w14:textId="77777777" w:rsidR="00553646" w:rsidRDefault="00553646" w:rsidP="00553646">
      <w:r w:rsidRPr="00867DD1">
        <w:rPr>
          <w:vertAlign w:val="superscript"/>
        </w:rPr>
        <w:t>1</w:t>
      </w:r>
      <w:r>
        <w:t xml:space="preserve"> </w:t>
      </w:r>
      <w:proofErr w:type="spellStart"/>
      <w:r>
        <w:t>Norvik</w:t>
      </w:r>
      <w:proofErr w:type="spellEnd"/>
      <w:r>
        <w:t xml:space="preserve"> LT, 66.9% protein</w:t>
      </w:r>
    </w:p>
    <w:p w14:paraId="7F24F190" w14:textId="77777777" w:rsidR="00553646" w:rsidRDefault="00553646" w:rsidP="00553646">
      <w:r w:rsidRPr="00867DD1">
        <w:rPr>
          <w:vertAlign w:val="superscript"/>
        </w:rPr>
        <w:t>2</w:t>
      </w:r>
      <w:r>
        <w:t xml:space="preserve"> X-SOY600; 60.5% protein</w:t>
      </w:r>
    </w:p>
    <w:p w14:paraId="13686145" w14:textId="2FB5ABDC" w:rsidR="00F343CC" w:rsidRPr="005944CE" w:rsidRDefault="00F343CC" w:rsidP="00553646">
      <w:r w:rsidRPr="00867DD1">
        <w:rPr>
          <w:vertAlign w:val="superscript"/>
        </w:rPr>
        <w:t>3</w:t>
      </w:r>
      <w:r>
        <w:t xml:space="preserve"> Mono Calcium </w:t>
      </w:r>
      <w:proofErr w:type="spellStart"/>
      <w:r>
        <w:t>Phopshate</w:t>
      </w:r>
      <w:proofErr w:type="spellEnd"/>
    </w:p>
    <w:p w14:paraId="6FA13BF0" w14:textId="77777777" w:rsidR="008813CD" w:rsidRDefault="008813CD" w:rsidP="00654E8F">
      <w:pPr>
        <w:spacing w:before="240"/>
      </w:pPr>
    </w:p>
    <w:p w14:paraId="2DECB4AA" w14:textId="754E1ACE" w:rsidR="00275683" w:rsidRDefault="00275683" w:rsidP="00275683">
      <w:pPr>
        <w:keepNext/>
        <w:rPr>
          <w:rFonts w:cs="Times New Roman"/>
          <w:szCs w:val="24"/>
        </w:rPr>
      </w:pPr>
      <w:r w:rsidRPr="0001436A">
        <w:rPr>
          <w:rFonts w:cs="Times New Roman"/>
          <w:b/>
          <w:szCs w:val="24"/>
        </w:rPr>
        <w:lastRenderedPageBreak/>
        <w:t xml:space="preserve">Supplementary </w:t>
      </w:r>
      <w:r>
        <w:rPr>
          <w:rFonts w:cs="Times New Roman"/>
          <w:b/>
          <w:szCs w:val="24"/>
        </w:rPr>
        <w:t>Table</w:t>
      </w:r>
      <w:r w:rsidRPr="0001436A">
        <w:rPr>
          <w:rFonts w:cs="Times New Roman"/>
          <w:b/>
          <w:szCs w:val="24"/>
        </w:rPr>
        <w:t xml:space="preserve"> </w:t>
      </w:r>
      <w:r>
        <w:rPr>
          <w:rFonts w:cs="Times New Roman"/>
          <w:b/>
          <w:szCs w:val="24"/>
        </w:rPr>
        <w:t>2</w:t>
      </w:r>
      <w:r w:rsidRPr="0001436A">
        <w:rPr>
          <w:rFonts w:cs="Times New Roman"/>
          <w:b/>
          <w:szCs w:val="24"/>
        </w:rPr>
        <w:t>.</w:t>
      </w:r>
      <w:r w:rsidRPr="001549D3">
        <w:rPr>
          <w:rFonts w:cs="Times New Roman"/>
          <w:szCs w:val="24"/>
        </w:rPr>
        <w:t xml:space="preserve"> </w:t>
      </w:r>
      <w:r w:rsidR="00096F68" w:rsidRPr="004D11B3">
        <w:t>Effect of experimental diet on</w:t>
      </w:r>
      <w:r w:rsidR="00096F68">
        <w:rPr>
          <w:rFonts w:cs="Times New Roman"/>
          <w:szCs w:val="24"/>
        </w:rPr>
        <w:t xml:space="preserve"> o</w:t>
      </w:r>
      <w:r>
        <w:rPr>
          <w:rFonts w:cs="Times New Roman"/>
          <w:szCs w:val="24"/>
        </w:rPr>
        <w:t>xidative burst of the head kidney of rainbow trout</w:t>
      </w:r>
      <w:r w:rsidR="003D04DC">
        <w:rPr>
          <w:rFonts w:cs="Times New Roman"/>
          <w:szCs w:val="24"/>
        </w:rPr>
        <w:t>.</w:t>
      </w:r>
      <w:r w:rsidR="003D04DC" w:rsidRPr="003D04DC">
        <w:t xml:space="preserve"> </w:t>
      </w:r>
      <w:r w:rsidR="003D04DC">
        <w:t>Values show average</w:t>
      </w:r>
      <w:r w:rsidR="003D04DC" w:rsidRPr="004D11B3">
        <w:t xml:space="preserve"> ± st</w:t>
      </w:r>
      <w:r w:rsidR="003D04DC">
        <w:t>andard</w:t>
      </w:r>
      <w:r w:rsidR="003D04DC" w:rsidRPr="004D11B3">
        <w:t xml:space="preserve"> deviation</w:t>
      </w:r>
      <w:r w:rsidR="003D04DC">
        <w:t>.</w:t>
      </w:r>
    </w:p>
    <w:tbl>
      <w:tblPr>
        <w:tblStyle w:val="TableGrid"/>
        <w:tblW w:w="0" w:type="auto"/>
        <w:tblLook w:val="04A0" w:firstRow="1" w:lastRow="0" w:firstColumn="1" w:lastColumn="0" w:noHBand="0" w:noVBand="1"/>
      </w:tblPr>
      <w:tblGrid>
        <w:gridCol w:w="2263"/>
        <w:gridCol w:w="2410"/>
      </w:tblGrid>
      <w:tr w:rsidR="003D04DC" w:rsidRPr="00E43E0B" w14:paraId="400582CD" w14:textId="77777777" w:rsidTr="001A6378">
        <w:trPr>
          <w:trHeight w:val="276"/>
          <w:tblHeader/>
        </w:trPr>
        <w:tc>
          <w:tcPr>
            <w:tcW w:w="2263" w:type="dxa"/>
            <w:vMerge w:val="restart"/>
            <w:vAlign w:val="center"/>
          </w:tcPr>
          <w:p w14:paraId="3FCF4F0C" w14:textId="79A67BCF" w:rsidR="003D04DC" w:rsidRPr="00E43E0B" w:rsidRDefault="001A6378" w:rsidP="00A15864">
            <w:pPr>
              <w:pStyle w:val="NoSpacing"/>
              <w:jc w:val="center"/>
              <w:rPr>
                <w:b/>
                <w:bCs/>
              </w:rPr>
            </w:pPr>
            <w:r>
              <w:rPr>
                <w:b/>
                <w:bCs/>
              </w:rPr>
              <w:t>Treatments</w:t>
            </w:r>
          </w:p>
        </w:tc>
        <w:tc>
          <w:tcPr>
            <w:tcW w:w="2410" w:type="dxa"/>
            <w:vMerge w:val="restart"/>
            <w:vAlign w:val="center"/>
          </w:tcPr>
          <w:p w14:paraId="0F185FF2" w14:textId="481E3878" w:rsidR="003D04DC" w:rsidRDefault="003D04DC" w:rsidP="00A15864">
            <w:pPr>
              <w:pStyle w:val="NoSpacing"/>
              <w:jc w:val="center"/>
              <w:rPr>
                <w:b/>
                <w:bCs/>
              </w:rPr>
            </w:pPr>
            <w:r>
              <w:rPr>
                <w:b/>
                <w:bCs/>
              </w:rPr>
              <w:t>Oxidative burst</w:t>
            </w:r>
          </w:p>
          <w:p w14:paraId="35257F90" w14:textId="77777777" w:rsidR="003D04DC" w:rsidRPr="00E43E0B" w:rsidRDefault="003D04DC" w:rsidP="00A15864">
            <w:pPr>
              <w:pStyle w:val="NoSpacing"/>
              <w:jc w:val="center"/>
              <w:rPr>
                <w:b/>
                <w:bCs/>
              </w:rPr>
            </w:pPr>
            <w:r>
              <w:rPr>
                <w:b/>
                <w:bCs/>
              </w:rPr>
              <w:t>(%)</w:t>
            </w:r>
          </w:p>
        </w:tc>
      </w:tr>
      <w:tr w:rsidR="003D04DC" w:rsidRPr="00E43E0B" w14:paraId="4496B8A7" w14:textId="77777777" w:rsidTr="001A6378">
        <w:trPr>
          <w:trHeight w:val="276"/>
          <w:tblHeader/>
        </w:trPr>
        <w:tc>
          <w:tcPr>
            <w:tcW w:w="2263" w:type="dxa"/>
            <w:vMerge/>
            <w:vAlign w:val="center"/>
          </w:tcPr>
          <w:p w14:paraId="2E77BC21" w14:textId="77777777" w:rsidR="003D04DC" w:rsidRPr="00E43E0B" w:rsidRDefault="003D04DC" w:rsidP="00A15864">
            <w:pPr>
              <w:pStyle w:val="NoSpacing"/>
              <w:jc w:val="center"/>
              <w:rPr>
                <w:b/>
                <w:bCs/>
              </w:rPr>
            </w:pPr>
          </w:p>
        </w:tc>
        <w:tc>
          <w:tcPr>
            <w:tcW w:w="2410" w:type="dxa"/>
            <w:vMerge/>
            <w:vAlign w:val="center"/>
          </w:tcPr>
          <w:p w14:paraId="427906AB" w14:textId="77777777" w:rsidR="003D04DC" w:rsidRDefault="003D04DC" w:rsidP="00A15864">
            <w:pPr>
              <w:pStyle w:val="NoSpacing"/>
              <w:jc w:val="center"/>
              <w:rPr>
                <w:b/>
                <w:bCs/>
              </w:rPr>
            </w:pPr>
          </w:p>
        </w:tc>
      </w:tr>
      <w:tr w:rsidR="003D04DC" w14:paraId="250F1E94" w14:textId="77777777" w:rsidTr="001A6378">
        <w:tc>
          <w:tcPr>
            <w:tcW w:w="2263" w:type="dxa"/>
          </w:tcPr>
          <w:p w14:paraId="6536BE46" w14:textId="77777777" w:rsidR="003D04DC" w:rsidRDefault="003D04DC" w:rsidP="00A15864">
            <w:pPr>
              <w:pStyle w:val="NoSpacing"/>
            </w:pPr>
            <w:r>
              <w:t>Control</w:t>
            </w:r>
          </w:p>
        </w:tc>
        <w:tc>
          <w:tcPr>
            <w:tcW w:w="2410" w:type="dxa"/>
            <w:vAlign w:val="center"/>
          </w:tcPr>
          <w:p w14:paraId="002E7AF2" w14:textId="464C5DEF" w:rsidR="003D04DC" w:rsidRDefault="001A6378" w:rsidP="00A15864">
            <w:pPr>
              <w:pStyle w:val="NoSpacing"/>
              <w:jc w:val="center"/>
            </w:pPr>
            <w:r>
              <w:t>0.012</w:t>
            </w:r>
            <w:r w:rsidR="003D04DC">
              <w:t xml:space="preserve"> ± </w:t>
            </w:r>
            <w:r>
              <w:t>0.012</w:t>
            </w:r>
          </w:p>
        </w:tc>
      </w:tr>
      <w:tr w:rsidR="003D04DC" w14:paraId="4C9EBF80" w14:textId="77777777" w:rsidTr="001A6378">
        <w:tc>
          <w:tcPr>
            <w:tcW w:w="2263" w:type="dxa"/>
          </w:tcPr>
          <w:p w14:paraId="5014E18A" w14:textId="77777777" w:rsidR="003D04DC" w:rsidRDefault="003D04DC" w:rsidP="00A15864">
            <w:pPr>
              <w:pStyle w:val="NoSpacing"/>
            </w:pPr>
            <w:r>
              <w:rPr>
                <w:szCs w:val="24"/>
              </w:rPr>
              <w:t>SCP1-5</w:t>
            </w:r>
          </w:p>
        </w:tc>
        <w:tc>
          <w:tcPr>
            <w:tcW w:w="2410" w:type="dxa"/>
            <w:vAlign w:val="center"/>
          </w:tcPr>
          <w:p w14:paraId="4C1D59CD" w14:textId="1A50CC19" w:rsidR="003D04DC" w:rsidRDefault="001A6378" w:rsidP="00A15864">
            <w:pPr>
              <w:pStyle w:val="NoSpacing"/>
              <w:jc w:val="center"/>
            </w:pPr>
            <w:r>
              <w:t>0.011</w:t>
            </w:r>
            <w:r w:rsidR="003D04DC">
              <w:t xml:space="preserve"> ± </w:t>
            </w:r>
            <w:r>
              <w:t>0.007</w:t>
            </w:r>
          </w:p>
        </w:tc>
      </w:tr>
      <w:tr w:rsidR="003D04DC" w14:paraId="68FD5067" w14:textId="77777777" w:rsidTr="001A6378">
        <w:tc>
          <w:tcPr>
            <w:tcW w:w="2263" w:type="dxa"/>
          </w:tcPr>
          <w:p w14:paraId="01257575" w14:textId="77777777" w:rsidR="003D04DC" w:rsidRDefault="003D04DC" w:rsidP="00A15864">
            <w:pPr>
              <w:pStyle w:val="NoSpacing"/>
            </w:pPr>
            <w:r>
              <w:rPr>
                <w:szCs w:val="24"/>
              </w:rPr>
              <w:t>SCP1-10</w:t>
            </w:r>
          </w:p>
        </w:tc>
        <w:tc>
          <w:tcPr>
            <w:tcW w:w="2410" w:type="dxa"/>
            <w:vAlign w:val="center"/>
          </w:tcPr>
          <w:p w14:paraId="1517C8D2" w14:textId="05F95F8B" w:rsidR="003D04DC" w:rsidRDefault="001A6378" w:rsidP="00A15864">
            <w:pPr>
              <w:pStyle w:val="NoSpacing"/>
              <w:jc w:val="center"/>
            </w:pPr>
            <w:proofErr w:type="gramStart"/>
            <w:r>
              <w:t xml:space="preserve">0.020 </w:t>
            </w:r>
            <w:r w:rsidR="003D04DC">
              <w:t xml:space="preserve"> ±</w:t>
            </w:r>
            <w:proofErr w:type="gramEnd"/>
            <w:r w:rsidR="003D04DC">
              <w:t xml:space="preserve"> </w:t>
            </w:r>
            <w:r>
              <w:t>0.008</w:t>
            </w:r>
          </w:p>
        </w:tc>
      </w:tr>
      <w:tr w:rsidR="003D04DC" w14:paraId="12EF1743" w14:textId="77777777" w:rsidTr="001A6378">
        <w:tc>
          <w:tcPr>
            <w:tcW w:w="2263" w:type="dxa"/>
          </w:tcPr>
          <w:p w14:paraId="590266AB" w14:textId="77777777" w:rsidR="003D04DC" w:rsidRDefault="003D04DC" w:rsidP="00A15864">
            <w:pPr>
              <w:pStyle w:val="NoSpacing"/>
            </w:pPr>
            <w:r>
              <w:rPr>
                <w:szCs w:val="24"/>
              </w:rPr>
              <w:t>SCP1-20</w:t>
            </w:r>
          </w:p>
        </w:tc>
        <w:tc>
          <w:tcPr>
            <w:tcW w:w="2410" w:type="dxa"/>
            <w:vAlign w:val="center"/>
          </w:tcPr>
          <w:p w14:paraId="4C299380" w14:textId="5A2FE7BA" w:rsidR="003D04DC" w:rsidRDefault="001A6378" w:rsidP="00A15864">
            <w:pPr>
              <w:pStyle w:val="NoSpacing"/>
              <w:jc w:val="center"/>
            </w:pPr>
            <w:r>
              <w:t>0.022</w:t>
            </w:r>
            <w:r w:rsidR="003D04DC">
              <w:t xml:space="preserve"> ± </w:t>
            </w:r>
            <w:r>
              <w:t>0.013</w:t>
            </w:r>
          </w:p>
        </w:tc>
      </w:tr>
      <w:tr w:rsidR="003D04DC" w14:paraId="709EE385" w14:textId="77777777" w:rsidTr="001A6378">
        <w:tc>
          <w:tcPr>
            <w:tcW w:w="2263" w:type="dxa"/>
          </w:tcPr>
          <w:p w14:paraId="795C1C1C" w14:textId="77777777" w:rsidR="003D04DC" w:rsidRDefault="003D04DC" w:rsidP="00A15864">
            <w:pPr>
              <w:pStyle w:val="NoSpacing"/>
            </w:pPr>
            <w:r>
              <w:rPr>
                <w:szCs w:val="24"/>
              </w:rPr>
              <w:t>SCP2-5</w:t>
            </w:r>
          </w:p>
        </w:tc>
        <w:tc>
          <w:tcPr>
            <w:tcW w:w="2410" w:type="dxa"/>
            <w:vAlign w:val="center"/>
          </w:tcPr>
          <w:p w14:paraId="5DAF55E8" w14:textId="00BD1248" w:rsidR="003D04DC" w:rsidRDefault="001A6378" w:rsidP="00A15864">
            <w:pPr>
              <w:pStyle w:val="NoSpacing"/>
              <w:jc w:val="center"/>
            </w:pPr>
            <w:r>
              <w:t>0.029</w:t>
            </w:r>
            <w:r w:rsidR="003D04DC">
              <w:t xml:space="preserve"> ± </w:t>
            </w:r>
            <w:r>
              <w:t>0.006</w:t>
            </w:r>
          </w:p>
        </w:tc>
      </w:tr>
      <w:tr w:rsidR="003D04DC" w14:paraId="2176D515" w14:textId="77777777" w:rsidTr="001A6378">
        <w:tc>
          <w:tcPr>
            <w:tcW w:w="2263" w:type="dxa"/>
          </w:tcPr>
          <w:p w14:paraId="1A8B5364" w14:textId="77777777" w:rsidR="003D04DC" w:rsidRDefault="003D04DC" w:rsidP="00A15864">
            <w:pPr>
              <w:pStyle w:val="NoSpacing"/>
            </w:pPr>
            <w:r>
              <w:rPr>
                <w:szCs w:val="24"/>
              </w:rPr>
              <w:t>SCP2-10</w:t>
            </w:r>
          </w:p>
        </w:tc>
        <w:tc>
          <w:tcPr>
            <w:tcW w:w="2410" w:type="dxa"/>
            <w:vAlign w:val="center"/>
          </w:tcPr>
          <w:p w14:paraId="6E0AD05C" w14:textId="5CDF39F1" w:rsidR="003D04DC" w:rsidRDefault="001A6378" w:rsidP="00A15864">
            <w:pPr>
              <w:pStyle w:val="NoSpacing"/>
              <w:jc w:val="center"/>
            </w:pPr>
            <w:r>
              <w:t>0.020</w:t>
            </w:r>
            <w:r w:rsidR="003D04DC">
              <w:t xml:space="preserve"> ± </w:t>
            </w:r>
            <w:r>
              <w:t>0.012</w:t>
            </w:r>
          </w:p>
        </w:tc>
      </w:tr>
      <w:tr w:rsidR="003D04DC" w14:paraId="3EBE11BE" w14:textId="77777777" w:rsidTr="001A6378">
        <w:tc>
          <w:tcPr>
            <w:tcW w:w="2263" w:type="dxa"/>
          </w:tcPr>
          <w:p w14:paraId="66D946EA" w14:textId="77777777" w:rsidR="003D04DC" w:rsidRDefault="003D04DC" w:rsidP="00A15864">
            <w:pPr>
              <w:pStyle w:val="NoSpacing"/>
            </w:pPr>
            <w:r>
              <w:rPr>
                <w:szCs w:val="24"/>
              </w:rPr>
              <w:t>SCP2-20</w:t>
            </w:r>
          </w:p>
        </w:tc>
        <w:tc>
          <w:tcPr>
            <w:tcW w:w="2410" w:type="dxa"/>
            <w:vAlign w:val="center"/>
          </w:tcPr>
          <w:p w14:paraId="3882795E" w14:textId="22E85F7A" w:rsidR="003D04DC" w:rsidRDefault="001A6378" w:rsidP="00A15864">
            <w:pPr>
              <w:pStyle w:val="NoSpacing"/>
              <w:jc w:val="center"/>
            </w:pPr>
            <w:r>
              <w:t>0.028</w:t>
            </w:r>
            <w:r w:rsidR="003D04DC">
              <w:t xml:space="preserve"> ± </w:t>
            </w:r>
            <w:r>
              <w:t>0.013</w:t>
            </w:r>
          </w:p>
        </w:tc>
      </w:tr>
      <w:tr w:rsidR="003D04DC" w14:paraId="5A2CE762" w14:textId="77777777" w:rsidTr="001A6378">
        <w:tc>
          <w:tcPr>
            <w:tcW w:w="2263" w:type="dxa"/>
          </w:tcPr>
          <w:p w14:paraId="1CBB85DC" w14:textId="77777777" w:rsidR="003D04DC" w:rsidRDefault="003D04DC" w:rsidP="00A15864">
            <w:pPr>
              <w:pStyle w:val="NoSpacing"/>
            </w:pPr>
          </w:p>
        </w:tc>
        <w:tc>
          <w:tcPr>
            <w:tcW w:w="2410" w:type="dxa"/>
            <w:vAlign w:val="center"/>
          </w:tcPr>
          <w:p w14:paraId="610B089C" w14:textId="77777777" w:rsidR="003D04DC" w:rsidRDefault="003D04DC" w:rsidP="00A15864">
            <w:pPr>
              <w:pStyle w:val="NoSpacing"/>
              <w:jc w:val="center"/>
            </w:pPr>
          </w:p>
        </w:tc>
      </w:tr>
      <w:tr w:rsidR="003D04DC" w14:paraId="55B9CFD4" w14:textId="77777777" w:rsidTr="001A6378">
        <w:tc>
          <w:tcPr>
            <w:tcW w:w="2263" w:type="dxa"/>
          </w:tcPr>
          <w:p w14:paraId="07B5763E" w14:textId="77777777" w:rsidR="003D04DC" w:rsidRDefault="003D04DC" w:rsidP="00A15864">
            <w:pPr>
              <w:pStyle w:val="NoSpacing"/>
            </w:pPr>
            <w:r>
              <w:t>ANOVA</w:t>
            </w:r>
          </w:p>
        </w:tc>
        <w:tc>
          <w:tcPr>
            <w:tcW w:w="2410" w:type="dxa"/>
            <w:vAlign w:val="center"/>
          </w:tcPr>
          <w:p w14:paraId="5785E19E" w14:textId="77777777" w:rsidR="003D04DC" w:rsidRDefault="003D04DC" w:rsidP="00A15864">
            <w:pPr>
              <w:pStyle w:val="NoSpacing"/>
              <w:jc w:val="center"/>
            </w:pPr>
          </w:p>
        </w:tc>
      </w:tr>
      <w:tr w:rsidR="003D04DC" w14:paraId="1D9FB20A" w14:textId="77777777" w:rsidTr="001A6378">
        <w:tc>
          <w:tcPr>
            <w:tcW w:w="2263" w:type="dxa"/>
          </w:tcPr>
          <w:p w14:paraId="5466E2A3" w14:textId="77777777" w:rsidR="003D04DC" w:rsidRDefault="003D04DC" w:rsidP="00A15864">
            <w:pPr>
              <w:pStyle w:val="NoSpacing"/>
            </w:pPr>
            <w:r w:rsidRPr="0021150F">
              <w:rPr>
                <w:i/>
                <w:iCs/>
              </w:rPr>
              <w:t>p</w:t>
            </w:r>
            <w:r>
              <w:t xml:space="preserve"> value</w:t>
            </w:r>
          </w:p>
        </w:tc>
        <w:tc>
          <w:tcPr>
            <w:tcW w:w="2410" w:type="dxa"/>
            <w:vAlign w:val="center"/>
          </w:tcPr>
          <w:p w14:paraId="0A117344" w14:textId="151CD4E9" w:rsidR="003D04DC" w:rsidRDefault="001A6378" w:rsidP="00A15864">
            <w:pPr>
              <w:pStyle w:val="NoSpacing"/>
              <w:jc w:val="center"/>
            </w:pPr>
            <w:r>
              <w:t>0.33</w:t>
            </w:r>
          </w:p>
        </w:tc>
      </w:tr>
    </w:tbl>
    <w:p w14:paraId="09E193B8" w14:textId="0E222AC7" w:rsidR="00275683" w:rsidRPr="001549D3" w:rsidRDefault="002E2307" w:rsidP="00654E8F">
      <w:pPr>
        <w:spacing w:before="240"/>
      </w:pPr>
      <w:r>
        <w:rPr>
          <w:sz w:val="16"/>
          <w:szCs w:val="16"/>
        </w:rPr>
        <w:t>M</w:t>
      </w:r>
      <w:r w:rsidR="00300933" w:rsidRPr="00CB41D8">
        <w:rPr>
          <w:sz w:val="16"/>
          <w:szCs w:val="16"/>
        </w:rPr>
        <w:t xml:space="preserve">eans of two individuals (from the same tank) were determined and significant differences among groups were determined using one-way ANOVA. In this case, each tank was considered a replicate. </w:t>
      </w:r>
      <w:r w:rsidR="00DB1252">
        <w:rPr>
          <w:sz w:val="16"/>
          <w:szCs w:val="16"/>
        </w:rPr>
        <w:t>S</w:t>
      </w:r>
      <w:r w:rsidR="00300933" w:rsidRPr="00CB41D8">
        <w:rPr>
          <w:sz w:val="16"/>
          <w:szCs w:val="16"/>
        </w:rPr>
        <w:t>tatistical analyses were conducted in JMP software (</w:t>
      </w:r>
      <w:hyperlink r:id="rId11" w:history="1">
        <w:r w:rsidR="00300933" w:rsidRPr="00CB41D8">
          <w:rPr>
            <w:rStyle w:val="Hyperlink"/>
            <w:sz w:val="16"/>
            <w:szCs w:val="16"/>
          </w:rPr>
          <w:t>https://www.jmp.com</w:t>
        </w:r>
      </w:hyperlink>
      <w:r w:rsidR="00300933" w:rsidRPr="00CB41D8">
        <w:rPr>
          <w:sz w:val="16"/>
          <w:szCs w:val="16"/>
        </w:rPr>
        <w:t>)</w:t>
      </w:r>
      <w:r w:rsidR="00DB1252">
        <w:rPr>
          <w:sz w:val="16"/>
          <w:szCs w:val="16"/>
        </w:rPr>
        <w:t>.</w:t>
      </w:r>
    </w:p>
    <w:sectPr w:rsidR="00275683" w:rsidRPr="001549D3" w:rsidSect="00532C44">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EB88" w14:textId="77777777" w:rsidR="00E06989" w:rsidRDefault="00E06989" w:rsidP="00117666">
      <w:pPr>
        <w:spacing w:after="0"/>
      </w:pPr>
      <w:r>
        <w:separator/>
      </w:r>
    </w:p>
  </w:endnote>
  <w:endnote w:type="continuationSeparator" w:id="0">
    <w:p w14:paraId="5CEE57CA" w14:textId="77777777" w:rsidR="00E06989" w:rsidRDefault="00E0698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292CD8"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292CD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292CD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292CD8"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292CD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292CD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8234" w14:textId="77777777" w:rsidR="00E06989" w:rsidRDefault="00E06989" w:rsidP="00117666">
      <w:pPr>
        <w:spacing w:after="0"/>
      </w:pPr>
      <w:r>
        <w:separator/>
      </w:r>
    </w:p>
  </w:footnote>
  <w:footnote w:type="continuationSeparator" w:id="0">
    <w:p w14:paraId="2AAD7373" w14:textId="77777777" w:rsidR="00E06989" w:rsidRDefault="00E06989"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292CD8"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292CD8"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3EA5"/>
    <w:rsid w:val="00034304"/>
    <w:rsid w:val="00035434"/>
    <w:rsid w:val="00052A14"/>
    <w:rsid w:val="00077D53"/>
    <w:rsid w:val="000902AA"/>
    <w:rsid w:val="00096F68"/>
    <w:rsid w:val="000A5C68"/>
    <w:rsid w:val="001043DF"/>
    <w:rsid w:val="00104647"/>
    <w:rsid w:val="00105FD9"/>
    <w:rsid w:val="00106F03"/>
    <w:rsid w:val="00117666"/>
    <w:rsid w:val="001549D3"/>
    <w:rsid w:val="00160065"/>
    <w:rsid w:val="00177D84"/>
    <w:rsid w:val="001960C2"/>
    <w:rsid w:val="001A6378"/>
    <w:rsid w:val="002025FA"/>
    <w:rsid w:val="00267D18"/>
    <w:rsid w:val="00275683"/>
    <w:rsid w:val="002868E2"/>
    <w:rsid w:val="002869C3"/>
    <w:rsid w:val="00292CD8"/>
    <w:rsid w:val="002936E4"/>
    <w:rsid w:val="00295F00"/>
    <w:rsid w:val="002B12C7"/>
    <w:rsid w:val="002B4A57"/>
    <w:rsid w:val="002C74CA"/>
    <w:rsid w:val="002E2307"/>
    <w:rsid w:val="00300933"/>
    <w:rsid w:val="003009CF"/>
    <w:rsid w:val="00341971"/>
    <w:rsid w:val="003544FB"/>
    <w:rsid w:val="003D04DC"/>
    <w:rsid w:val="003D2D47"/>
    <w:rsid w:val="003D2F2D"/>
    <w:rsid w:val="00401590"/>
    <w:rsid w:val="00447801"/>
    <w:rsid w:val="00452E9C"/>
    <w:rsid w:val="00461996"/>
    <w:rsid w:val="004735C8"/>
    <w:rsid w:val="004961FF"/>
    <w:rsid w:val="004D078E"/>
    <w:rsid w:val="004E6553"/>
    <w:rsid w:val="00506603"/>
    <w:rsid w:val="00511B72"/>
    <w:rsid w:val="00517A89"/>
    <w:rsid w:val="005250F2"/>
    <w:rsid w:val="00532C44"/>
    <w:rsid w:val="00536F9A"/>
    <w:rsid w:val="00553646"/>
    <w:rsid w:val="00574020"/>
    <w:rsid w:val="00593EEA"/>
    <w:rsid w:val="005A5EEE"/>
    <w:rsid w:val="005E787E"/>
    <w:rsid w:val="006375C7"/>
    <w:rsid w:val="00654E8F"/>
    <w:rsid w:val="00660D05"/>
    <w:rsid w:val="006820B1"/>
    <w:rsid w:val="006B7D14"/>
    <w:rsid w:val="00701727"/>
    <w:rsid w:val="0070566C"/>
    <w:rsid w:val="00710897"/>
    <w:rsid w:val="00714C50"/>
    <w:rsid w:val="00725A7D"/>
    <w:rsid w:val="007501BE"/>
    <w:rsid w:val="00790BB3"/>
    <w:rsid w:val="007A6CF1"/>
    <w:rsid w:val="007C1BC9"/>
    <w:rsid w:val="007C206C"/>
    <w:rsid w:val="00803D24"/>
    <w:rsid w:val="00815DC9"/>
    <w:rsid w:val="00817DD6"/>
    <w:rsid w:val="008569BE"/>
    <w:rsid w:val="00867DD1"/>
    <w:rsid w:val="008813CD"/>
    <w:rsid w:val="00885156"/>
    <w:rsid w:val="008F5C22"/>
    <w:rsid w:val="009151AA"/>
    <w:rsid w:val="00927CD5"/>
    <w:rsid w:val="0093429D"/>
    <w:rsid w:val="00943573"/>
    <w:rsid w:val="00970F7D"/>
    <w:rsid w:val="00973235"/>
    <w:rsid w:val="00994A3D"/>
    <w:rsid w:val="009B56EB"/>
    <w:rsid w:val="009C2B12"/>
    <w:rsid w:val="009C4D90"/>
    <w:rsid w:val="009C70F3"/>
    <w:rsid w:val="009C7453"/>
    <w:rsid w:val="009E0784"/>
    <w:rsid w:val="00A174D9"/>
    <w:rsid w:val="00A43FE0"/>
    <w:rsid w:val="00A569CD"/>
    <w:rsid w:val="00A87FD6"/>
    <w:rsid w:val="00AA2653"/>
    <w:rsid w:val="00AB5EE2"/>
    <w:rsid w:val="00AB6715"/>
    <w:rsid w:val="00B1671E"/>
    <w:rsid w:val="00B25EB8"/>
    <w:rsid w:val="00B354E1"/>
    <w:rsid w:val="00B37F4D"/>
    <w:rsid w:val="00C52A7B"/>
    <w:rsid w:val="00C56BAF"/>
    <w:rsid w:val="00C679AA"/>
    <w:rsid w:val="00C70277"/>
    <w:rsid w:val="00C75972"/>
    <w:rsid w:val="00C87149"/>
    <w:rsid w:val="00CC0A3A"/>
    <w:rsid w:val="00CD066B"/>
    <w:rsid w:val="00CE4FEE"/>
    <w:rsid w:val="00D64BE0"/>
    <w:rsid w:val="00DA7EE7"/>
    <w:rsid w:val="00DB1252"/>
    <w:rsid w:val="00DB59C3"/>
    <w:rsid w:val="00DC259A"/>
    <w:rsid w:val="00DE23E8"/>
    <w:rsid w:val="00DF2E6A"/>
    <w:rsid w:val="00E05938"/>
    <w:rsid w:val="00E06989"/>
    <w:rsid w:val="00E52377"/>
    <w:rsid w:val="00E634F2"/>
    <w:rsid w:val="00E64E17"/>
    <w:rsid w:val="00E80188"/>
    <w:rsid w:val="00E85DF8"/>
    <w:rsid w:val="00E866C9"/>
    <w:rsid w:val="00E90002"/>
    <w:rsid w:val="00E97315"/>
    <w:rsid w:val="00EA3D3C"/>
    <w:rsid w:val="00F23745"/>
    <w:rsid w:val="00F343CC"/>
    <w:rsid w:val="00F46900"/>
    <w:rsid w:val="00F61D89"/>
    <w:rsid w:val="00F627D4"/>
    <w:rsid w:val="00F656AE"/>
    <w:rsid w:val="00F73F0C"/>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2eaa7be-024d-4699-9587-4f78e45893c0">
      <UserInfo>
        <DisplayName/>
        <AccountId xsi:nil="true"/>
        <AccountType/>
      </UserInfo>
    </SharedWithUsers>
    <lcf76f155ced4ddcb4097134ff3c332f xmlns="c9e9d85c-88e5-4c1b-806b-728bd584a828">
      <Terms xmlns="http://schemas.microsoft.com/office/infopath/2007/PartnerControls"/>
    </lcf76f155ced4ddcb4097134ff3c332f>
    <TaxCatchAll xmlns="92eaa7be-024d-4699-9587-4f78e45893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FDCAF97292B24EBBC889386CAFFFFC" ma:contentTypeVersion="18" ma:contentTypeDescription="Create a new document." ma:contentTypeScope="" ma:versionID="0c74b9534bc88e76a2b395c961333458">
  <xsd:schema xmlns:xsd="http://www.w3.org/2001/XMLSchema" xmlns:xs="http://www.w3.org/2001/XMLSchema" xmlns:p="http://schemas.microsoft.com/office/2006/metadata/properties" xmlns:ns2="c9e9d85c-88e5-4c1b-806b-728bd584a828" xmlns:ns3="92eaa7be-024d-4699-9587-4f78e45893c0" targetNamespace="http://schemas.microsoft.com/office/2006/metadata/properties" ma:root="true" ma:fieldsID="b3d5ce1bd619c193ccf09d2c950acb27" ns2:_="" ns3:_="">
    <xsd:import namespace="c9e9d85c-88e5-4c1b-806b-728bd584a828"/>
    <xsd:import namespace="92eaa7be-024d-4699-9587-4f78e4589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9d85c-88e5-4c1b-806b-728bd584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2fbec-4c02-462e-892f-6da4aa8767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aa7be-024d-4699-9587-4f78e45893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af2211-42e1-4354-9ac1-d115da930a04}" ma:internalName="TaxCatchAll" ma:showField="CatchAllData" ma:web="92eaa7be-024d-4699-9587-4f78e4589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92eaa7be-024d-4699-9587-4f78e45893c0"/>
    <ds:schemaRef ds:uri="c9e9d85c-88e5-4c1b-806b-728bd584a828"/>
  </ds:schemaRefs>
</ds:datastoreItem>
</file>

<file path=customXml/itemProps4.xml><?xml version="1.0" encoding="utf-8"?>
<ds:datastoreItem xmlns:ds="http://schemas.openxmlformats.org/officeDocument/2006/customXml" ds:itemID="{CE9F428C-572A-4163-A815-65BF6FD6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9d85c-88e5-4c1b-806b-728bd584a828"/>
    <ds:schemaRef ds:uri="92eaa7be-024d-4699-9587-4f78e4589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Ester Santigosa Culi</cp:lastModifiedBy>
  <cp:revision>2</cp:revision>
  <cp:lastPrinted>2013-10-03T12:51:00Z</cp:lastPrinted>
  <dcterms:created xsi:type="dcterms:W3CDTF">2024-12-13T07:00:00Z</dcterms:created>
  <dcterms:modified xsi:type="dcterms:W3CDTF">2024-12-13T07:00:00Z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0x010100CDFDCAF97292B24EBBC889386CAFFFFC</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2ff753fd-faf2-4608-9b59-553f003adcdf_Enabled">
    <vt:lpwstr>true</vt:lpwstr>
  </property>
  <property fmtid="{D5CDD505-2E9C-101B-9397-08002B2CF9AE}" pid="11" name="MSIP_Label_2ff753fd-faf2-4608-9b59-553f003adcdf_SetDate">
    <vt:lpwstr>2024-02-08T10:10:54Z</vt:lpwstr>
  </property>
  <property fmtid="{D5CDD505-2E9C-101B-9397-08002B2CF9AE}" pid="12" name="MSIP_Label_2ff753fd-faf2-4608-9b59-553f003adcdf_Method">
    <vt:lpwstr>Privileged</vt:lpwstr>
  </property>
  <property fmtid="{D5CDD505-2E9C-101B-9397-08002B2CF9AE}" pid="13" name="MSIP_Label_2ff753fd-faf2-4608-9b59-553f003adcdf_Name">
    <vt:lpwstr>2ff753fd-faf2-4608-9b59-553f003adcdf</vt:lpwstr>
  </property>
  <property fmtid="{D5CDD505-2E9C-101B-9397-08002B2CF9AE}" pid="14" name="MSIP_Label_2ff753fd-faf2-4608-9b59-553f003adcdf_SiteId">
    <vt:lpwstr>49618402-6ea3-441d-957d-7df8773fee54</vt:lpwstr>
  </property>
  <property fmtid="{D5CDD505-2E9C-101B-9397-08002B2CF9AE}" pid="15" name="MSIP_Label_2ff753fd-faf2-4608-9b59-553f003adcdf_ActionId">
    <vt:lpwstr>8cd96f4b-23f4-4814-9faa-bdf87ff2ada5</vt:lpwstr>
  </property>
  <property fmtid="{D5CDD505-2E9C-101B-9397-08002B2CF9AE}" pid="16" name="MSIP_Label_2ff753fd-faf2-4608-9b59-553f003adcdf_ContentBits">
    <vt:lpwstr>0</vt:lpwstr>
  </property>
</Properties>
</file>